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СОПРОВОДИТЕЛЬНОЕ СООБЩЕНИЕ КЛАССНОМУ РУКОВОДИТЕЛЮ</w:t>
      </w:r>
    </w:p>
    <w:p>
      <w:pPr>
        <w:jc w:val="center"/>
      </w:pPr>
      <w:r>
        <w:rPr>
          <w:b w:val="0"/>
          <w:sz w:val="20"/>
        </w:rPr>
        <w:t>Составлен 16.10.2026.</w:t>
      </w:r>
    </w:p>
    <w:p>
      <w:r>
        <w:rPr>
          <w:b/>
        </w:rPr>
        <w:t>Елена Юрьевна!</w:t>
      </w:r>
    </w:p>
    <w:p>
      <w:r>
        <w:t>Мной был проведён детальный анализ проверочной работы, проведённой в рамках повторной аттестации от 21.09.2026, которую выполняла Полина.</w:t>
      </w:r>
    </w:p>
    <w:p>
      <w:r>
        <w:t>По результатам анализа выявлены следующие существенные нарушения регламента проведения аттестации:</w:t>
      </w:r>
    </w:p>
    <w:p>
      <w:r>
        <w:rPr>
          <w:b/>
        </w:rPr>
        <w:t xml:space="preserve">Несоответствие объёма работы временным нормам: </w:t>
      </w:r>
      <w:r>
        <w:rPr>
          <w:b w:val="0"/>
        </w:rPr>
        <w:t>предложенное тестовое задание было сформировано из материалов двух полных контрольных работ, каждая из которых рассчитана на отдельный урок, из которых было исключено лишь шесть вопросов (общее количество заданий в работе — 30). Согласно нормативным таблицам и спецификациям, суммарное время, необходимое для выполнения такого объёма заданий, составляет 61 минуту (30 минут по курсу «История России. XVI–XVII вв.» и 31 минуту по курсу «История Нового времени»), то есть на 26 минут больше отведённого. При этом фактическое время, отведённое на уроке (длительностью 40 минут) с учётом проведения инструктажа и раздачи материалов (5 минут), составило всего 35 минут. Таким образом, выполнение работы в полном объёме за отведённое время было физически невозможно.</w:t>
      </w:r>
    </w:p>
    <w:p>
      <w:r>
        <w:rPr>
          <w:b/>
        </w:rPr>
        <w:t xml:space="preserve">Несоответствие предоставленной спецификации: </w:t>
      </w:r>
      <w:r>
        <w:rPr>
          <w:b w:val="0"/>
        </w:rPr>
        <w:t>присланная Вами спецификация не имеет отношения к фактически выданному контрольно-измерительному материалу (КИМ) и описывает совершенно иное задание — диагностическую работу на 19 заданий продолжительностью до 55 минут. При этом даже указанное в ней задание также превышает норму рабочего объёма учебного часа (35 минут чистого времени).</w:t>
      </w:r>
    </w:p>
    <w:p>
      <w:r>
        <w:rPr>
          <w:b/>
        </w:rPr>
        <w:t xml:space="preserve">Фактическое выполнение заданий: </w:t>
      </w:r>
      <w:r>
        <w:rPr>
          <w:b w:val="0"/>
        </w:rPr>
        <w:t>опираясь на официально установленные нормы тайминга по типам заданий из официальных источников, за предоставленные 35 минут Полина полностью выполнила 12 заданий и частично — 3 задания, что составляет 14 баллов из 27, то есть 52 % от максимального балла — нижняя граница отметки «4» по шкале перевода баллов.</w:t>
      </w:r>
    </w:p>
    <w:p>
      <w:r>
        <w:t>На основе материалов работы от 21.09.2026 мной был собран адаптивный тест, наглядно демонстрирующий корректный расчёт тайминга и объёма заданий (материалы прилагаются к настоящему обращению).</w:t>
      </w:r>
    </w:p>
    <w:p>
      <w:r>
        <w:rPr>
          <w:b/>
        </w:rPr>
        <w:t>На основании вышеизложенного ПРОШУ:</w:t>
      </w:r>
    </w:p>
    <w:p>
      <w:r>
        <w:t>1. Изучить прилагаемые аналитические материалы и адаптивный тест.</w:t>
      </w:r>
    </w:p>
    <w:p>
      <w:r>
        <w:t>2. Пересмотреть результаты проверочной работы от 21.09.2026 с учётом фактически доступного ребёнку времени и зачесть Полине корректную итоговую оценку.</w:t>
      </w:r>
    </w:p>
    <w:p>
      <w:r>
        <w:t>3. Предоставить официальный ответ по данному вопросу до понедельника (19.10.2026, включительно), так как на 23.10.2026 уже назначена повторная пересдача.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3" Type="http://schemas.openxmlformats.org/officeDocument/2006/relationships/hyperlink" Target="https://www.un.org/ru/documents/decl_conv/conventions/childcon.shtml" TargetMode="External"/><Relationship Id="rId14" Type="http://schemas.openxmlformats.org/officeDocument/2006/relationships/hyperlink" Target="https://www.un.org/ru/documents/decl_conv/declarations/childdec.shtml" TargetMode="External"/><Relationship Id="rId15" Type="http://schemas.openxmlformats.org/officeDocument/2006/relationships/hyperlink" Target="https://legalacts.ru/doc/273_FZ-ob-obrazovanii/glava-3/statja-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