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При решении любых спорных ситуаций вопрос решается в пользу ребёнка. Основания:</w:t>
      </w:r>
    </w:p>
    <w:p>
      <w:r>
        <w:t xml:space="preserve">1. Часть 4 статьи 30 Федерального закона от 29.12.2012 № 273-ФЗ «Об образовании в Российской Федерации»: «Нормы локальных нормативных актов, ухудшающие положение обучающихся или работников образовательной организации по сравнению с установленным законодательством об образовании, трудовым законодательством положением либо принятые с нарушением установленного порядка, не применяются и подлежат отмене образовательной организацией». Источник: </w:t>
      </w:r>
      <w:hyperlink r:id="rId15">
        <w:r>
          <w:rPr>
            <w:rStyle w:val="Hyperlink"/>
            <w:color w:val="0563C1"/>
            <w:u w:val="single"/>
          </w:rPr>
          <w:t xml:space="preserve">legalacts.ru — текст статьи 30</w:t>
        </w:r>
      </w:hyperlink>
    </w:p>
    <w:p>
      <w:r>
        <w:t xml:space="preserve">2. Конвенция о правах ребёнка (принята резолюцией 44/25 Генеральной Ассамблеи ООН 20.11.1989; ратифицирована Постановлением Верховного Совета СССР от 13.06.1990 № 1559-I), статья 3, пункт 1: «Во всех действиях в отношении детей, независимо от того, предпринимаются они государственными или частными учреждениями, занимающимися вопросами социального обеспечения, судами, административными или законодательными органами, первоочередное внимание уделяется наилучшему обеспечению интересов ребенка». Источник: </w:t>
      </w:r>
      <w:hyperlink r:id="rId13">
        <w:r>
          <w:rPr>
            <w:rStyle w:val="Hyperlink"/>
            <w:color w:val="0563C1"/>
            <w:u w:val="single"/>
          </w:rPr>
          <w:t xml:space="preserve">un.org — текст Конвенции</w:t>
        </w:r>
      </w:hyperlink>
    </w:p>
    <w:p>
      <w:r>
        <w:t xml:space="preserve">3. Декларация прав ребёнка (принята резолюцией 1386 (XIV) Генеральной Ассамблеи ООН от 20.11.1959), принцип 2: «Ребенку законом и другими средствами должна быть обеспечена специальная защита… При издании с этой целью законов главным соображением должно быть наилучшее обеспечение интересов ребенка». Источник: </w:t>
      </w:r>
      <w:hyperlink r:id="rId14">
        <w:r>
          <w:rPr>
            <w:rStyle w:val="Hyperlink"/>
            <w:color w:val="0563C1"/>
            <w:u w:val="single"/>
          </w:rPr>
          <w:t xml:space="preserve">un.org — текст Декларации</w:t>
        </w:r>
      </w:hyperlink>
    </w:p>
    <w:p>
      <w:r>
        <w:t xml:space="preserve">Там же, принцип 7: «Наилучшее обеспечение интересов ребенка должно быть руководящим принципом для тех, на ком лежит ответственность за его образование и обучение; эта ответственность лежит прежде всего на его родителях». Источник: </w:t>
      </w:r>
      <w:hyperlink r:id="rId14">
        <w:r>
          <w:rPr>
            <w:rStyle w:val="Hyperlink"/>
            <w:color w:val="0563C1"/>
            <w:u w:val="single"/>
          </w:rPr>
          <w:t xml:space="preserve">un.org — текст Декларации</w:t>
        </w:r>
      </w:hyperlink>
    </w:p>
    <w:p>
      <w:r>
        <w:t xml:space="preserve">Применение: неясность, расхождение или отсутствие у школы критериев оценивания и шкалы перевода баллов не толкуется против ученика; при любом спорном толковании решение принимается в пользу ребёнка.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13" Type="http://schemas.openxmlformats.org/officeDocument/2006/relationships/hyperlink" Target="https://www.un.org/ru/documents/decl_conv/conventions/childcon.shtml" TargetMode="External"/><Relationship Id="rId14" Type="http://schemas.openxmlformats.org/officeDocument/2006/relationships/hyperlink" Target="https://www.un.org/ru/documents/decl_conv/declarations/childdec.shtml" TargetMode="External"/><Relationship Id="rId15" Type="http://schemas.openxmlformats.org/officeDocument/2006/relationships/hyperlink" Target="https://legalacts.ru/doc/273_FZ-ob-obrazovanii/glava-3/statja-3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