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Monitoring on a shoestring: Example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Introduction</w:t>
      </w:r>
    </w:p>
    <w:p>
      <w:pPr>
        <w:pStyle w:val="FirstParagraph"/>
      </w:pPr>
      <w:r>
        <w:t xml:space="preserve">This is a report on presentation attendees satisfaction with the presentation</w:t>
      </w:r>
      <w:r>
        <w:t xml:space="preserve"> </w:t>
      </w:r>
      <w:r>
        <w:rPr>
          <w:b/>
          <w:bCs/>
        </w:rPr>
        <w:t xml:space="preserve">‘Monitoring on a shoestring: How reproducible reporting can help make better use of data’</w:t>
      </w:r>
      <w:r>
        <w:t xml:space="preserve">. The report presents data collected via survey responses completed by attendees.</w:t>
      </w:r>
    </w:p>
    <w:p>
      <w:pPr>
        <w:pStyle w:val="BodyText"/>
      </w:pPr>
      <w:r>
        <w:t xml:space="preserve">The tables and figures in this report have been generated automatically.</w:t>
      </w:r>
    </w:p>
    <w:p>
      <w:pPr>
        <w:pStyle w:val="BodyText"/>
      </w:pPr>
      <w:r>
        <w:t xml:space="preserve">The report was generated on</w:t>
      </w:r>
      <w:r>
        <w:t xml:space="preserve"> </w:t>
      </w:r>
      <w:r>
        <w:rPr>
          <w:b/>
          <w:bCs/>
        </w:rPr>
        <w:t xml:space="preserve">2026-09-17</w:t>
      </w:r>
      <w:r>
        <w:t xml:space="preserve">.</w:t>
      </w:r>
    </w:p>
    <w:bookmarkStart w:id="9" w:name="the-data"/>
    <w:p>
      <w:pPr>
        <w:pStyle w:val="Heading2"/>
      </w:pPr>
      <w:r>
        <w:t xml:space="preserve">The data</w:t>
      </w:r>
    </w:p>
    <w:p>
      <w:pPr>
        <w:pStyle w:val="FirstParagraph"/>
      </w:pPr>
      <w:r>
        <w:t xml:space="preserve">The survey data from this report is taken from the Bonnie’s client satisfaction survey</w:t>
      </w:r>
    </w:p>
    <w:p>
      <w:pPr>
        <w:pStyle w:val="BodyText"/>
      </w:pPr>
      <w:r>
        <w:t xml:space="preserve">The reported includes data from survey responses collected on:</w:t>
      </w:r>
      <w:r>
        <w:t xml:space="preserve"> </w:t>
      </w:r>
      <w:r>
        <w:rPr>
          <w:b/>
          <w:bCs/>
        </w:rPr>
        <w:t xml:space="preserve">2026-08-31</w:t>
      </w:r>
      <w:r>
        <w:t xml:space="preserve">.</w:t>
      </w:r>
    </w:p>
    <w:p>
      <w:pPr>
        <w:pStyle w:val="BodyText"/>
      </w:pPr>
      <w:r>
        <w:rPr>
          <w:b/>
          <w:bCs/>
        </w:rPr>
        <w:t xml:space="preserve">15</w:t>
      </w:r>
      <w:r>
        <w:rPr>
          <w:b/>
          <w:bCs/>
        </w:rPr>
        <w:t xml:space="preserve"> </w:t>
      </w:r>
      <w:r>
        <w:t xml:space="preserve"> </w:t>
      </w:r>
      <w:r>
        <w:t xml:space="preserve">participants completed the survey.</w:t>
      </w:r>
    </w:p>
    <w:p>
      <w:pPr>
        <w:pStyle w:val="BodyText"/>
      </w:pPr>
      <w:r>
        <w:t xml:space="preserve">The below table shows the previous AES attendance of respondents.</w:t>
      </w:r>
    </w:p>
    <w:p>
      <w:pPr>
        <w:pStyle w:val="TableCaption"/>
      </w:pPr>
      <w:r>
        <w:t xml:space="preserve">Previous AES attendance of respondents</w:t>
      </w:r>
    </w:p>
    <w:tbl>
      <w:tblPr>
        <w:tblStyle w:val="Table"/>
        <w:tblW w:type="auto" w:w="0"/>
        <w:tblLook w:firstRow="1" w:lastRow="0" w:firstColumn="0" w:lastColumn="0" w:noHBand="0" w:noVBand="0" w:val="0020"/>
        <w:tblCaption w:val="Previous AES attendance of respondents"/>
      </w:tblPr>
      <w:tblGrid>
        <w:gridCol w:w="2640"/>
        <w:gridCol w:w="2640"/>
        <w:gridCol w:w="2640"/>
      </w:tblGrid>
      <w:tr>
        <w:trPr>
          <w:tblHeader w:val="on"/>
        </w:trPr>
        <w:tc>
          <w:tcPr/>
          <w:p>
            <w:pPr>
              <w:pStyle w:val="Compact"/>
              <w:jc w:val="left"/>
            </w:pPr>
            <w:r>
              <w:t xml:space="preserve">Previous AES attendance</w:t>
            </w:r>
          </w:p>
        </w:tc>
        <w:tc>
          <w:tcPr/>
          <w:p>
            <w:pPr>
              <w:pStyle w:val="Compact"/>
              <w:jc w:val="right"/>
            </w:pPr>
            <w:r>
              <w:t xml:space="preserve">Count</w:t>
            </w:r>
          </w:p>
        </w:tc>
        <w:tc>
          <w:tcPr/>
          <w:p>
            <w:pPr>
              <w:pStyle w:val="Compact"/>
              <w:jc w:val="left"/>
            </w:pPr>
            <w:r>
              <w:t xml:space="preserve">Proportion</w:t>
            </w:r>
          </w:p>
        </w:tc>
      </w:tr>
      <w:tr>
        <w:tc>
          <w:tcPr/>
          <w:p>
            <w:pPr>
              <w:pStyle w:val="Compact"/>
              <w:jc w:val="left"/>
            </w:pPr>
            <w:r>
              <w:t xml:space="preserve">No - this is my first time</w:t>
            </w:r>
          </w:p>
        </w:tc>
        <w:tc>
          <w:tcPr/>
          <w:p>
            <w:pPr>
              <w:pStyle w:val="Compact"/>
              <w:jc w:val="right"/>
            </w:pPr>
            <w:r>
              <w:t xml:space="preserve">6</w:t>
            </w:r>
          </w:p>
        </w:tc>
        <w:tc>
          <w:tcPr/>
          <w:p>
            <w:pPr>
              <w:pStyle w:val="Compact"/>
              <w:jc w:val="left"/>
            </w:pPr>
            <w:r>
              <w:t xml:space="preserve">40%</w:t>
            </w:r>
          </w:p>
        </w:tc>
      </w:tr>
      <w:tr>
        <w:tc>
          <w:tcPr/>
          <w:p>
            <w:pPr>
              <w:pStyle w:val="Compact"/>
              <w:jc w:val="left"/>
            </w:pPr>
            <w:r>
              <w:t xml:space="preserve">Yes - I have been to an AES conference 1 or more times before</w:t>
            </w:r>
          </w:p>
        </w:tc>
        <w:tc>
          <w:tcPr/>
          <w:p>
            <w:pPr>
              <w:pStyle w:val="Compact"/>
              <w:jc w:val="right"/>
            </w:pPr>
            <w:r>
              <w:t xml:space="preserve">9</w:t>
            </w:r>
          </w:p>
        </w:tc>
        <w:tc>
          <w:tcPr/>
          <w:p>
            <w:pPr>
              <w:pStyle w:val="Compact"/>
              <w:jc w:val="left"/>
            </w:pPr>
            <w:r>
              <w:t xml:space="preserve">60%</w:t>
            </w:r>
          </w:p>
        </w:tc>
      </w:tr>
    </w:tbl>
    <w:bookmarkEnd w:id="9"/>
    <w:bookmarkEnd w:id="10"/>
    <w:bookmarkStart w:id="18" w:name="overall-satisfaction"/>
    <w:p>
      <w:pPr>
        <w:pStyle w:val="Heading1"/>
      </w:pPr>
      <w:r>
        <w:t xml:space="preserve">Overall satisfaction</w:t>
      </w:r>
    </w:p>
    <w:p>
      <w:pPr>
        <w:pStyle w:val="FirstParagraph"/>
      </w:pPr>
      <w:r>
        <w:t xml:space="preserve">Respondents were asked to give quick feedback on how satisfied they were with the presentation.</w:t>
      </w:r>
    </w:p>
    <w:p>
      <w:pPr>
        <w:pStyle w:val="BodyText"/>
      </w:pPr>
      <w:r>
        <w:t xml:space="preserve">On average, they rated their satisfaction</w:t>
      </w:r>
      <w:r>
        <w:t xml:space="preserve"> </w:t>
      </w:r>
      <w:r>
        <w:rPr>
          <w:b/>
          <w:bCs/>
        </w:rPr>
        <w:t xml:space="preserve">4.13 / 5 stars</w:t>
      </w:r>
      <w:r>
        <w:t xml:space="preserve">.</w:t>
      </w:r>
    </w:p>
    <w:p>
      <w:pPr>
        <w:pStyle w:val="BodyText"/>
      </w:pPr>
      <w:r>
        <w:t xml:space="preserve">The proportion of respondents who gave the presentation 1, 2, 3, 4, or 5 stars is shown below.</w:t>
      </w:r>
    </w:p>
    <w:p>
      <w:pPr>
        <w:pStyle w:val="BodyText"/>
      </w:pPr>
      <w:r>
        <w:drawing>
          <wp:inline>
            <wp:extent cx="5334000" cy="2461846"/>
            <wp:effectExtent b="0" l="0" r="0" t="0"/>
            <wp:docPr descr="" title="" id="12" name="Picture"/>
            <a:graphic>
              <a:graphicData uri="http://schemas.openxmlformats.org/drawingml/2006/picture">
                <pic:pic>
                  <pic:nvPicPr>
                    <pic:cNvPr descr="Monitoring-on-a-shoestring-code_files/Monitoring-on-a-shoestring-code_files/figure-docx/unnamed-chunk-6-1.png" id="13" name="Picture"/>
                    <pic:cNvPicPr>
                      <a:picLocks noChangeArrowheads="1" noChangeAspect="1"/>
                    </pic:cNvPicPr>
                  </pic:nvPicPr>
                  <pic:blipFill>
                    <a:blip r:embed="rId11"/>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We also asked respondents if they would recommend the presentation to a friend or colleague.</w:t>
      </w:r>
    </w:p>
    <w:p>
      <w:pPr>
        <w:pStyle w:val="BodyText"/>
      </w:pPr>
      <w:r>
        <w:drawing>
          <wp:inline>
            <wp:extent cx="5334000" cy="2461846"/>
            <wp:effectExtent b="0" l="0" r="0" t="0"/>
            <wp:docPr descr="" title="" id="15" name="Picture"/>
            <a:graphic>
              <a:graphicData uri="http://schemas.openxmlformats.org/drawingml/2006/picture">
                <pic:pic>
                  <pic:nvPicPr>
                    <pic:cNvPr descr="Monitoring-on-a-shoestring-code_files/Monitoring-on-a-shoestring-code_files/figure-docx/unnamed-chunk-7-1.png" id="16" name="Picture"/>
                    <pic:cNvPicPr>
                      <a:picLocks noChangeArrowheads="1" noChangeAspect="1"/>
                    </pic:cNvPicPr>
                  </pic:nvPicPr>
                  <pic:blipFill>
                    <a:blip r:embed="rId14"/>
                    <a:stretch>
                      <a:fillRect/>
                    </a:stretch>
                  </pic:blipFill>
                  <pic:spPr bwMode="auto">
                    <a:xfrm>
                      <a:off x="0" y="0"/>
                      <a:ext cx="5334000" cy="2461846"/>
                    </a:xfrm>
                    <a:prstGeom prst="rect">
                      <a:avLst/>
                    </a:prstGeom>
                    <a:noFill/>
                    <a:ln w="9525">
                      <a:noFill/>
                      <a:headEnd/>
                      <a:tailEnd/>
                    </a:ln>
                  </pic:spPr>
                </pic:pic>
              </a:graphicData>
            </a:graphic>
          </wp:inline>
        </w:drawing>
      </w:r>
    </w:p>
    <w:bookmarkStart w:id="17" w:name="satisfaction-by-previous-aes-attendance"/>
    <w:p>
      <w:pPr>
        <w:pStyle w:val="Heading2"/>
      </w:pPr>
      <w:r>
        <w:t xml:space="preserve">Satisfaction by previous AES attendance</w:t>
      </w:r>
    </w:p>
    <w:p>
      <w:pPr>
        <w:pStyle w:val="FirstParagraph"/>
      </w:pPr>
      <w:r>
        <w:t xml:space="preserve">We asked respondents if they had attended an AES conference before. We wanted to know if satisfaction with the presentation differed between those who had attended previously compared to those who had not.</w:t>
      </w:r>
    </w:p>
    <w:p>
      <w:pPr>
        <w:pStyle w:val="BodyText"/>
      </w:pPr>
      <w:r>
        <w:t xml:space="preserve">On average, people who have attended at least 1 AES conference previously rated their satisfaction</w:t>
      </w:r>
      <w:r>
        <w:t xml:space="preserve"> </w:t>
      </w:r>
      <w:r>
        <w:rPr>
          <w:b/>
          <w:bCs/>
        </w:rPr>
        <w:t xml:space="preserve">4.22 / 5 stars</w:t>
      </w:r>
      <w:r>
        <w:t xml:space="preserve"> </w:t>
      </w:r>
      <w:r>
        <w:t xml:space="preserve">and people who have not attended an AES conference before rated their satisfaction</w:t>
      </w:r>
      <w:r>
        <w:t xml:space="preserve"> </w:t>
      </w:r>
      <w:r>
        <w:rPr>
          <w:b/>
          <w:bCs/>
        </w:rPr>
        <w:t xml:space="preserve">4 / 5 stars</w:t>
      </w:r>
      <w:r>
        <w:t xml:space="preserve">.</w:t>
      </w:r>
    </w:p>
    <w:p>
      <w:pPr>
        <w:pStyle w:val="BodyText"/>
      </w:pPr>
      <w:r>
        <w:t xml:space="preserve">The below xyz</w:t>
      </w:r>
    </w:p>
    <w:bookmarkEnd w:id="17"/>
    <w:bookmarkEnd w:id="18"/>
    <w:bookmarkStart w:id="27" w:name="detailed-feedback"/>
    <w:p>
      <w:pPr>
        <w:pStyle w:val="Heading1"/>
      </w:pPr>
      <w:r>
        <w:t xml:space="preserve">Detailed feedback</w:t>
      </w:r>
    </w:p>
    <w:p>
      <w:pPr>
        <w:pStyle w:val="FirstParagraph"/>
      </w:pPr>
      <w:r>
        <w:t xml:space="preserve">In this section xyz.</w:t>
      </w:r>
    </w:p>
    <w:bookmarkStart w:id="22" w:name="what-respondents-enjoyed"/>
    <w:p>
      <w:pPr>
        <w:pStyle w:val="Heading2"/>
      </w:pPr>
      <w:r>
        <w:t xml:space="preserve">What respondents enjoyed</w:t>
      </w:r>
    </w:p>
    <w:p>
      <w:pPr>
        <w:pStyle w:val="FirstParagraph"/>
      </w:pPr>
      <w:r>
        <w:t xml:space="preserve">The graph below shows</w:t>
      </w:r>
    </w:p>
    <w:p>
      <w:pPr>
        <w:pStyle w:val="BodyText"/>
      </w:pPr>
      <w:r>
        <w:drawing>
          <wp:inline>
            <wp:extent cx="5334000" cy="2510117"/>
            <wp:effectExtent b="0" l="0" r="0" t="0"/>
            <wp:docPr descr="" title="" id="20" name="Picture"/>
            <a:graphic>
              <a:graphicData uri="http://schemas.openxmlformats.org/drawingml/2006/picture">
                <pic:pic>
                  <pic:nvPicPr>
                    <pic:cNvPr descr="Monitoring-on-a-shoestring-code_files/Monitoring-on-a-shoestring-code_files/figure-docx/unnamed-chunk-10-1.png" id="21" name="Picture"/>
                    <pic:cNvPicPr>
                      <a:picLocks noChangeArrowheads="1" noChangeAspect="1"/>
                    </pic:cNvPicPr>
                  </pic:nvPicPr>
                  <pic:blipFill>
                    <a:blip r:embed="rId19"/>
                    <a:stretch>
                      <a:fillRect/>
                    </a:stretch>
                  </pic:blipFill>
                  <pic:spPr bwMode="auto">
                    <a:xfrm>
                      <a:off x="0" y="0"/>
                      <a:ext cx="5334000" cy="2510117"/>
                    </a:xfrm>
                    <a:prstGeom prst="rect">
                      <a:avLst/>
                    </a:prstGeom>
                    <a:noFill/>
                    <a:ln w="9525">
                      <a:noFill/>
                      <a:headEnd/>
                      <a:tailEnd/>
                    </a:ln>
                  </pic:spPr>
                </pic:pic>
              </a:graphicData>
            </a:graphic>
          </wp:inline>
        </w:drawing>
      </w:r>
    </w:p>
    <w:bookmarkEnd w:id="22"/>
    <w:bookmarkStart w:id="26" w:name="takeaways-from-the-presentation"/>
    <w:p>
      <w:pPr>
        <w:pStyle w:val="Heading2"/>
      </w:pPr>
      <w:r>
        <w:t xml:space="preserve">Takeaways from the presentation</w:t>
      </w:r>
    </w:p>
    <w:p>
      <w:pPr>
        <w:pStyle w:val="FirstParagraph"/>
      </w:pPr>
      <w:r>
        <w:t xml:space="preserve">We asked respondents to rate how strongly they agreed with the below statements about takeaways from the presentation.</w:t>
      </w:r>
    </w:p>
    <w:p>
      <w:pPr>
        <w:pStyle w:val="BodyText"/>
      </w:pPr>
      <w:r>
        <w:t xml:space="preserve">Please note that labels for responses under 5% is not shown on this figure.</w:t>
      </w:r>
    </w:p>
    <w:p>
      <w:pPr>
        <w:pStyle w:val="BodyText"/>
      </w:pPr>
      <w:r>
        <w:drawing>
          <wp:inline>
            <wp:extent cx="5334000" cy="2510117"/>
            <wp:effectExtent b="0" l="0" r="0" t="0"/>
            <wp:docPr descr="" title="" id="24" name="Picture"/>
            <a:graphic>
              <a:graphicData uri="http://schemas.openxmlformats.org/drawingml/2006/picture">
                <pic:pic>
                  <pic:nvPicPr>
                    <pic:cNvPr descr="Monitoring-on-a-shoestring-code_files/Monitoring-on-a-shoestring-code_files/figure-docx/unnamed-chunk-11-1.png" id="25" name="Picture"/>
                    <pic:cNvPicPr>
                      <a:picLocks noChangeArrowheads="1" noChangeAspect="1"/>
                    </pic:cNvPicPr>
                  </pic:nvPicPr>
                  <pic:blipFill>
                    <a:blip r:embed="rId23"/>
                    <a:stretch>
                      <a:fillRect/>
                    </a:stretch>
                  </pic:blipFill>
                  <pic:spPr bwMode="auto">
                    <a:xfrm>
                      <a:off x="0" y="0"/>
                      <a:ext cx="5334000" cy="2510117"/>
                    </a:xfrm>
                    <a:prstGeom prst="rect">
                      <a:avLst/>
                    </a:prstGeom>
                    <a:noFill/>
                    <a:ln w="9525">
                      <a:noFill/>
                      <a:headEnd/>
                      <a:tailEnd/>
                    </a:ln>
                  </pic:spPr>
                </pic:pic>
              </a:graphicData>
            </a:graphic>
          </wp:inline>
        </w:drawing>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11" Target="media/rId11.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on a shoestring: Example report</dc:title>
  <dc:creator/>
  <cp:keywords/>
  <dcterms:created xsi:type="dcterms:W3CDTF">2026-09-16T20:38:08Z</dcterms:created>
  <dcterms:modified xsi:type="dcterms:W3CDTF">2026-09-16T20:38:08Z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