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8A2A" w14:textId="66AC626C" w:rsidR="00FB2DB7" w:rsidRPr="00FA0C7C" w:rsidRDefault="00C26D06" w:rsidP="00C26D06">
      <w:pPr>
        <w:pStyle w:val="1"/>
        <w:spacing w:before="0" w:after="0" w:line="240" w:lineRule="auto"/>
        <w:rPr>
          <w:rFonts w:ascii="宋体" w:eastAsia="宋体" w:hAnsi="宋体" w:cs="Times New Roman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出血性脑卒中临床相关概念</w:t>
      </w:r>
    </w:p>
    <w:p w14:paraId="48055B31" w14:textId="0601F71F" w:rsidR="00D240F3" w:rsidRPr="00FB2DB7" w:rsidRDefault="005F6C1B" w:rsidP="00FB2DB7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B2DB7">
        <w:rPr>
          <w:rFonts w:ascii="宋体" w:eastAsia="宋体" w:hAnsi="宋体" w:cs="Times New Roman" w:hint="eastAsia"/>
          <w:b/>
          <w:sz w:val="24"/>
          <w:szCs w:val="24"/>
        </w:rPr>
        <w:t>治疗相关：</w:t>
      </w:r>
      <w:r w:rsidR="00D240F3" w:rsidRPr="00FB2DB7">
        <w:rPr>
          <w:rFonts w:ascii="宋体" w:eastAsia="宋体" w:hAnsi="宋体" w:cs="Times New Roman" w:hint="eastAsia"/>
          <w:bCs/>
          <w:sz w:val="24"/>
          <w:szCs w:val="24"/>
        </w:rPr>
        <w:t>出血性脑卒中的治疗是一个综合性的过程，</w:t>
      </w:r>
      <w:bookmarkStart w:id="0" w:name="_Hlk138424206"/>
      <w:r w:rsidR="00D240F3" w:rsidRPr="00FB2DB7">
        <w:rPr>
          <w:rFonts w:ascii="宋体" w:eastAsia="宋体" w:hAnsi="宋体" w:cs="Times New Roman" w:hint="eastAsia"/>
          <w:bCs/>
          <w:sz w:val="24"/>
          <w:szCs w:val="24"/>
        </w:rPr>
        <w:t>需要综合考虑患者的病情、颅内压力、血压控制、血液管理等因素，并由医生根据具体情况制定个体化的治疗方案。</w:t>
      </w:r>
    </w:p>
    <w:bookmarkEnd w:id="0"/>
    <w:p w14:paraId="4F49480B" w14:textId="6A332063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脑室引流</w:t>
      </w:r>
      <w:r w:rsidRPr="00FA0C7C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用于治疗出血性脑卒中的手术干预方法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主要适用于脑出血导致脑室内积聚大量血液或引起脑积水。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脑室引流是一种侵入性的手术干预，可能伴随一些并发症和风险。这包括感染、出血、导管堵塞、导管移位等。因此，脑室引流需要在专业医生的指导下进行，并密切监测患者的情况。</w:t>
      </w:r>
    </w:p>
    <w:p w14:paraId="495DAD61" w14:textId="6AEAB714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止血治疗：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血凝酶是一种促进血液凝固的蛋白酶，可用于颅内动脉瘤破裂引起的蛛网膜下腔出血。血凝</w:t>
      </w:r>
      <w:proofErr w:type="gramStart"/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酶治疗</w:t>
      </w:r>
      <w:proofErr w:type="gramEnd"/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可能伴随一些风险和并发症，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在治疗前需要权衡治疗的潜在益处和风险，并仔细评估患者的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收益和风险比例</w:t>
      </w:r>
      <w:r w:rsidR="00580898" w:rsidRPr="00FA0C7C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29D144D8" w14:textId="201DABC5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降颅压治疗</w:t>
      </w:r>
      <w:r w:rsidR="00240EB4" w:rsidRPr="00FA0C7C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FA0C7C">
        <w:rPr>
          <w:rFonts w:ascii="宋体" w:eastAsia="宋体" w:hAnsi="宋体" w:cs="Times New Roman"/>
          <w:bCs/>
          <w:sz w:val="24"/>
          <w:szCs w:val="24"/>
        </w:rPr>
        <w:t>甘露醇、甘油果糖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等药物可减轻颅内压力，降低脑组织的水肿、调节脑血管的收缩和扩张、降低脑代谢率等。</w:t>
      </w:r>
    </w:p>
    <w:p w14:paraId="5C4AEDCE" w14:textId="035DA287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降压治疗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：</w:t>
      </w:r>
      <w:r w:rsidRPr="00FA0C7C">
        <w:rPr>
          <w:rFonts w:ascii="宋体" w:eastAsia="宋体" w:hAnsi="宋体" w:cs="Times New Roman"/>
          <w:bCs/>
          <w:sz w:val="24"/>
          <w:szCs w:val="24"/>
        </w:rPr>
        <w:t>乌拉地尔、硝酸甘油等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药物可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控制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患者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血压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FA0C7C">
        <w:rPr>
          <w:rFonts w:ascii="宋体" w:eastAsia="宋体" w:hAnsi="宋体" w:cs="Times New Roman" w:hint="eastAsia"/>
          <w:bCs/>
          <w:sz w:val="24"/>
          <w:szCs w:val="24"/>
        </w:rPr>
        <w:t>是出血性脑卒中治疗的重要一环。通过降低血压，可以减少血管的进一步破裂和出血，从而减轻脑损伤的程度。</w:t>
      </w:r>
    </w:p>
    <w:p w14:paraId="4191E1C9" w14:textId="0E3B8B82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镇静、镇痛治疗</w:t>
      </w:r>
      <w:r w:rsidRPr="00FA0C7C">
        <w:rPr>
          <w:rFonts w:ascii="宋体" w:eastAsia="宋体" w:hAnsi="宋体" w:cs="Times New Roman"/>
          <w:bCs/>
          <w:sz w:val="24"/>
          <w:szCs w:val="24"/>
        </w:rPr>
        <w:t>：</w:t>
      </w:r>
      <w:r w:rsidR="00240EB4" w:rsidRPr="00FA0C7C">
        <w:rPr>
          <w:rFonts w:ascii="宋体" w:eastAsia="宋体" w:hAnsi="宋体" w:cs="Times New Roman" w:hint="eastAsia"/>
          <w:bCs/>
          <w:sz w:val="24"/>
          <w:szCs w:val="24"/>
        </w:rPr>
        <w:t>相关治疗可减轻患者的疼痛和不适感，提供舒适的治疗环境。镇静镇痛药物使用可能伴随一些风险和并发症，包括呼吸抑制、低血压、过敏反应等。在给予镇静镇痛药物之前，需要评估患者的适应症和风险，并密切监测患者的病情和反应。</w:t>
      </w:r>
    </w:p>
    <w:p w14:paraId="148FAFB8" w14:textId="27B3401D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止吐护胃</w:t>
      </w:r>
      <w:r w:rsidRPr="00FA0C7C">
        <w:rPr>
          <w:rFonts w:ascii="宋体" w:eastAsia="宋体" w:hAnsi="宋体" w:cs="Times New Roman"/>
          <w:bCs/>
          <w:sz w:val="24"/>
          <w:szCs w:val="24"/>
        </w:rPr>
        <w:t>：</w:t>
      </w:r>
      <w:r w:rsidR="003655F4" w:rsidRPr="00FA0C7C">
        <w:rPr>
          <w:rFonts w:ascii="宋体" w:eastAsia="宋体" w:hAnsi="宋体" w:cs="Times New Roman" w:hint="eastAsia"/>
          <w:bCs/>
          <w:sz w:val="24"/>
          <w:szCs w:val="24"/>
        </w:rPr>
        <w:t>可预防和缓解患者可能出现的恶心、呕吐和胃酸分泌增加等胃肠道并发症。</w:t>
      </w:r>
    </w:p>
    <w:p w14:paraId="6754D532" w14:textId="7910C0D6" w:rsidR="00D240F3" w:rsidRPr="00FA0C7C" w:rsidRDefault="00D240F3" w:rsidP="00FB2DB7">
      <w:pPr>
        <w:pStyle w:val="af"/>
        <w:numPr>
          <w:ilvl w:val="0"/>
          <w:numId w:val="7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FA0C7C">
        <w:rPr>
          <w:rFonts w:ascii="宋体" w:eastAsia="宋体" w:hAnsi="宋体" w:cs="Times New Roman"/>
          <w:b/>
          <w:sz w:val="24"/>
          <w:szCs w:val="24"/>
        </w:rPr>
        <w:t>营养神经</w:t>
      </w:r>
      <w:r w:rsidR="005F6C1B" w:rsidRPr="00FA0C7C">
        <w:rPr>
          <w:rFonts w:ascii="宋体" w:eastAsia="宋体" w:hAnsi="宋体" w:cs="Times New Roman" w:hint="eastAsia"/>
          <w:bCs/>
          <w:sz w:val="24"/>
          <w:szCs w:val="24"/>
        </w:rPr>
        <w:t>：可</w:t>
      </w:r>
      <w:r w:rsidR="003655F4" w:rsidRPr="00FA0C7C">
        <w:rPr>
          <w:rFonts w:ascii="宋体" w:eastAsia="宋体" w:hAnsi="宋体" w:cs="Times New Roman" w:hint="eastAsia"/>
          <w:bCs/>
          <w:sz w:val="24"/>
          <w:szCs w:val="24"/>
        </w:rPr>
        <w:t>提供适当的营养支持和促进神经功能恢复，维持免疫功能、促进伤口愈合和预防并发症的发生。</w:t>
      </w:r>
    </w:p>
    <w:p w14:paraId="1C824393" w14:textId="77777777" w:rsidR="00C703AE" w:rsidRPr="00FA0C7C" w:rsidRDefault="00C703AE" w:rsidP="00C703AE">
      <w:pPr>
        <w:pStyle w:val="af"/>
        <w:ind w:left="42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1C4F75FF" w14:textId="5F34F508" w:rsidR="00C703AE" w:rsidRDefault="00C703AE" w:rsidP="00C703AE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C703AE">
        <w:rPr>
          <w:rFonts w:ascii="宋体" w:eastAsia="宋体" w:hAnsi="宋体" w:cs="Times New Roman" w:hint="eastAsia"/>
          <w:b/>
          <w:bCs/>
          <w:sz w:val="24"/>
          <w:szCs w:val="24"/>
        </w:rPr>
        <w:t>残差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Pr="00C703AE">
        <w:rPr>
          <w:rFonts w:ascii="宋体" w:eastAsia="宋体" w:hAnsi="宋体" w:cs="Times New Roman" w:hint="eastAsia"/>
          <w:bCs/>
          <w:sz w:val="24"/>
          <w:szCs w:val="24"/>
        </w:rPr>
        <w:t>数理统计中</w:t>
      </w:r>
      <w:r>
        <w:rPr>
          <w:rFonts w:ascii="宋体" w:eastAsia="宋体" w:hAnsi="宋体" w:cs="Times New Roman" w:hint="eastAsia"/>
          <w:bCs/>
          <w:sz w:val="24"/>
          <w:szCs w:val="24"/>
        </w:rPr>
        <w:t>残差</w:t>
      </w:r>
      <w:r w:rsidRPr="00C703AE">
        <w:rPr>
          <w:rFonts w:ascii="宋体" w:eastAsia="宋体" w:hAnsi="宋体" w:cs="Times New Roman" w:hint="eastAsia"/>
          <w:bCs/>
          <w:sz w:val="24"/>
          <w:szCs w:val="24"/>
        </w:rPr>
        <w:t>指实际观察值与估计值（拟合值）之间的差。“残差”蕴含了有关模型基本假设的重要信息。如果回归模型正确的话，</w:t>
      </w:r>
      <w:r w:rsidRPr="00C703AE">
        <w:rPr>
          <w:rFonts w:ascii="宋体" w:eastAsia="宋体" w:hAnsi="宋体" w:cs="Times New Roman"/>
          <w:bCs/>
          <w:sz w:val="24"/>
          <w:szCs w:val="24"/>
        </w:rPr>
        <w:t xml:space="preserve"> 可以将残差看作误差的观测值。</w:t>
      </w:r>
    </w:p>
    <w:p w14:paraId="4C671480" w14:textId="77777777" w:rsidR="00C703AE" w:rsidRPr="00C703AE" w:rsidRDefault="00C703AE" w:rsidP="00C703AE">
      <w:pPr>
        <w:pStyle w:val="af"/>
        <w:ind w:left="420" w:firstLineChars="0" w:firstLine="0"/>
        <w:rPr>
          <w:rFonts w:ascii="宋体" w:eastAsia="宋体" w:hAnsi="宋体" w:cs="Times New Roman"/>
          <w:bCs/>
          <w:sz w:val="24"/>
          <w:szCs w:val="24"/>
        </w:rPr>
      </w:pPr>
    </w:p>
    <w:p w14:paraId="6A302885" w14:textId="03425FFC" w:rsidR="00DC2863" w:rsidRDefault="00DC2863" w:rsidP="00DC2863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 w:hint="eastAsia"/>
          <w:b/>
          <w:bCs/>
          <w:sz w:val="24"/>
          <w:szCs w:val="24"/>
        </w:rPr>
        <w:t>卒中患者预后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患者预后是指对患者疾病进展、康复或生存情况的</w:t>
      </w:r>
      <w:r>
        <w:rPr>
          <w:rFonts w:ascii="宋体" w:eastAsia="宋体" w:hAnsi="宋体" w:cs="Times New Roman" w:hint="eastAsia"/>
          <w:bCs/>
          <w:sz w:val="24"/>
          <w:szCs w:val="24"/>
        </w:rPr>
        <w:t>预测/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评估</w:t>
      </w:r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132265">
        <w:rPr>
          <w:rFonts w:ascii="宋体" w:eastAsia="宋体" w:hAnsi="宋体" w:cs="Times New Roman" w:hint="eastAsia"/>
          <w:bCs/>
          <w:sz w:val="24"/>
          <w:szCs w:val="24"/>
        </w:rPr>
        <w:t>卒中后，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医生和医疗专业人员可以根据患者的</w:t>
      </w:r>
      <w:r>
        <w:rPr>
          <w:rFonts w:ascii="宋体" w:eastAsia="宋体" w:hAnsi="宋体" w:cs="Times New Roman" w:hint="eastAsia"/>
          <w:bCs/>
          <w:sz w:val="24"/>
          <w:szCs w:val="24"/>
        </w:rPr>
        <w:t>神经功能损伤情况和生活自理能力等状态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进行评估</w:t>
      </w:r>
      <w:r>
        <w:rPr>
          <w:rFonts w:ascii="宋体" w:eastAsia="宋体" w:hAnsi="宋体" w:cs="Times New Roman" w:hint="eastAsia"/>
          <w:bCs/>
          <w:sz w:val="24"/>
          <w:szCs w:val="24"/>
        </w:rPr>
        <w:t>，据此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预测</w:t>
      </w:r>
      <w:r>
        <w:rPr>
          <w:rFonts w:ascii="宋体" w:eastAsia="宋体" w:hAnsi="宋体" w:cs="Times New Roman" w:hint="eastAsia"/>
          <w:bCs/>
          <w:sz w:val="24"/>
          <w:szCs w:val="24"/>
        </w:rPr>
        <w:t>/评估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患者的病情发展、治疗反应、生存期望和功能恢复等。</w:t>
      </w:r>
      <w:r>
        <w:rPr>
          <w:rFonts w:ascii="宋体" w:eastAsia="宋体" w:hAnsi="宋体" w:cs="Times New Roman" w:hint="eastAsia"/>
          <w:bCs/>
          <w:sz w:val="24"/>
          <w:szCs w:val="24"/>
        </w:rPr>
        <w:t>在卒中相关临床研究中通常用改良的Rank评分（</w:t>
      </w:r>
      <w:proofErr w:type="spellStart"/>
      <w:r>
        <w:rPr>
          <w:rFonts w:ascii="宋体" w:eastAsia="宋体" w:hAnsi="宋体" w:cs="Times New Roman" w:hint="eastAsia"/>
          <w:bCs/>
          <w:sz w:val="24"/>
          <w:szCs w:val="24"/>
        </w:rPr>
        <w:t>mRS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），</w:t>
      </w:r>
      <w:r w:rsidRPr="00DC2863">
        <w:rPr>
          <w:rFonts w:ascii="宋体" w:eastAsia="宋体" w:hAnsi="宋体" w:cs="Times New Roman"/>
          <w:bCs/>
          <w:sz w:val="24"/>
          <w:szCs w:val="24"/>
        </w:rPr>
        <w:t>NIHSS</w:t>
      </w:r>
      <w:r>
        <w:rPr>
          <w:rFonts w:ascii="宋体" w:eastAsia="宋体" w:hAnsi="宋体" w:cs="Times New Roman" w:hint="eastAsia"/>
          <w:bCs/>
          <w:sz w:val="24"/>
          <w:szCs w:val="24"/>
        </w:rPr>
        <w:t>评分或</w:t>
      </w:r>
      <w:r w:rsidRPr="00DC2863">
        <w:rPr>
          <w:rFonts w:ascii="宋体" w:eastAsia="宋体" w:hAnsi="宋体" w:cs="Times New Roman" w:hint="eastAsia"/>
          <w:bCs/>
          <w:sz w:val="24"/>
          <w:szCs w:val="24"/>
        </w:rPr>
        <w:t>生活状态</w:t>
      </w:r>
      <w:r w:rsidRPr="00DC2863">
        <w:rPr>
          <w:rFonts w:ascii="宋体" w:eastAsia="宋体" w:hAnsi="宋体" w:cs="Times New Roman"/>
          <w:bCs/>
          <w:sz w:val="24"/>
          <w:szCs w:val="24"/>
        </w:rPr>
        <w:t>BI评分</w:t>
      </w:r>
      <w:r>
        <w:rPr>
          <w:rFonts w:ascii="宋体" w:eastAsia="宋体" w:hAnsi="宋体" w:cs="Times New Roman" w:hint="eastAsia"/>
          <w:bCs/>
          <w:sz w:val="24"/>
          <w:szCs w:val="24"/>
        </w:rPr>
        <w:t>等来量化患者的预后，来分析疾病进展或治疗疗效。本试题中应用</w:t>
      </w:r>
      <w:proofErr w:type="spellStart"/>
      <w:r>
        <w:rPr>
          <w:rFonts w:ascii="宋体" w:eastAsia="宋体" w:hAnsi="宋体" w:cs="Times New Roman" w:hint="eastAsia"/>
          <w:bCs/>
          <w:sz w:val="24"/>
          <w:szCs w:val="24"/>
        </w:rPr>
        <w:t>mRS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来</w:t>
      </w:r>
      <w:r w:rsidRPr="00DC2863">
        <w:rPr>
          <w:rFonts w:ascii="宋体" w:eastAsia="宋体" w:hAnsi="宋体" w:cs="Times New Roman"/>
          <w:bCs/>
          <w:sz w:val="24"/>
          <w:szCs w:val="24"/>
        </w:rPr>
        <w:t>评估脑卒中患者的功能状态和残疾程度。</w:t>
      </w:r>
    </w:p>
    <w:p w14:paraId="2FD4B1B8" w14:textId="2974355E" w:rsidR="00DC2863" w:rsidRPr="00DC2863" w:rsidRDefault="00DC2863" w:rsidP="00DC2863">
      <w:pPr>
        <w:pStyle w:val="af"/>
        <w:ind w:left="420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  <w:proofErr w:type="spellStart"/>
      <w:r w:rsidRPr="00DC2863">
        <w:rPr>
          <w:rFonts w:ascii="宋体" w:eastAsia="宋体" w:hAnsi="宋体" w:cs="Times New Roman"/>
          <w:b/>
          <w:bCs/>
          <w:sz w:val="24"/>
          <w:szCs w:val="24"/>
        </w:rPr>
        <w:t>mRS</w:t>
      </w:r>
      <w:proofErr w:type="spellEnd"/>
      <w:r w:rsidRPr="00DC2863">
        <w:rPr>
          <w:rFonts w:ascii="宋体" w:eastAsia="宋体" w:hAnsi="宋体" w:cs="Times New Roman"/>
          <w:b/>
          <w:bCs/>
          <w:sz w:val="24"/>
          <w:szCs w:val="24"/>
        </w:rPr>
        <w:t>评分范围从0到6，具体如下：</w:t>
      </w:r>
    </w:p>
    <w:p w14:paraId="0DB2B0D8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0：没有症状，没有残疾。</w:t>
      </w:r>
    </w:p>
    <w:p w14:paraId="1B370F82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1：没有明显的残疾，能够独立进行日常活动。</w:t>
      </w:r>
    </w:p>
    <w:p w14:paraId="2A5ABB2E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2：有轻度残疾，能够自理，但在活动中存在一些限制。</w:t>
      </w:r>
    </w:p>
    <w:p w14:paraId="75CB9C17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3：有中度残疾，需要一定程度的帮助和照顾，但能够坐立或站立。</w:t>
      </w:r>
    </w:p>
    <w:p w14:paraId="1F300A08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4：有中重度残疾，需要全天候照顾和帮助，无法行走或自理。</w:t>
      </w:r>
    </w:p>
    <w:p w14:paraId="10FD8922" w14:textId="77777777" w:rsidR="00DC2863" w:rsidRP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5：完全依赖他人，不能进行任何活动，床上活动有困难。</w:t>
      </w:r>
    </w:p>
    <w:p w14:paraId="61038A55" w14:textId="6982A7FA" w:rsidR="00DC2863" w:rsidRDefault="00DC2863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  <w:r w:rsidRPr="00DC2863">
        <w:rPr>
          <w:rFonts w:ascii="宋体" w:eastAsia="宋体" w:hAnsi="宋体" w:cs="Times New Roman"/>
          <w:bCs/>
          <w:sz w:val="24"/>
          <w:szCs w:val="24"/>
        </w:rPr>
        <w:t>6：死亡。</w:t>
      </w:r>
    </w:p>
    <w:p w14:paraId="298A51E3" w14:textId="77777777" w:rsidR="00C703AE" w:rsidRPr="00DC2863" w:rsidRDefault="00C703AE" w:rsidP="00DC2863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</w:pPr>
    </w:p>
    <w:p w14:paraId="397A4F5A" w14:textId="77777777" w:rsidR="009D1BB0" w:rsidRDefault="00FB2DB7" w:rsidP="00FB2DB7">
      <w:pPr>
        <w:pStyle w:val="af"/>
        <w:numPr>
          <w:ilvl w:val="0"/>
          <w:numId w:val="11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bookmarkStart w:id="1" w:name="_Hlk142242517"/>
      <w:r w:rsidRPr="00AF4A53"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血肿，水肿</w:t>
      </w:r>
      <w:r w:rsidR="009D1BB0">
        <w:rPr>
          <w:rFonts w:ascii="宋体" w:eastAsia="宋体" w:hAnsi="宋体" w:cs="Times New Roman" w:hint="eastAsia"/>
          <w:b/>
          <w:bCs/>
          <w:sz w:val="24"/>
          <w:szCs w:val="24"/>
        </w:rPr>
        <w:t>影像特征</w:t>
      </w:r>
    </w:p>
    <w:p w14:paraId="0DA928B9" w14:textId="59A3CF4C" w:rsidR="00C703AE" w:rsidRPr="006C1E11" w:rsidRDefault="006C1E11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位置：</w:t>
      </w:r>
      <w:proofErr w:type="gramStart"/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全脑共划分</w:t>
      </w:r>
      <w:proofErr w:type="gramEnd"/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为1</w:t>
      </w:r>
      <w:r w:rsidR="009D1BB0" w:rsidRPr="006C1E11">
        <w:rPr>
          <w:rFonts w:ascii="宋体" w:eastAsia="宋体" w:hAnsi="宋体" w:cs="Times New Roman"/>
          <w:b/>
          <w:bCs/>
          <w:sz w:val="24"/>
          <w:szCs w:val="24"/>
        </w:rPr>
        <w:t>0</w:t>
      </w:r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个不同</w:t>
      </w:r>
      <w:r w:rsidR="00FB2DB7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位置</w:t>
      </w:r>
      <w:r w:rsidR="009D1BB0" w:rsidRPr="006C1E11">
        <w:rPr>
          <w:rFonts w:ascii="宋体" w:eastAsia="宋体" w:hAnsi="宋体" w:cs="Times New Roman" w:hint="eastAsia"/>
          <w:b/>
          <w:bCs/>
          <w:sz w:val="24"/>
          <w:szCs w:val="24"/>
        </w:rPr>
        <w:t>，包括</w:t>
      </w:r>
      <w:r w:rsidR="00C703AE" w:rsidRPr="006C1E11">
        <w:rPr>
          <w:rFonts w:ascii="宋体" w:eastAsia="宋体" w:hAnsi="宋体" w:cs="Times New Roman"/>
          <w:bCs/>
          <w:sz w:val="24"/>
          <w:szCs w:val="24"/>
        </w:rPr>
        <w:t>ACA大脑前动脉，MCA大脑中动脉，PCA大脑后动脉，Pons/Medulla脑桥</w:t>
      </w:r>
      <w:r w:rsidR="00C703AE" w:rsidRPr="006C1E11">
        <w:rPr>
          <w:rFonts w:ascii="宋体" w:eastAsia="宋体" w:hAnsi="宋体" w:cs="Times New Roman" w:hint="eastAsia"/>
          <w:bCs/>
          <w:sz w:val="24"/>
          <w:szCs w:val="24"/>
        </w:rPr>
        <w:t>/</w:t>
      </w:r>
      <w:r w:rsidR="00C703AE" w:rsidRPr="006C1E11">
        <w:rPr>
          <w:rFonts w:ascii="宋体" w:eastAsia="宋体" w:hAnsi="宋体" w:cs="Times New Roman"/>
          <w:bCs/>
          <w:sz w:val="24"/>
          <w:szCs w:val="24"/>
        </w:rPr>
        <w:t>延髓，Cerebellum小脑</w: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begin"/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instrText xml:space="preserve"> ADDIN EN.CITE &lt;EndNote&gt;&lt;Cite&gt;&lt;Author&gt;Schirmer&lt;/Author&gt;&lt;Year&gt;2019&lt;/Year&gt;&lt;RecNum&gt;53&lt;/RecNum&gt;&lt;DisplayText&gt;(Schirmer, Giese et al. 2019)&lt;/DisplayText&gt;&lt;record&gt;&lt;rec-number&gt;53&lt;/rec-number&gt;&lt;foreign-keys&gt;&lt;key app="EN" db-id="vtsrs2s5fs29tnez0rm5z50yrtas2rpsexrs" timestamp="1690506414"&gt;53&lt;/key&gt;&lt;/foreign-keys&gt;&lt;ref-type name="Journal Article"&gt;17&lt;/ref-type&gt;&lt;contributors&gt;&lt;authors&gt;&lt;author&gt;Schirmer,Markus D.&lt;/author&gt;&lt;author&gt;Giese,Anne-Katrin&lt;/author&gt;&lt;author&gt;Fotiadis,Panagiotis&lt;/author&gt;&lt;author&gt;Etherton,Mark R.&lt;/author&gt;&lt;author&gt;Cloonan,Lisa&lt;/author&gt;&lt;author&gt;Viswanathan,Anand&lt;/author&gt;&lt;author&gt;Greenberg,Steven M.&lt;/author&gt;&lt;author&gt;Wu,Ona&lt;/author&gt;&lt;author&gt;Rost,Natalia S.&lt;/author&gt;&lt;/authors&gt;&lt;/contributors&gt;&lt;titles&gt;&lt;title&gt;Spatial Signature of White Matter Hyperintensities in Stroke Patients&lt;/title&gt;&lt;secondary-title&gt;Frontiers in Neurology&lt;/secondary-title&gt;&lt;short-title&gt;Spatial signature of WMH&lt;/short-title&gt;&lt;/titles&gt;&lt;periodical&gt;&lt;full-title&gt;Frontiers in Neurology&lt;/full-title&gt;&lt;/periodical&gt;&lt;volume&gt;10&lt;/volume&gt;&lt;keywords&gt;&lt;keyword&gt;Acute ischemic stroke,White matter hyperintensity (WMH),spatial,Vascular territory,template&lt;/keyword&gt;&lt;/keywords&gt;&lt;dates&gt;&lt;year&gt;2019&lt;/year&gt;&lt;pub-dates&gt;&lt;date&gt;2019-March-19&lt;/date&gt;&lt;/pub-dates&gt;&lt;/dates&gt;&lt;isbn&gt;1664-2295&lt;/isbn&gt;&lt;work-type&gt;Original Research&lt;/work-type&gt;&lt;urls&gt;&lt;related-urls&gt;&lt;url&gt;https://www.frontiersin.org/articles/10.3389/fneur.2019.00208&lt;/url&gt;&lt;/related-urls&gt;&lt;/urls&gt;&lt;electronic-resource-num&gt;10.3389/fneur.2019.00208&lt;/electronic-resource-num&gt;&lt;language&gt;English&lt;/language&gt;&lt;/record&gt;&lt;/Cite&gt;&lt;/EndNote&gt;</w:instrTex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separate"/>
      </w:r>
      <w:r w:rsidR="009D1BB0" w:rsidRPr="006C1E11">
        <w:rPr>
          <w:rFonts w:ascii="宋体" w:eastAsia="宋体" w:hAnsi="宋体" w:cs="Times New Roman"/>
          <w:bCs/>
          <w:noProof/>
          <w:sz w:val="24"/>
          <w:szCs w:val="24"/>
        </w:rPr>
        <w:t>(Schirmer, Giese et al. 2019)</w:t>
      </w:r>
      <w:r w:rsidR="009D1BB0" w:rsidRPr="006C1E11">
        <w:rPr>
          <w:rFonts w:ascii="宋体" w:eastAsia="宋体" w:hAnsi="宋体" w:cs="Times New Roman"/>
          <w:bCs/>
          <w:sz w:val="24"/>
          <w:szCs w:val="24"/>
        </w:rPr>
        <w:fldChar w:fldCharType="end"/>
      </w:r>
      <w:r w:rsidR="009D1BB0" w:rsidRPr="006C1E11">
        <w:rPr>
          <w:rFonts w:ascii="宋体" w:eastAsia="宋体" w:hAnsi="宋体" w:cs="Times New Roman" w:hint="eastAsia"/>
          <w:bCs/>
          <w:sz w:val="24"/>
          <w:szCs w:val="24"/>
        </w:rPr>
        <w:t>，具体如下图所示</w:t>
      </w:r>
      <w:r w:rsidR="00C703AE" w:rsidRPr="006C1E11">
        <w:rPr>
          <w:rFonts w:ascii="宋体" w:eastAsia="宋体" w:hAnsi="宋体" w:cs="Times New Roman"/>
          <w:b/>
          <w:bCs/>
          <w:sz w:val="24"/>
          <w:szCs w:val="24"/>
        </w:rPr>
        <w:t>。</w:t>
      </w:r>
    </w:p>
    <w:bookmarkEnd w:id="1"/>
    <w:p w14:paraId="7FC86959" w14:textId="6183065E" w:rsidR="007468C5" w:rsidRDefault="00EC0FF4" w:rsidP="00FB2DB7">
      <w:pPr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noProof/>
          <w:sz w:val="24"/>
          <w:szCs w:val="24"/>
        </w:rPr>
        <w:drawing>
          <wp:inline distT="0" distB="0" distL="0" distR="0" wp14:anchorId="4D655E93" wp14:editId="19F77D49">
            <wp:extent cx="5351303" cy="2928194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692" cy="2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829E6" w14:textId="77777777" w:rsidR="00342B18" w:rsidRDefault="00342B18" w:rsidP="00FB2DB7">
      <w:pPr>
        <w:rPr>
          <w:rFonts w:ascii="宋体" w:eastAsia="宋体" w:hAnsi="宋体" w:cs="Times New Roman"/>
          <w:bCs/>
          <w:sz w:val="24"/>
          <w:szCs w:val="24"/>
        </w:rPr>
      </w:pPr>
    </w:p>
    <w:p w14:paraId="028FCFB4" w14:textId="77777777" w:rsidR="006C1E11" w:rsidRPr="000451A1" w:rsidRDefault="00F67F06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灰度</w:t>
      </w:r>
      <w:r w:rsidR="007468C5" w:rsidRPr="00C719DC">
        <w:rPr>
          <w:rFonts w:ascii="宋体" w:eastAsia="宋体" w:hAnsi="宋体" w:cs="Times New Roman" w:hint="eastAsia"/>
          <w:b/>
          <w:bCs/>
          <w:sz w:val="24"/>
          <w:szCs w:val="24"/>
        </w:rPr>
        <w:t>特征</w:t>
      </w:r>
      <w:r w:rsidR="000451A1" w:rsidRPr="00C719DC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基本的度量值</w:t>
      </w:r>
      <w:r w:rsidR="006C1E11" w:rsidRPr="000451A1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反映</w:t>
      </w:r>
      <w:r w:rsidR="006C1E11" w:rsidRPr="000451A1">
        <w:rPr>
          <w:rFonts w:ascii="宋体" w:eastAsia="宋体" w:hAnsi="宋体" w:cs="Times New Roman" w:hint="eastAsia"/>
          <w:bCs/>
          <w:sz w:val="24"/>
          <w:szCs w:val="24"/>
        </w:rPr>
        <w:t>目标</w:t>
      </w:r>
      <w:r w:rsidR="006C1E11" w:rsidRPr="000451A1">
        <w:rPr>
          <w:rFonts w:ascii="宋体" w:eastAsia="宋体" w:hAnsi="宋体" w:cs="Times New Roman"/>
          <w:bCs/>
          <w:sz w:val="24"/>
          <w:szCs w:val="24"/>
        </w:rPr>
        <w:t>区域内体素强度的分布</w:t>
      </w:r>
    </w:p>
    <w:p w14:paraId="5BA97B2E" w14:textId="77777777" w:rsidR="00C719DC" w:rsidRDefault="00C719DC" w:rsidP="007468C5">
      <w:pPr>
        <w:pStyle w:val="af"/>
        <w:ind w:left="420" w:firstLine="480"/>
        <w:rPr>
          <w:rFonts w:ascii="宋体" w:eastAsia="宋体" w:hAnsi="宋体" w:cs="Times New Roman"/>
          <w:bCs/>
          <w:sz w:val="24"/>
          <w:szCs w:val="24"/>
        </w:rPr>
        <w:sectPr w:rsidR="00C719DC" w:rsidSect="002C56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0319CD" w14:textId="16689ABA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10Percentile</w:t>
      </w:r>
    </w:p>
    <w:p w14:paraId="3101A657" w14:textId="4604823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90Percentile</w:t>
      </w:r>
    </w:p>
    <w:p w14:paraId="27571B6B" w14:textId="3603B3F2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Energy</w:t>
      </w:r>
    </w:p>
    <w:p w14:paraId="53C39A1B" w14:textId="471B277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Entropy</w:t>
      </w:r>
    </w:p>
    <w:p w14:paraId="11FBED88" w14:textId="77C54D20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InterquartileRange</w:t>
      </w:r>
      <w:proofErr w:type="spellEnd"/>
    </w:p>
    <w:p w14:paraId="08D42738" w14:textId="672CC979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Kurtosis</w:t>
      </w:r>
    </w:p>
    <w:p w14:paraId="4DF13448" w14:textId="3C3A02BF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Maximum</w:t>
      </w:r>
    </w:p>
    <w:p w14:paraId="396F9D0D" w14:textId="1888206C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MeanAbsoluteDeviation</w:t>
      </w:r>
      <w:proofErr w:type="spellEnd"/>
    </w:p>
    <w:p w14:paraId="09E8CEF9" w14:textId="39508A34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Mean</w:t>
      </w:r>
      <w:bookmarkStart w:id="2" w:name="_GoBack"/>
      <w:bookmarkEnd w:id="2"/>
    </w:p>
    <w:p w14:paraId="4358D25D" w14:textId="61D2C4DB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Median</w:t>
      </w:r>
    </w:p>
    <w:p w14:paraId="418B248F" w14:textId="6DD6E8D6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Minimum</w:t>
      </w:r>
    </w:p>
    <w:p w14:paraId="12065593" w14:textId="2B9D2893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Range</w:t>
      </w:r>
    </w:p>
    <w:p w14:paraId="180D90CB" w14:textId="472A535D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RobustMeanAbsoluteDeviation</w:t>
      </w:r>
      <w:proofErr w:type="spellEnd"/>
    </w:p>
    <w:p w14:paraId="5B786B8D" w14:textId="3DCCE6F5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AC3AF8">
        <w:rPr>
          <w:rFonts w:ascii="宋体" w:eastAsia="宋体" w:hAnsi="宋体" w:cs="Times New Roman"/>
          <w:bCs/>
          <w:sz w:val="22"/>
          <w:szCs w:val="24"/>
        </w:rPr>
        <w:t>RootMeanSquared</w:t>
      </w:r>
      <w:proofErr w:type="spellEnd"/>
    </w:p>
    <w:p w14:paraId="35C2D5B7" w14:textId="78C52C7A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Skewness</w:t>
      </w:r>
    </w:p>
    <w:p w14:paraId="0E8DB0FD" w14:textId="3F483E9B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Uniformity</w:t>
      </w:r>
    </w:p>
    <w:p w14:paraId="6D5906F3" w14:textId="51968491" w:rsidR="00AC3AF8" w:rsidRPr="00AC3AF8" w:rsidRDefault="00AC3AF8" w:rsidP="00AC3AF8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AC3AF8">
        <w:rPr>
          <w:rFonts w:ascii="宋体" w:eastAsia="宋体" w:hAnsi="宋体" w:cs="Times New Roman"/>
          <w:bCs/>
          <w:sz w:val="22"/>
          <w:szCs w:val="24"/>
        </w:rPr>
        <w:t>Variance</w:t>
      </w:r>
    </w:p>
    <w:p w14:paraId="283A602F" w14:textId="77777777" w:rsidR="00AC3AF8" w:rsidRDefault="00AC3AF8" w:rsidP="00AC3AF8">
      <w:pPr>
        <w:pStyle w:val="af"/>
        <w:ind w:firstLine="480"/>
        <w:rPr>
          <w:rFonts w:ascii="宋体" w:eastAsia="宋体" w:hAnsi="宋体" w:cs="Times New Roman"/>
          <w:bCs/>
          <w:sz w:val="24"/>
          <w:szCs w:val="24"/>
        </w:rPr>
        <w:sectPr w:rsidR="00AC3AF8" w:rsidSect="00AC3AF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8A9B0E4" w14:textId="54A87108" w:rsidR="00AC3AF8" w:rsidRPr="006C1E11" w:rsidRDefault="00C703AE" w:rsidP="006C1E11">
      <w:pPr>
        <w:pStyle w:val="af"/>
        <w:numPr>
          <w:ilvl w:val="0"/>
          <w:numId w:val="1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  <w:sectPr w:rsidR="00AC3AF8" w:rsidRPr="006C1E11" w:rsidSect="00C719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49CC">
        <w:rPr>
          <w:rFonts w:ascii="宋体" w:eastAsia="宋体" w:hAnsi="宋体" w:cs="Times New Roman"/>
          <w:b/>
          <w:bCs/>
          <w:sz w:val="24"/>
          <w:szCs w:val="24"/>
        </w:rPr>
        <w:t>形状特征：</w:t>
      </w:r>
      <w:r w:rsidR="00C719DC" w:rsidRPr="003E571D">
        <w:rPr>
          <w:rFonts w:ascii="宋体" w:eastAsia="宋体" w:hAnsi="宋体" w:cs="Times New Roman"/>
          <w:bCs/>
          <w:sz w:val="24"/>
          <w:szCs w:val="24"/>
        </w:rPr>
        <w:t>对</w:t>
      </w:r>
      <w:r w:rsidR="00AA5D4F" w:rsidRPr="003E571D">
        <w:rPr>
          <w:rFonts w:ascii="宋体" w:eastAsia="宋体" w:hAnsi="宋体" w:cs="Times New Roman"/>
          <w:bCs/>
          <w:sz w:val="24"/>
          <w:szCs w:val="24"/>
        </w:rPr>
        <w:t>目标区域</w:t>
      </w:r>
      <w:r w:rsidR="00C719DC" w:rsidRPr="003E571D">
        <w:rPr>
          <w:rFonts w:ascii="宋体" w:eastAsia="宋体" w:hAnsi="宋体" w:cs="Times New Roman"/>
          <w:bCs/>
          <w:sz w:val="24"/>
          <w:szCs w:val="24"/>
        </w:rPr>
        <w:t>三维形状描述</w:t>
      </w:r>
    </w:p>
    <w:p w14:paraId="18A1C328" w14:textId="19F9A13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Elongation</w:t>
      </w:r>
    </w:p>
    <w:p w14:paraId="10C892D3" w14:textId="5409BB35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Flatness</w:t>
      </w:r>
    </w:p>
    <w:p w14:paraId="79B57274" w14:textId="145FB97F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LeastAxisLength</w:t>
      </w:r>
      <w:proofErr w:type="spellEnd"/>
    </w:p>
    <w:p w14:paraId="40F4C91F" w14:textId="375BFD6D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MajorAxisLength</w:t>
      </w:r>
      <w:proofErr w:type="spellEnd"/>
    </w:p>
    <w:p w14:paraId="09D48335" w14:textId="5F161297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Maximum2DDiameterColumn</w:t>
      </w:r>
    </w:p>
    <w:p w14:paraId="38BA2CAB" w14:textId="6CD41C7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Maximum2DDiameterRow</w:t>
      </w:r>
    </w:p>
    <w:p w14:paraId="59508099" w14:textId="20542958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Maximum2DDiameterSlice</w:t>
      </w:r>
    </w:p>
    <w:p w14:paraId="00625DAE" w14:textId="57C2C60C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Maximum3DDiameter</w:t>
      </w:r>
    </w:p>
    <w:p w14:paraId="58B0857F" w14:textId="66349339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MeshVolume</w:t>
      </w:r>
      <w:proofErr w:type="spellEnd"/>
    </w:p>
    <w:p w14:paraId="06FE3634" w14:textId="0A00DBE2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MinorAxisLength</w:t>
      </w:r>
      <w:proofErr w:type="spellEnd"/>
    </w:p>
    <w:p w14:paraId="61721B51" w14:textId="5E002F56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r w:rsidRPr="006C1E11">
        <w:rPr>
          <w:rFonts w:ascii="宋体" w:eastAsia="宋体" w:hAnsi="宋体" w:cs="Times New Roman"/>
          <w:bCs/>
          <w:sz w:val="22"/>
          <w:szCs w:val="24"/>
        </w:rPr>
        <w:t>Sphericity</w:t>
      </w:r>
    </w:p>
    <w:p w14:paraId="718ED5A1" w14:textId="4824E5F6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SurfaceArea</w:t>
      </w:r>
      <w:proofErr w:type="spellEnd"/>
    </w:p>
    <w:p w14:paraId="1A8B0B6C" w14:textId="77777777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SurfaceVolumeRatio</w:t>
      </w:r>
      <w:proofErr w:type="spellEnd"/>
    </w:p>
    <w:p w14:paraId="7BD07FDF" w14:textId="6341E754" w:rsidR="00AC3AF8" w:rsidRPr="006C1E11" w:rsidRDefault="00AC3AF8" w:rsidP="006C1E11">
      <w:pPr>
        <w:pStyle w:val="af"/>
        <w:numPr>
          <w:ilvl w:val="0"/>
          <w:numId w:val="13"/>
        </w:numPr>
        <w:ind w:firstLineChars="0"/>
        <w:rPr>
          <w:rFonts w:ascii="宋体" w:eastAsia="宋体" w:hAnsi="宋体" w:cs="Times New Roman"/>
          <w:bCs/>
          <w:sz w:val="22"/>
          <w:szCs w:val="24"/>
        </w:rPr>
      </w:pPr>
      <w:proofErr w:type="spellStart"/>
      <w:r w:rsidRPr="006C1E11">
        <w:rPr>
          <w:rFonts w:ascii="宋体" w:eastAsia="宋体" w:hAnsi="宋体" w:cs="Times New Roman"/>
          <w:bCs/>
          <w:sz w:val="22"/>
          <w:szCs w:val="24"/>
        </w:rPr>
        <w:t>VoxelVolume</w:t>
      </w:r>
      <w:proofErr w:type="spellEnd"/>
    </w:p>
    <w:p w14:paraId="659A285B" w14:textId="77777777" w:rsidR="00AC3AF8" w:rsidRDefault="00AC3AF8" w:rsidP="00AC3AF8">
      <w:pPr>
        <w:pStyle w:val="af"/>
        <w:ind w:firstLineChars="0" w:firstLine="0"/>
        <w:rPr>
          <w:rFonts w:ascii="宋体" w:eastAsia="宋体" w:hAnsi="宋体" w:cs="Times New Roman"/>
          <w:b/>
          <w:bCs/>
          <w:sz w:val="24"/>
          <w:szCs w:val="24"/>
        </w:rPr>
        <w:sectPr w:rsidR="00AC3AF8" w:rsidSect="00AC3AF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5A955F3" w14:textId="77777777" w:rsidR="00AC3AF8" w:rsidRPr="00C703AE" w:rsidRDefault="00AC3AF8" w:rsidP="00AC3AF8">
      <w:pPr>
        <w:pStyle w:val="af"/>
        <w:ind w:firstLineChars="0" w:firstLine="0"/>
        <w:rPr>
          <w:rFonts w:ascii="宋体" w:eastAsia="宋体" w:hAnsi="宋体" w:cs="Times New Roman"/>
          <w:b/>
          <w:bCs/>
          <w:sz w:val="24"/>
          <w:szCs w:val="24"/>
        </w:rPr>
        <w:sectPr w:rsidR="00AC3AF8" w:rsidRPr="00C703AE" w:rsidSect="00C719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2A26E" w14:textId="04E3896F" w:rsidR="006C1E11" w:rsidRDefault="006C1E11" w:rsidP="006C1E11">
      <w:pPr>
        <w:pStyle w:val="EndNoteBibliography"/>
        <w:ind w:firstLine="420"/>
        <w:jc w:val="right"/>
        <w:rPr>
          <w:rFonts w:ascii="宋体" w:eastAsia="宋体" w:hAnsi="宋体" w:cs="Times New Roman"/>
          <w:b/>
          <w:bCs/>
          <w:noProof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noProof w:val="0"/>
          <w:sz w:val="24"/>
          <w:szCs w:val="24"/>
        </w:rPr>
        <w:t>注</w:t>
      </w:r>
      <w:r>
        <w:rPr>
          <w:rFonts w:ascii="宋体" w:eastAsia="宋体" w:hAnsi="宋体" w:cs="Times New Roman" w:hint="eastAsia"/>
          <w:b/>
          <w:bCs/>
          <w:noProof w:val="0"/>
          <w:sz w:val="24"/>
          <w:szCs w:val="24"/>
        </w:rPr>
        <w:t>：以上特征定义可参考</w:t>
      </w:r>
      <w:r>
        <w:rPr>
          <w:rFonts w:ascii="宋体" w:eastAsia="宋体" w:hAnsi="宋体" w:cs="Times New Roman" w:hint="eastAsia"/>
          <w:b/>
          <w:bCs/>
          <w:noProof w:val="0"/>
          <w:sz w:val="24"/>
          <w:szCs w:val="24"/>
        </w:rPr>
        <w:t>：</w:t>
      </w:r>
      <w:hyperlink r:id="rId9" w:history="1">
        <w:r w:rsidRPr="006038E8">
          <w:rPr>
            <w:rStyle w:val="af1"/>
            <w:rFonts w:ascii="宋体" w:eastAsia="宋体" w:hAnsi="宋体" w:cs="Times New Roman"/>
            <w:b/>
            <w:bCs/>
            <w:noProof w:val="0"/>
            <w:sz w:val="24"/>
            <w:szCs w:val="24"/>
          </w:rPr>
          <w:t>http://pyradiomics.readthedocs.io/</w:t>
        </w:r>
      </w:hyperlink>
    </w:p>
    <w:p w14:paraId="281C07D8" w14:textId="6877CBD6" w:rsidR="006C1E11" w:rsidRPr="006C1E11" w:rsidRDefault="006C1E11" w:rsidP="006C1E11">
      <w:pPr>
        <w:pStyle w:val="EndNoteBibliography"/>
        <w:ind w:right="964"/>
        <w:rPr>
          <w:rFonts w:ascii="宋体" w:eastAsia="宋体" w:hAnsi="宋体" w:cs="Times New Roman" w:hint="eastAsia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参考文献</w:t>
      </w:r>
    </w:p>
    <w:p w14:paraId="356E08AD" w14:textId="12ABE87C" w:rsidR="00C719DC" w:rsidRPr="00C719DC" w:rsidRDefault="00AC3AF8" w:rsidP="00054BC6">
      <w:pPr>
        <w:pStyle w:val="EndNoteBibliography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fldChar w:fldCharType="begin"/>
      </w:r>
      <w:r>
        <w:rPr>
          <w:rFonts w:ascii="宋体" w:eastAsia="宋体" w:hAnsi="宋体" w:cs="Times New Roman"/>
          <w:bCs/>
          <w:sz w:val="24"/>
          <w:szCs w:val="24"/>
        </w:rPr>
        <w:instrText xml:space="preserve"> ADDIN EN.REFLIST </w:instrText>
      </w:r>
      <w:r>
        <w:rPr>
          <w:rFonts w:ascii="宋体" w:eastAsia="宋体" w:hAnsi="宋体" w:cs="Times New Roman"/>
          <w:bCs/>
          <w:sz w:val="24"/>
          <w:szCs w:val="24"/>
        </w:rPr>
        <w:fldChar w:fldCharType="separate"/>
      </w:r>
      <w:r w:rsidR="0028316E" w:rsidRPr="0028316E">
        <w:t xml:space="preserve">Schirmer, M. D., A.-K. Giese, P. Fotiadis, M. R. Etherton, L. Cloonan, A. Viswanathan, S. M. Greenberg, O. Wu and N. S. Rost (2019). "Spatial Signature of White Matter Hyperintensities in Stroke Patients." </w:t>
      </w:r>
      <w:r w:rsidR="0028316E" w:rsidRPr="0028316E">
        <w:rPr>
          <w:u w:val="single"/>
        </w:rPr>
        <w:t>Frontiers in Neurology</w:t>
      </w:r>
      <w:r w:rsidR="0028316E" w:rsidRPr="0028316E">
        <w:t xml:space="preserve"> </w:t>
      </w:r>
      <w:r w:rsidR="0028316E" w:rsidRPr="0028316E">
        <w:rPr>
          <w:b/>
        </w:rPr>
        <w:t>10</w:t>
      </w:r>
      <w:r w:rsidR="0028316E" w:rsidRPr="0028316E">
        <w:t>.</w:t>
      </w:r>
      <w:r>
        <w:rPr>
          <w:rFonts w:ascii="宋体" w:eastAsia="宋体" w:hAnsi="宋体" w:cs="Times New Roman"/>
          <w:bCs/>
          <w:sz w:val="24"/>
          <w:szCs w:val="24"/>
        </w:rPr>
        <w:fldChar w:fldCharType="end"/>
      </w:r>
    </w:p>
    <w:sectPr w:rsidR="00C719DC" w:rsidRPr="00C719DC" w:rsidSect="00AC3AF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6BAC" w14:textId="77777777" w:rsidR="00DD5E28" w:rsidRDefault="00DD5E28" w:rsidP="00924193">
      <w:r>
        <w:separator/>
      </w:r>
    </w:p>
  </w:endnote>
  <w:endnote w:type="continuationSeparator" w:id="0">
    <w:p w14:paraId="0A2B5791" w14:textId="77777777" w:rsidR="00DD5E28" w:rsidRDefault="00DD5E28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3E753" w14:textId="77777777" w:rsidR="00DD5E28" w:rsidRDefault="00DD5E28" w:rsidP="00924193">
      <w:r>
        <w:separator/>
      </w:r>
    </w:p>
  </w:footnote>
  <w:footnote w:type="continuationSeparator" w:id="0">
    <w:p w14:paraId="58EB7733" w14:textId="77777777" w:rsidR="00DD5E28" w:rsidRDefault="00DD5E28" w:rsidP="0092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E7B"/>
    <w:multiLevelType w:val="hybridMultilevel"/>
    <w:tmpl w:val="67F6D066"/>
    <w:lvl w:ilvl="0" w:tplc="03900014">
      <w:start w:val="3"/>
      <w:numFmt w:val="japaneseCounting"/>
      <w:lvlText w:val="%1、"/>
      <w:lvlJc w:val="left"/>
      <w:pPr>
        <w:ind w:left="510" w:hanging="510"/>
      </w:pPr>
      <w:rPr>
        <w:rFonts w:ascii="黑体" w:eastAsia="黑体" w:hAnsi="黑体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74CAF"/>
    <w:multiLevelType w:val="hybridMultilevel"/>
    <w:tmpl w:val="145205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17C0A"/>
    <w:multiLevelType w:val="hybridMultilevel"/>
    <w:tmpl w:val="F5CC5D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836C63"/>
    <w:multiLevelType w:val="hybridMultilevel"/>
    <w:tmpl w:val="C1708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BD79EC"/>
    <w:multiLevelType w:val="hybridMultilevel"/>
    <w:tmpl w:val="56987066"/>
    <w:lvl w:ilvl="0" w:tplc="929604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EF1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88B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EC46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A42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E7B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D847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2E1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B220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F56"/>
    <w:multiLevelType w:val="hybridMultilevel"/>
    <w:tmpl w:val="0A860DAA"/>
    <w:lvl w:ilvl="0" w:tplc="B1F232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 w15:restartNumberingAfterBreak="0">
    <w:nsid w:val="51160DD4"/>
    <w:multiLevelType w:val="hybridMultilevel"/>
    <w:tmpl w:val="F8A6A09A"/>
    <w:lvl w:ilvl="0" w:tplc="4334891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91CC9"/>
    <w:multiLevelType w:val="hybridMultilevel"/>
    <w:tmpl w:val="E5A44CDE"/>
    <w:lvl w:ilvl="0" w:tplc="54689D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36DDB"/>
    <w:multiLevelType w:val="hybridMultilevel"/>
    <w:tmpl w:val="1FCA124E"/>
    <w:lvl w:ilvl="0" w:tplc="5468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A952B8"/>
    <w:multiLevelType w:val="hybridMultilevel"/>
    <w:tmpl w:val="6186B972"/>
    <w:lvl w:ilvl="0" w:tplc="54689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4689D96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87338C"/>
    <w:multiLevelType w:val="hybridMultilevel"/>
    <w:tmpl w:val="7200CF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60A5578"/>
    <w:multiLevelType w:val="hybridMultilevel"/>
    <w:tmpl w:val="444C9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5E7FA9"/>
    <w:multiLevelType w:val="hybridMultilevel"/>
    <w:tmpl w:val="990AB3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0509DC"/>
    <w:multiLevelType w:val="hybridMultilevel"/>
    <w:tmpl w:val="EBCA45A2"/>
    <w:lvl w:ilvl="0" w:tplc="E9CE2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6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0sLC0MDY3M7A0NzJV0lEKTi0uzszPAykwMq0FAOI9lno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srs2s5fs29tnez0rm5z50yrtas2rpsexrs&quot;&gt;MRvsCT&lt;record-ids&gt;&lt;item&gt;53&lt;/item&gt;&lt;/record-ids&gt;&lt;/item&gt;&lt;/Libraries&gt;"/>
  </w:docVars>
  <w:rsids>
    <w:rsidRoot w:val="008F45A6"/>
    <w:rsid w:val="00001A68"/>
    <w:rsid w:val="00002655"/>
    <w:rsid w:val="000077F6"/>
    <w:rsid w:val="00037943"/>
    <w:rsid w:val="000451A1"/>
    <w:rsid w:val="000500DA"/>
    <w:rsid w:val="00054BC6"/>
    <w:rsid w:val="00063676"/>
    <w:rsid w:val="00074F52"/>
    <w:rsid w:val="00085DDD"/>
    <w:rsid w:val="00093807"/>
    <w:rsid w:val="000A3051"/>
    <w:rsid w:val="000B1918"/>
    <w:rsid w:val="000B7D66"/>
    <w:rsid w:val="000C2476"/>
    <w:rsid w:val="000F4A80"/>
    <w:rsid w:val="00105EBD"/>
    <w:rsid w:val="00111FCC"/>
    <w:rsid w:val="00120FFF"/>
    <w:rsid w:val="001221D1"/>
    <w:rsid w:val="00127161"/>
    <w:rsid w:val="00132265"/>
    <w:rsid w:val="001354B1"/>
    <w:rsid w:val="00150E65"/>
    <w:rsid w:val="00162661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B73E5"/>
    <w:rsid w:val="001C0878"/>
    <w:rsid w:val="001C58C7"/>
    <w:rsid w:val="001C67BA"/>
    <w:rsid w:val="001C7B17"/>
    <w:rsid w:val="001D1F78"/>
    <w:rsid w:val="001D20FA"/>
    <w:rsid w:val="001D38A5"/>
    <w:rsid w:val="001F1376"/>
    <w:rsid w:val="00202F99"/>
    <w:rsid w:val="00212A5B"/>
    <w:rsid w:val="002205FA"/>
    <w:rsid w:val="00221459"/>
    <w:rsid w:val="002224AC"/>
    <w:rsid w:val="002242FA"/>
    <w:rsid w:val="00226DCD"/>
    <w:rsid w:val="00240EB4"/>
    <w:rsid w:val="00276E17"/>
    <w:rsid w:val="002810D5"/>
    <w:rsid w:val="0028316E"/>
    <w:rsid w:val="00286617"/>
    <w:rsid w:val="002960F5"/>
    <w:rsid w:val="00297459"/>
    <w:rsid w:val="002A4279"/>
    <w:rsid w:val="002C4C53"/>
    <w:rsid w:val="002C5642"/>
    <w:rsid w:val="002D37AD"/>
    <w:rsid w:val="002D4A35"/>
    <w:rsid w:val="002D6459"/>
    <w:rsid w:val="002D713C"/>
    <w:rsid w:val="002F0E95"/>
    <w:rsid w:val="002F34DF"/>
    <w:rsid w:val="00311E9E"/>
    <w:rsid w:val="00320090"/>
    <w:rsid w:val="00323611"/>
    <w:rsid w:val="00326B50"/>
    <w:rsid w:val="00332384"/>
    <w:rsid w:val="00334031"/>
    <w:rsid w:val="003344C8"/>
    <w:rsid w:val="00342B18"/>
    <w:rsid w:val="00342ED1"/>
    <w:rsid w:val="00364F1C"/>
    <w:rsid w:val="003655F4"/>
    <w:rsid w:val="00382A04"/>
    <w:rsid w:val="00383405"/>
    <w:rsid w:val="00390A00"/>
    <w:rsid w:val="00393E8E"/>
    <w:rsid w:val="00393F94"/>
    <w:rsid w:val="003B28D3"/>
    <w:rsid w:val="003C5102"/>
    <w:rsid w:val="003D2803"/>
    <w:rsid w:val="003E2C0C"/>
    <w:rsid w:val="003E42F1"/>
    <w:rsid w:val="003E571D"/>
    <w:rsid w:val="003F2E85"/>
    <w:rsid w:val="00405A75"/>
    <w:rsid w:val="00407A79"/>
    <w:rsid w:val="00411ACA"/>
    <w:rsid w:val="0041251C"/>
    <w:rsid w:val="00413E1C"/>
    <w:rsid w:val="00415D9E"/>
    <w:rsid w:val="00417DD4"/>
    <w:rsid w:val="00421743"/>
    <w:rsid w:val="0042213F"/>
    <w:rsid w:val="00446ED7"/>
    <w:rsid w:val="00455440"/>
    <w:rsid w:val="00463779"/>
    <w:rsid w:val="00475A75"/>
    <w:rsid w:val="004900AC"/>
    <w:rsid w:val="00495D1A"/>
    <w:rsid w:val="004A3D30"/>
    <w:rsid w:val="004B718D"/>
    <w:rsid w:val="004C602A"/>
    <w:rsid w:val="004C6C35"/>
    <w:rsid w:val="004D2CD4"/>
    <w:rsid w:val="004D7971"/>
    <w:rsid w:val="004E35E7"/>
    <w:rsid w:val="004F0554"/>
    <w:rsid w:val="004F448D"/>
    <w:rsid w:val="005131AE"/>
    <w:rsid w:val="00531918"/>
    <w:rsid w:val="00532763"/>
    <w:rsid w:val="00532C9E"/>
    <w:rsid w:val="00533EC0"/>
    <w:rsid w:val="00537A8D"/>
    <w:rsid w:val="00560509"/>
    <w:rsid w:val="00580898"/>
    <w:rsid w:val="005964A4"/>
    <w:rsid w:val="005A5F26"/>
    <w:rsid w:val="005D2768"/>
    <w:rsid w:val="005D5AF0"/>
    <w:rsid w:val="005D629D"/>
    <w:rsid w:val="005E07F3"/>
    <w:rsid w:val="005E33CF"/>
    <w:rsid w:val="005E5FB0"/>
    <w:rsid w:val="005E6641"/>
    <w:rsid w:val="005F5205"/>
    <w:rsid w:val="005F6C1B"/>
    <w:rsid w:val="0061090D"/>
    <w:rsid w:val="0061569F"/>
    <w:rsid w:val="006224F3"/>
    <w:rsid w:val="00625145"/>
    <w:rsid w:val="0063071D"/>
    <w:rsid w:val="0063627B"/>
    <w:rsid w:val="0064041E"/>
    <w:rsid w:val="006529F2"/>
    <w:rsid w:val="00660AE9"/>
    <w:rsid w:val="0066411A"/>
    <w:rsid w:val="00687A8D"/>
    <w:rsid w:val="006A1054"/>
    <w:rsid w:val="006A1835"/>
    <w:rsid w:val="006A7C51"/>
    <w:rsid w:val="006B278E"/>
    <w:rsid w:val="006C1E11"/>
    <w:rsid w:val="006C7917"/>
    <w:rsid w:val="006E283D"/>
    <w:rsid w:val="006E4F9D"/>
    <w:rsid w:val="006F021D"/>
    <w:rsid w:val="00711601"/>
    <w:rsid w:val="00712DA0"/>
    <w:rsid w:val="00713E94"/>
    <w:rsid w:val="007213C3"/>
    <w:rsid w:val="0072140B"/>
    <w:rsid w:val="0072365F"/>
    <w:rsid w:val="00726AA5"/>
    <w:rsid w:val="00727C96"/>
    <w:rsid w:val="00730D7B"/>
    <w:rsid w:val="0073375F"/>
    <w:rsid w:val="00736603"/>
    <w:rsid w:val="00743D4C"/>
    <w:rsid w:val="007468C5"/>
    <w:rsid w:val="00747BCE"/>
    <w:rsid w:val="007542CE"/>
    <w:rsid w:val="00760352"/>
    <w:rsid w:val="007636BB"/>
    <w:rsid w:val="007730AC"/>
    <w:rsid w:val="00776934"/>
    <w:rsid w:val="00780889"/>
    <w:rsid w:val="0078698E"/>
    <w:rsid w:val="007B1901"/>
    <w:rsid w:val="007B1CE0"/>
    <w:rsid w:val="007D34CD"/>
    <w:rsid w:val="007D3F1F"/>
    <w:rsid w:val="007D5837"/>
    <w:rsid w:val="007E0B23"/>
    <w:rsid w:val="007E4080"/>
    <w:rsid w:val="007E425E"/>
    <w:rsid w:val="007E63AD"/>
    <w:rsid w:val="007E6C69"/>
    <w:rsid w:val="007F4892"/>
    <w:rsid w:val="008150B8"/>
    <w:rsid w:val="00823447"/>
    <w:rsid w:val="00823BE9"/>
    <w:rsid w:val="00827686"/>
    <w:rsid w:val="00832969"/>
    <w:rsid w:val="0084614A"/>
    <w:rsid w:val="00846F22"/>
    <w:rsid w:val="008778FC"/>
    <w:rsid w:val="00897D78"/>
    <w:rsid w:val="008A4EFA"/>
    <w:rsid w:val="008B1B6B"/>
    <w:rsid w:val="008B7198"/>
    <w:rsid w:val="008C31ED"/>
    <w:rsid w:val="008D2A71"/>
    <w:rsid w:val="008E3DEB"/>
    <w:rsid w:val="008E3E41"/>
    <w:rsid w:val="008F2B69"/>
    <w:rsid w:val="008F3730"/>
    <w:rsid w:val="008F45A6"/>
    <w:rsid w:val="0090106B"/>
    <w:rsid w:val="0090582B"/>
    <w:rsid w:val="009112D8"/>
    <w:rsid w:val="00916072"/>
    <w:rsid w:val="00917663"/>
    <w:rsid w:val="00924193"/>
    <w:rsid w:val="00926CC7"/>
    <w:rsid w:val="009320A6"/>
    <w:rsid w:val="00932814"/>
    <w:rsid w:val="00935A17"/>
    <w:rsid w:val="00946AFB"/>
    <w:rsid w:val="00955C48"/>
    <w:rsid w:val="00971174"/>
    <w:rsid w:val="009768F4"/>
    <w:rsid w:val="00984C24"/>
    <w:rsid w:val="009A231E"/>
    <w:rsid w:val="009A4A22"/>
    <w:rsid w:val="009B4E7C"/>
    <w:rsid w:val="009B6504"/>
    <w:rsid w:val="009C3DCC"/>
    <w:rsid w:val="009C746E"/>
    <w:rsid w:val="009D090F"/>
    <w:rsid w:val="009D1BB0"/>
    <w:rsid w:val="009D42B1"/>
    <w:rsid w:val="009D5AFF"/>
    <w:rsid w:val="009E3B93"/>
    <w:rsid w:val="009E622E"/>
    <w:rsid w:val="00A049CC"/>
    <w:rsid w:val="00A12782"/>
    <w:rsid w:val="00A13D23"/>
    <w:rsid w:val="00A15CD9"/>
    <w:rsid w:val="00A25127"/>
    <w:rsid w:val="00A3251C"/>
    <w:rsid w:val="00A379EE"/>
    <w:rsid w:val="00A42183"/>
    <w:rsid w:val="00A45017"/>
    <w:rsid w:val="00A47C62"/>
    <w:rsid w:val="00A567F3"/>
    <w:rsid w:val="00A62D10"/>
    <w:rsid w:val="00A651E3"/>
    <w:rsid w:val="00A7387A"/>
    <w:rsid w:val="00A86690"/>
    <w:rsid w:val="00A978F5"/>
    <w:rsid w:val="00AA1ACE"/>
    <w:rsid w:val="00AA5D4F"/>
    <w:rsid w:val="00AA610A"/>
    <w:rsid w:val="00AB223C"/>
    <w:rsid w:val="00AC35C6"/>
    <w:rsid w:val="00AC3AF8"/>
    <w:rsid w:val="00AD1F72"/>
    <w:rsid w:val="00AD7312"/>
    <w:rsid w:val="00AD7C2E"/>
    <w:rsid w:val="00AE65EE"/>
    <w:rsid w:val="00AF4A53"/>
    <w:rsid w:val="00B003B0"/>
    <w:rsid w:val="00B0451E"/>
    <w:rsid w:val="00B11395"/>
    <w:rsid w:val="00B11C81"/>
    <w:rsid w:val="00B16179"/>
    <w:rsid w:val="00B27E1F"/>
    <w:rsid w:val="00B408EA"/>
    <w:rsid w:val="00B40DE8"/>
    <w:rsid w:val="00B51473"/>
    <w:rsid w:val="00B5543D"/>
    <w:rsid w:val="00B57BD9"/>
    <w:rsid w:val="00B61147"/>
    <w:rsid w:val="00B61B32"/>
    <w:rsid w:val="00B65458"/>
    <w:rsid w:val="00B77F09"/>
    <w:rsid w:val="00B8390A"/>
    <w:rsid w:val="00BA47C9"/>
    <w:rsid w:val="00BA7283"/>
    <w:rsid w:val="00BC039E"/>
    <w:rsid w:val="00BD0780"/>
    <w:rsid w:val="00BD6AD3"/>
    <w:rsid w:val="00BF0E60"/>
    <w:rsid w:val="00C00D26"/>
    <w:rsid w:val="00C04CB2"/>
    <w:rsid w:val="00C0598B"/>
    <w:rsid w:val="00C14E24"/>
    <w:rsid w:val="00C2067B"/>
    <w:rsid w:val="00C23070"/>
    <w:rsid w:val="00C26D06"/>
    <w:rsid w:val="00C34303"/>
    <w:rsid w:val="00C37CCC"/>
    <w:rsid w:val="00C41666"/>
    <w:rsid w:val="00C41AEB"/>
    <w:rsid w:val="00C47926"/>
    <w:rsid w:val="00C56D73"/>
    <w:rsid w:val="00C703AE"/>
    <w:rsid w:val="00C719DC"/>
    <w:rsid w:val="00C92714"/>
    <w:rsid w:val="00C93B69"/>
    <w:rsid w:val="00CA5590"/>
    <w:rsid w:val="00CB040E"/>
    <w:rsid w:val="00CB0B92"/>
    <w:rsid w:val="00CB5009"/>
    <w:rsid w:val="00CC0219"/>
    <w:rsid w:val="00CC3029"/>
    <w:rsid w:val="00CD5B7A"/>
    <w:rsid w:val="00CE2A41"/>
    <w:rsid w:val="00CE4427"/>
    <w:rsid w:val="00CF27F9"/>
    <w:rsid w:val="00D10CFD"/>
    <w:rsid w:val="00D115B5"/>
    <w:rsid w:val="00D171AB"/>
    <w:rsid w:val="00D240F3"/>
    <w:rsid w:val="00D25D25"/>
    <w:rsid w:val="00D40806"/>
    <w:rsid w:val="00D72E3B"/>
    <w:rsid w:val="00D759C9"/>
    <w:rsid w:val="00D7798B"/>
    <w:rsid w:val="00D96085"/>
    <w:rsid w:val="00D9676A"/>
    <w:rsid w:val="00DA1C00"/>
    <w:rsid w:val="00DA5D79"/>
    <w:rsid w:val="00DC1694"/>
    <w:rsid w:val="00DC2863"/>
    <w:rsid w:val="00DC4678"/>
    <w:rsid w:val="00DC478B"/>
    <w:rsid w:val="00DC6922"/>
    <w:rsid w:val="00DD5E28"/>
    <w:rsid w:val="00DD74F0"/>
    <w:rsid w:val="00DE7981"/>
    <w:rsid w:val="00DF05C4"/>
    <w:rsid w:val="00DF07B1"/>
    <w:rsid w:val="00DF5DF6"/>
    <w:rsid w:val="00E04436"/>
    <w:rsid w:val="00E04671"/>
    <w:rsid w:val="00E1042A"/>
    <w:rsid w:val="00E116CF"/>
    <w:rsid w:val="00E1280F"/>
    <w:rsid w:val="00E2329F"/>
    <w:rsid w:val="00E346D7"/>
    <w:rsid w:val="00E36EC7"/>
    <w:rsid w:val="00E4434A"/>
    <w:rsid w:val="00E54298"/>
    <w:rsid w:val="00E62202"/>
    <w:rsid w:val="00E63D0B"/>
    <w:rsid w:val="00E640E9"/>
    <w:rsid w:val="00E67224"/>
    <w:rsid w:val="00E730B0"/>
    <w:rsid w:val="00E81C39"/>
    <w:rsid w:val="00E92624"/>
    <w:rsid w:val="00E926D5"/>
    <w:rsid w:val="00E97A73"/>
    <w:rsid w:val="00EB0AE7"/>
    <w:rsid w:val="00EB502A"/>
    <w:rsid w:val="00EC0FF4"/>
    <w:rsid w:val="00EC22D7"/>
    <w:rsid w:val="00EC72F1"/>
    <w:rsid w:val="00EC7EB0"/>
    <w:rsid w:val="00ED1811"/>
    <w:rsid w:val="00EE02A8"/>
    <w:rsid w:val="00EE3BF0"/>
    <w:rsid w:val="00EE3F18"/>
    <w:rsid w:val="00F02148"/>
    <w:rsid w:val="00F11641"/>
    <w:rsid w:val="00F41013"/>
    <w:rsid w:val="00F4596A"/>
    <w:rsid w:val="00F53043"/>
    <w:rsid w:val="00F67F06"/>
    <w:rsid w:val="00F70A96"/>
    <w:rsid w:val="00F70BCC"/>
    <w:rsid w:val="00F7210C"/>
    <w:rsid w:val="00F77C94"/>
    <w:rsid w:val="00F83AB1"/>
    <w:rsid w:val="00F96E15"/>
    <w:rsid w:val="00F97194"/>
    <w:rsid w:val="00FA0722"/>
    <w:rsid w:val="00FA0C7C"/>
    <w:rsid w:val="00FA4A2D"/>
    <w:rsid w:val="00FA6734"/>
    <w:rsid w:val="00FB2DB7"/>
    <w:rsid w:val="00FC1DFC"/>
    <w:rsid w:val="00FC7762"/>
    <w:rsid w:val="00FD211F"/>
    <w:rsid w:val="00FD2401"/>
    <w:rsid w:val="00FD572A"/>
    <w:rsid w:val="00FD5B6C"/>
    <w:rsid w:val="00FE021C"/>
    <w:rsid w:val="00FE3E17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C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  <w:style w:type="paragraph" w:styleId="af">
    <w:name w:val="List Paragraph"/>
    <w:basedOn w:val="a"/>
    <w:link w:val="af0"/>
    <w:uiPriority w:val="34"/>
    <w:qFormat/>
    <w:rsid w:val="005F52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4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Char"/>
    <w:rsid w:val="00AC3AF8"/>
    <w:pPr>
      <w:jc w:val="center"/>
    </w:pPr>
    <w:rPr>
      <w:rFonts w:ascii="等线" w:eastAsia="等线" w:hAnsi="等线"/>
      <w:noProof/>
      <w:sz w:val="20"/>
    </w:rPr>
  </w:style>
  <w:style w:type="character" w:customStyle="1" w:styleId="af0">
    <w:name w:val="列表段落 字符"/>
    <w:basedOn w:val="a0"/>
    <w:link w:val="af"/>
    <w:uiPriority w:val="34"/>
    <w:rsid w:val="00AC3AF8"/>
  </w:style>
  <w:style w:type="character" w:customStyle="1" w:styleId="EndNoteBibliographyTitleChar">
    <w:name w:val="EndNote Bibliography Title Char"/>
    <w:basedOn w:val="af0"/>
    <w:link w:val="EndNoteBibliographyTitle"/>
    <w:rsid w:val="00AC3AF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C3AF8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af0"/>
    <w:link w:val="EndNoteBibliography"/>
    <w:rsid w:val="00AC3AF8"/>
    <w:rPr>
      <w:rFonts w:ascii="等线" w:eastAsia="等线" w:hAnsi="等线"/>
      <w:noProof/>
      <w:sz w:val="20"/>
    </w:rPr>
  </w:style>
  <w:style w:type="character" w:styleId="af1">
    <w:name w:val="Hyperlink"/>
    <w:basedOn w:val="a0"/>
    <w:uiPriority w:val="99"/>
    <w:unhideWhenUsed/>
    <w:rsid w:val="006C1E11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C1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6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5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radiomics.readthe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740D-D69B-4ACE-9D36-428CCFD2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aaaaaa</dc:creator>
  <cp:lastModifiedBy>汤天宇</cp:lastModifiedBy>
  <cp:revision>58</cp:revision>
  <dcterms:created xsi:type="dcterms:W3CDTF">2023-06-27T01:32:00Z</dcterms:created>
  <dcterms:modified xsi:type="dcterms:W3CDTF">2023-08-24T13:56:00Z</dcterms:modified>
</cp:coreProperties>
</file>