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As principais alterações introduzidas pela Instrução Normativa 2025.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Apresentação de propostas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Antecedência mínima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O prazo para apresentação de propostas foi reduzido de 60 para 30 dias antes da data prevista para o início da execução do projeto.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swm0lfy00oz2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Ações continuadas (Projetos de edição)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apresentação de novas propostas poderá ocorrer mesmo que o proponente já tenha projetos ativos, desde que a execução do novo projeto esteja condicionada ao encerramento do anterior. – Isso inclui as movimentações financeiras do projeto. Não podemos iniciar as movimentações antes de encerrar o projeto anterior.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Limites por proponente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Pessoa física: até 2 projetos ativos, totalizando R$500 mil.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Microempreendedor individual: até 4 projetos ativos, totalizando R$1,5 milhão.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Empresas do Simples Nacional: até 8 projetos ativos, totalizando R$10 milhões.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Demais pessoas jurídicas: até 16 projetos ativos, totalizando R$15 milhões.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3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Limites por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R$ 500 mil para pessoas físicas.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R$ 1,5 milhão para pessoas jurídicas.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R$ 6 milhões aos previstos no art. 14.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R$ 15 milhões aos previstos no art. 15.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Os limites do art. 12, inciso IV e do art. 13, inciso II desta Instrução Normativa, poderão ser superados para projetos previstos no art. 16.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Orçamento e despesas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Acessibilidade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As despesas de acessibilidade passam a integrar o percentual de 20% anteriormente destinado apenas à divulgação.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Remuneração do proponente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Mantido o limite de 20% do valor captado, exceto para pessoas físicas e microempreendedores individuais, que podem receber até 30%.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Pagamento a fornecedores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Mantido o limite de 20% do valor captado, com exceções para projetos específicos, como restauro de bens culturais e execução de serviços gráficos.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Medidas de acessibilidade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Implementação gradual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As medidas de acessibilidade devem ser implementadas em prazos específicos, variando de 6 a 24 meses, conforme o aspecto (arquitetônico, comunicacional ou de conteúdo):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br w:type="textWrapping"/>
        <w:t xml:space="preserve">Prazos: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Comunicacional e de conteúdo: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a) de imediato: medidas de acessibilidade atitudinal, textos em braille, abafadores de ruídos e textos em fonte ampliada e com contraste;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b) 6 (seis) meses: libras e audiodescrição;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c) 12 (doze) meses: conteúdos em linguagem simples, medidas que contribuam para a participação de pessoa autista, legendas e janelas de libras.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Comunicação e divulgação acessíveis: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a) de imediato: disponibilização de materiais de divulgação dos projetos em formatos acessíveis;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b) 6 (seis) meses: redação em linguagem simples da Instrução Normativa, do Guia de Acessibilidade do Ministério dos Direitos Humanos e Cidadania, do Manual de Aplicações de Marcas do Ministério da Cultura e dos manuais operacionais do mecanismo Incentivo a Projetos Culturais pelo Ministério da Cultura; 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c) 12 (doze) meses: implementação de acessibilidade tecnológica no Sistema de Apoio às Leis de Incentivo à Cultura.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Obrigatoriedade do guia de acessibilidade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Passa a ser obrigatório o uso do Guia de Acessibilidade do Ministério dos Direitos Humanos e da Cidadania.</w:t>
        <w:br w:type="textWrapping"/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Democratização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Comercialização popular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Ingressos ou produtos devem ser comercializados a preços que não ultrapassem R$ 50.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Licenciamento de obras audiovisuais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Obras resultantes de projetos de preservação poderão ser licenciadas para exibição em plataformas públicas após 4 anos da entrega final ao MinC.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Análise de propostas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Admissibilidade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A análise de admissibilidade deve ser concluída em até 30 dias. Propostas que não atendam os requisitos de admissibilidade serão arquivadas, cabendo pedido de desarquivamento em 10 dias.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Transferência de saldo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Pedidos de transferência de saldo devem ser apresentados em até 20 dias, sob pena de devolução dos valores ao Fundo Nacional de Cultura (FNC).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Prazos de captação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     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Prazo máximo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O prazo para captação de recursos, incluindo eventuais prorrogações, será de até 36 meses, concedido automaticamente em alinhamento com o período de execução do projeto, desde que o proponente selecione esta opção no Sistema de Apoio às Leis de Incentivo à Cultura (Salic), comportando as exceções previstas no §1º do Art. 63.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Adaptações e remanejamentos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   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Remanejamento interno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O remanejamento orçamentário de até 100% do valor do item não exigirá autorização prévia do MinC, devendo considerar os valores inicialmente aprovados e limites, bem como não comprometer o alcance do objeto e objetivos.</w:t>
        <w:br w:type="textWrapping"/>
        <w:t xml:space="preserve">Lembrando que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MinC entende que ex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iste um limite para o pagamento de determinados serviços, então pode-se utilizar 100% desde que tenha coerência e seja condizente com o teto da função.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xmsonormal" w:customStyle="1">
    <w:name w:val="xmsonormal"/>
    <w:basedOn w:val="Normal"/>
    <w:rsid w:val="00E9132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E91325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E91325"/>
    <w:rPr>
      <w:i w:val="1"/>
      <w:iCs w:val="1"/>
    </w:rPr>
  </w:style>
  <w:style w:type="paragraph" w:styleId="NormalWeb">
    <w:name w:val="Normal (Web)"/>
    <w:basedOn w:val="Normal"/>
    <w:uiPriority w:val="99"/>
    <w:semiHidden w:val="1"/>
    <w:unhideWhenUsed w:val="1"/>
    <w:rsid w:val="00E9132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E91325"/>
    <w:rPr>
      <w:color w:val="0000ff"/>
      <w:u w:val="single"/>
    </w:rPr>
  </w:style>
  <w:style w:type="paragraph" w:styleId="xmsonormal0" w:customStyle="1">
    <w:name w:val="x_msonormal"/>
    <w:basedOn w:val="Normal"/>
    <w:rsid w:val="00E9132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3E3BA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IsSZq0sVEGiBSQe4ZBZTZ/dUQ==">CgMxLjAyDmguc3dtMGxmeTAwb3oyOAByITFNaVhoMFBHU3k5RFJVWHY5RzJvRXE1ckYzeUFqTy1Faw==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2025-03-17T12:29:00Z</dcterms:created>
  <dc:creator>Mayara</dc:creator>
</cp:coreProperties>
</file>