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721587</wp:posOffset>
                </wp:positionH>
                <wp:positionV relativeFrom="page">
                  <wp:posOffset>756387</wp:posOffset>
                </wp:positionV>
                <wp:extent cx="9253400" cy="6023198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400" cy="60231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6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913"/>
                              <w:gridCol w:w="2913"/>
                              <w:gridCol w:w="2914"/>
                              <w:gridCol w:w="2913"/>
                              <w:gridCol w:w="291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0" w:hRule="atLeast"/>
                              </w:trPr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tl w:val="0"/>
                                    </w:rPr>
                                    <w:t>Key Partners</w:t>
                                  </w:r>
                                  <w:r/>
                                </w:p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/>
                                </w:p>
                              </w:tc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Key Activities</w:t>
                                  </w:r>
                                </w:p>
                              </w:tc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tl w:val="0"/>
                                    </w:rPr>
                                    <w:t>Value Propositions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</w:pPr>
                                </w:p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/>
                                </w:p>
                              </w:tc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Customer Relationships</w:t>
                                  </w:r>
                                </w:p>
                              </w:tc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Customer Segments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9" w:hRule="atLeast"/>
                              </w:trPr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Key Resources</w:t>
                                  </w:r>
                                </w:p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Channels</w:t>
                                  </w:r>
                                </w:p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223" w:hRule="atLeast"/>
                              </w:trPr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913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0" w:hRule="atLeast"/>
                              </w:trPr>
                              <w:tc>
                                <w:tcPr>
                                  <w:tcW w:type="dxa" w:w="5826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Cost Structure</w:t>
                                  </w:r>
                                </w:p>
                              </w:tc>
                              <w:tc>
                                <w:tcPr>
                                  <w:tcW w:type="dxa" w:w="8740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3"/>
                                  </w:pPr>
                                  <w:r>
                                    <w:rPr>
                                      <w:rFonts w:ascii="Helvetica Light"/>
                                      <w:rtl w:val="0"/>
                                    </w:rPr>
                                    <w:t>Revenue Streams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8pt;margin-top:59.6pt;width:728.6pt;height:474.3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6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913"/>
                        <w:gridCol w:w="2913"/>
                        <w:gridCol w:w="2914"/>
                        <w:gridCol w:w="2913"/>
                        <w:gridCol w:w="291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70" w:hRule="atLeast"/>
                        </w:trPr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tl w:val="0"/>
                              </w:rPr>
                              <w:t>Key Partners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c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Key Activities</w:t>
                            </w:r>
                          </w:p>
                        </w:tc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tl w:val="0"/>
                              </w:rPr>
                              <w:t>Value Propositions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c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Customer Relationships</w:t>
                            </w:r>
                          </w:p>
                        </w:tc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Customer Segments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39" w:hRule="atLeast"/>
                        </w:trPr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Key Resources</w:t>
                            </w:r>
                          </w:p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Channels</w:t>
                            </w:r>
                          </w:p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223" w:hRule="atLeast"/>
                        </w:trPr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913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0" w:hRule="atLeast"/>
                        </w:trPr>
                        <w:tc>
                          <w:tcPr>
                            <w:tcW w:type="dxa" w:w="5826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Cost Structure</w:t>
                            </w:r>
                          </w:p>
                        </w:tc>
                        <w:tc>
                          <w:tcPr>
                            <w:tcW w:type="dxa" w:w="8740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3"/>
                            </w:pPr>
                            <w:r>
                              <w:rPr>
                                <w:rFonts w:ascii="Helvetica Light"/>
                                <w:rtl w:val="0"/>
                              </w:rPr>
                              <w:t>Revenue Streams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sz w:val="40"/>
        <w:szCs w:val="40"/>
        <w:rtl w:val="0"/>
        <w:lang w:val="en-US"/>
      </w:rPr>
      <w:t>The Business Model Canvas</w:t>
    </w:r>
    <w:r>
      <w:rPr>
        <w:sz w:val="40"/>
        <w:szCs w:val="40"/>
      </w:rPr>
      <w:tab/>
    </w:r>
    <w:r>
      <w:rPr>
        <w:rFonts w:ascii="Helvetica" w:cs="Arial Unicode MS" w:hAnsi="Arial Unicode MS" w:eastAsia="Arial Unicode MS"/>
        <w:b w:val="0"/>
        <w:bCs w:val="0"/>
        <w:i w:val="1"/>
        <w:iCs w:val="1"/>
        <w:sz w:val="24"/>
        <w:szCs w:val="24"/>
        <w:rtl w:val="0"/>
        <w:lang w:val="en-US"/>
      </w:rPr>
      <w:t xml:space="preserve">Designed for: </w:t>
    </w:r>
    <w:r>
      <w:rPr>
        <w:sz w:val="40"/>
        <w:szCs w:val="40"/>
      </w:rPr>
      <w:tab/>
    </w:r>
    <w:r>
      <w:rPr>
        <w:rFonts w:ascii="Helvetica" w:cs="Arial Unicode MS" w:hAnsi="Arial Unicode MS" w:eastAsia="Arial Unicode MS"/>
        <w:b w:val="0"/>
        <w:bCs w:val="0"/>
        <w:i w:val="1"/>
        <w:iCs w:val="1"/>
        <w:sz w:val="24"/>
        <w:szCs w:val="24"/>
        <w:rtl w:val="0"/>
        <w:lang w:val="en-US"/>
      </w:rPr>
      <w:t xml:space="preserve">Designed by:                                       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