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ИНСТРУКЦИЯ ПО ОТРАЖЕНИЮ ДЕЙСТВИЙ В БИТРИКС24:</w:t>
        <w:br/>
        <w:t>ТЕНДЕРНЫЙ ОТДЕЛ И СНАБЖЕНИЕ КНР</w:t>
      </w:r>
    </w:p>
    <w:p>
      <w:pPr>
        <w:spacing w:before="80" w:after="80"/>
        <w:ind w:left="432"/>
      </w:pPr>
      <w:r>
        <w:rPr>
          <w:i/>
          <w:color w:val="555555"/>
        </w:rPr>
        <w:t>**Статус документа:** Практическое руководство прямого действия для специалистов Тендерного отдела (Александра) и Отдела снабжения КНР (Азат и сотрудники офиса Дечжоу).</w:t>
      </w:r>
    </w:p>
    <w:p>
      <w:pPr>
        <w:spacing w:before="80" w:after="80"/>
        <w:ind w:left="432"/>
      </w:pPr>
      <w:r>
        <w:rPr>
          <w:i/>
          <w:color w:val="555555"/>
        </w:rPr>
        <w:t>**Связанный регламент:** [TENDER_SUPPLY_SLA_POLICY.md](file:///C:/Codex/codex_kb/20_domains/tenders/TENDER_SUPPLY_SLA_POLICY.md).</w:t>
      </w:r>
    </w:p>
    <w:p>
      <w:pPr>
        <w:spacing w:before="80" w:after="80"/>
        <w:ind w:left="432"/>
      </w:pPr>
      <w:r>
        <w:rPr>
          <w:i/>
          <w:color w:val="555555"/>
        </w:rPr>
        <w:t>**Главный принцип:** Любое действие или решение, не зафиксированное в CRM в виде поля или результата задачи, считается **несовершенным**. Сделки без заполнения причины отказа запрещены (`Zero Unmarked Deals`).</w:t>
      </w:r>
    </w:p>
    <w:p>
      <w:pPr>
        <w:spacing w:before="280" w:after="80"/>
      </w:pPr>
      <w:r>
        <w:rPr>
          <w:b/>
          <w:color w:val="1B365D"/>
          <w:sz w:val="26"/>
        </w:rPr>
        <w:t>ЧАСТЬ 1. ИНСТРУКЦИЯ ДЛЯ ТЕНДЕРНОГО ОТДЕЛА (АЛЕКСАНДРА)</w:t>
      </w:r>
    </w:p>
    <w:p>
      <w:pPr>
        <w:spacing w:before="200" w:after="60"/>
      </w:pPr>
      <w:r>
        <w:rPr>
          <w:b/>
          <w:color w:val="334E68"/>
          <w:sz w:val="23"/>
        </w:rPr>
        <w:t>Шаг 1. Создание сделки и регистрация процедуры</w:t>
      </w:r>
    </w:p>
    <w:p>
      <w:pPr>
        <w:pStyle w:val="ListNumber"/>
        <w:spacing w:before="40" w:after="40"/>
      </w:pPr>
      <w:r>
        <w:t xml:space="preserve">Все тендерные процедуры ведутся </w:t>
      </w:r>
      <w:r>
        <w:rPr>
          <w:b/>
        </w:rPr>
        <w:t>СТРОГО в воронке «Тендеры» (Категория 4)</w:t>
      </w:r>
      <w:r>
        <w:t>.</w:t>
      </w:r>
    </w:p>
    <w:p>
      <w:pPr>
        <w:pStyle w:val="ListNumber"/>
        <w:spacing w:before="40" w:after="40"/>
      </w:pPr>
      <w:r>
        <w:t>Наименование сделки формируется по маске:</w:t>
      </w:r>
    </w:p>
    <w:p>
      <w:pPr>
        <w:spacing w:before="60" w:after="60"/>
      </w:pPr>
      <w:r>
        <w:t>`[Номер процедуры на ЭТП], [Бренд/Модель], [Оборудование RU], [Дедлайн подачи ДД.ММ.ГГГГ ЧЧ:ММ]`.</w:t>
      </w:r>
    </w:p>
    <w:p>
      <w:pPr>
        <w:pStyle w:val="ListNumber"/>
        <w:spacing w:before="40" w:after="40"/>
      </w:pPr>
      <w:r>
        <w:t>В карточке сделки обязательно заполняются поля:</w:t>
      </w:r>
    </w:p>
    <w:p>
      <w:pPr>
        <w:pStyle w:val="ListBullet"/>
        <w:spacing w:before="40" w:after="40"/>
      </w:pPr>
      <w:r>
        <w:rPr>
          <w:b/>
        </w:rPr>
        <w:t>НМЦ</w:t>
      </w:r>
      <w:r>
        <w:t xml:space="preserve"> (`UF_CRM_1776271989779`);</w:t>
      </w:r>
    </w:p>
    <w:p>
      <w:pPr>
        <w:pStyle w:val="ListBullet"/>
        <w:spacing w:before="40" w:after="40"/>
      </w:pPr>
      <w:r>
        <w:rPr>
          <w:b/>
        </w:rPr>
        <w:t>Дата подведения итогов / дедлайн</w:t>
      </w:r>
      <w:r>
        <w:t xml:space="preserve"> (`UF_CRM_1782228718348` / `CLOSEDATE`);</w:t>
      </w:r>
    </w:p>
    <w:p>
      <w:pPr>
        <w:pStyle w:val="ListBullet"/>
        <w:spacing w:before="40" w:after="40"/>
      </w:pPr>
      <w:r>
        <w:rPr>
          <w:b/>
        </w:rPr>
        <w:t>Прикрепленный файл ТЗ заказчика</w:t>
      </w:r>
      <w:r>
        <w:t xml:space="preserve"> (`UF_CRM_1787307777328`).</w:t>
      </w:r>
    </w:p>
    <w:p>
      <w:pPr>
        <w:spacing w:before="200" w:after="60"/>
      </w:pPr>
      <w:r>
        <w:rPr>
          <w:b/>
          <w:color w:val="334E68"/>
          <w:sz w:val="23"/>
        </w:rPr>
        <w:t>Шаг 2. Постановка задачи отделу снабжения</w:t>
      </w:r>
    </w:p>
    <w:p>
      <w:pPr>
        <w:pStyle w:val="ListNumber"/>
        <w:spacing w:before="40" w:after="40"/>
      </w:pPr>
      <w:r>
        <w:t>Задача ставится непосредственно из карточки Сделки (вкладка «Задачи» → «Добавить задачу»).</w:t>
      </w:r>
    </w:p>
    <w:p>
      <w:pPr>
        <w:pStyle w:val="ListNumber"/>
        <w:spacing w:before="40" w:after="40"/>
      </w:pPr>
      <w:r>
        <w:rPr>
          <w:b/>
        </w:rPr>
        <w:t>Параметры задачи:</w:t>
      </w:r>
    </w:p>
    <w:p>
      <w:pPr>
        <w:pStyle w:val="ListBullet"/>
        <w:spacing w:before="40" w:after="40"/>
      </w:pPr>
      <w:r>
        <w:rPr>
          <w:b/>
        </w:rPr>
        <w:t>Ответственный:</w:t>
      </w:r>
      <w:r>
        <w:t xml:space="preserve"> `[USER=20] Азат Денишов`;</w:t>
      </w:r>
    </w:p>
    <w:p>
      <w:pPr>
        <w:pStyle w:val="ListBullet"/>
        <w:spacing w:before="40" w:after="40"/>
      </w:pPr>
      <w:r>
        <w:rPr>
          <w:b/>
        </w:rPr>
        <w:t>Группа:</w:t>
      </w:r>
      <w:r>
        <w:t xml:space="preserve"> `Товары и поставщики Китай` (Группа ID 14);</w:t>
      </w:r>
    </w:p>
    <w:p>
      <w:pPr>
        <w:pStyle w:val="ListBullet"/>
        <w:spacing w:before="40" w:after="40"/>
      </w:pPr>
      <w:r>
        <w:rPr>
          <w:b/>
        </w:rPr>
        <w:t>Крайний срок:</w:t>
      </w:r>
      <w:r>
        <w:t xml:space="preserve"> за 48 часов до дедлайна подачи тендера на ЭТП;</w:t>
      </w:r>
    </w:p>
    <w:p>
      <w:pPr>
        <w:pStyle w:val="ListBullet"/>
        <w:spacing w:before="40" w:after="40"/>
      </w:pPr>
      <w:r>
        <w:rPr>
          <w:b/>
        </w:rPr>
        <w:t>Привязка к CRM:</w:t>
      </w:r>
      <w:r>
        <w:t xml:space="preserve"> поле `UF_CRM_TASK` должно содержать значение `D_&lt;ID_Сделки&gt;`;</w:t>
      </w:r>
    </w:p>
    <w:p>
      <w:pPr>
        <w:pStyle w:val="ListBullet"/>
        <w:spacing w:before="40" w:after="40"/>
      </w:pPr>
      <w:r>
        <w:rPr>
          <w:b/>
        </w:rPr>
        <w:t>Вложения:</w:t>
      </w:r>
      <w:r>
        <w:t xml:space="preserve"> ТЗ на русском языке (Word/Excel/PDF) с выделением критических параметров (давление, напряжение, ГОСТ, размеры). Голые ссылки на внешние сайты без файлов запрещены!</w:t>
      </w:r>
    </w:p>
    <w:p>
      <w:pPr>
        <w:spacing w:before="200" w:after="60"/>
      </w:pPr>
      <w:r>
        <w:rPr>
          <w:b/>
          <w:color w:val="334E68"/>
          <w:sz w:val="23"/>
        </w:rPr>
        <w:t>Шаг 3. Движение по стадиям воронки</w:t>
      </w:r>
    </w:p>
    <w:p>
      <w:pPr>
        <w:spacing w:before="60" w:after="60"/>
      </w:pPr>
      <w:r>
        <w:t>По мере продвижения закупки специалист тендерного отдела обязан передвигать сделку по стадиям:</w:t>
      </w:r>
    </w:p>
    <w:p>
      <w:pPr>
        <w:pStyle w:val="ListBullet"/>
        <w:spacing w:before="40" w:after="40"/>
      </w:pPr>
      <w:r>
        <w:t>`C4:NEW` (Анализ тендера) — первичная оценка нацрежима и рентабельности;</w:t>
      </w:r>
    </w:p>
    <w:p>
      <w:pPr>
        <w:pStyle w:val="ListBullet"/>
        <w:spacing w:before="40" w:after="40"/>
      </w:pPr>
      <w:r>
        <w:t>`C4:UC_8F7MST` (Поиск товара, анализ ВЭД) — задача передана Азату в Группу 14;</w:t>
      </w:r>
    </w:p>
    <w:p>
      <w:pPr>
        <w:pStyle w:val="ListBullet"/>
        <w:spacing w:before="40" w:after="40"/>
      </w:pPr>
      <w:r>
        <w:t>`C4:PREPARATION` (Расчет КП) — снабжение подтвердило наличие фабрик, идет калькуляция;</w:t>
      </w:r>
    </w:p>
    <w:p>
      <w:pPr>
        <w:pStyle w:val="ListBullet"/>
        <w:spacing w:before="40" w:after="40"/>
      </w:pPr>
      <w:r>
        <w:t>`C4:UC_X1NI23` (Подготовка документов) — КП получено, оформляется Форма 2 и заявка;</w:t>
      </w:r>
    </w:p>
    <w:p>
      <w:pPr>
        <w:pStyle w:val="ListBullet"/>
        <w:spacing w:before="40" w:after="40"/>
      </w:pPr>
      <w:r>
        <w:t>`C4:UC_5Y3KYZ` (Загрузить на ЭТП) — заявка подписана ЭЦП и загружается на площадку;</w:t>
      </w:r>
    </w:p>
    <w:p>
      <w:pPr>
        <w:pStyle w:val="ListBullet"/>
        <w:spacing w:before="40" w:after="40"/>
      </w:pPr>
      <w:r>
        <w:t>`C4:PREPAYMENT_INVOICE` (Заявка подана / Ожидание) — подтверждено принятие заявки оператором ЭТП.</w:t>
      </w:r>
    </w:p>
    <w:p>
      <w:pPr>
        <w:spacing w:before="200" w:after="60"/>
      </w:pPr>
      <w:r>
        <w:rPr>
          <w:b/>
          <w:color w:val="334E68"/>
          <w:sz w:val="23"/>
        </w:rPr>
        <w:t>Шаг 4. Отражение завершения или срыва закупки (Строго с кодом причины!)</w:t>
      </w:r>
    </w:p>
    <w:p>
      <w:pPr>
        <w:spacing w:before="60" w:after="60"/>
      </w:pPr>
      <w:r>
        <w:t xml:space="preserve">При любом исходе процедуры перевод сделки в финальную стадию выполняется </w:t>
      </w:r>
      <w:r>
        <w:rPr>
          <w:b/>
        </w:rPr>
        <w:t>СТРОГО с выбором значения в поле «Результат Сделки» (`UF_CRM_1784273768`)</w:t>
      </w:r>
      <w:r>
        <w:t>:</w:t>
      </w:r>
    </w:p>
    <w:p>
      <w:pPr>
        <w:pStyle w:val="ListNumber"/>
        <w:spacing w:before="40" w:after="40"/>
      </w:pPr>
      <w:r>
        <w:rPr>
          <w:b/>
        </w:rPr>
        <w:t>При победе в тендере:</w:t>
      </w:r>
    </w:p>
    <w:p>
      <w:pPr>
        <w:spacing w:before="60" w:after="60"/>
      </w:pPr>
      <w:r>
        <w:t>Перевод в стадию `C4:EXECUTING` («Победа / Заключение договора»).</w:t>
      </w:r>
    </w:p>
    <w:p>
      <w:pPr>
        <w:pStyle w:val="ListNumber"/>
        <w:spacing w:before="40" w:after="40"/>
      </w:pPr>
      <w:r>
        <w:rPr>
          <w:b/>
        </w:rPr>
        <w:t>При проигрыше на торгах (заявка была подана):</w:t>
      </w:r>
    </w:p>
    <w:p>
      <w:pPr>
        <w:spacing w:before="60" w:after="60"/>
      </w:pPr>
      <w:r>
        <w:t>Перевод в стадию `C4:LOSE` («Проигрыш») с обязательным выбором кода:</w:t>
      </w:r>
    </w:p>
    <w:p>
      <w:pPr>
        <w:pStyle w:val="ListBullet"/>
        <w:spacing w:before="40" w:after="40"/>
      </w:pPr>
      <w:r>
        <w:t>`326` — Проиграли по цене;</w:t>
      </w:r>
    </w:p>
    <w:p>
      <w:pPr>
        <w:pStyle w:val="ListBullet"/>
        <w:spacing w:before="40" w:after="40"/>
      </w:pPr>
      <w:r>
        <w:t>`330` — Проиграли по неценовым критериям.</w:t>
      </w:r>
    </w:p>
    <w:p>
      <w:pPr>
        <w:pStyle w:val="ListNumber"/>
        <w:spacing w:before="40" w:after="40"/>
      </w:pPr>
      <w:r>
        <w:rPr>
          <w:b/>
        </w:rPr>
        <w:t>При срыве на этапе подготовки (заявка НЕ подана из-за снабжения):</w:t>
      </w:r>
    </w:p>
    <w:p>
      <w:pPr>
        <w:spacing w:before="60" w:after="60"/>
      </w:pPr>
      <w:r>
        <w:t xml:space="preserve">Перевод в стадию `C4:APOLOGY` («Не смогли отработать») </w:t>
      </w:r>
      <w:r>
        <w:rPr>
          <w:b/>
        </w:rPr>
        <w:t>СТРОГО на основании «Результата задачи», зафиксированного Азатом</w:t>
      </w:r>
      <w:r>
        <w:t>, с кодом:</w:t>
      </w:r>
    </w:p>
    <w:p>
      <w:pPr>
        <w:pStyle w:val="ListBullet"/>
        <w:spacing w:before="40" w:after="40"/>
      </w:pPr>
      <w:r>
        <w:t>`314` — Не нашли поставщика (Снабжение не нашло фабрику);</w:t>
      </w:r>
    </w:p>
    <w:p>
      <w:pPr>
        <w:pStyle w:val="ListBullet"/>
        <w:spacing w:before="40" w:after="40"/>
      </w:pPr>
      <w:r>
        <w:t>`316` — Не получили коммерческое предложение (Снабжение сорвало срок расчета);</w:t>
      </w:r>
    </w:p>
    <w:p>
      <w:pPr>
        <w:pStyle w:val="ListBullet"/>
        <w:spacing w:before="40" w:after="40"/>
      </w:pPr>
      <w:r>
        <w:t>`318` — Получили КП слишком поздно (КП пришло менее чем за 48ч до дедлайна);</w:t>
      </w:r>
    </w:p>
    <w:p>
      <w:pPr>
        <w:pStyle w:val="ListBullet"/>
        <w:spacing w:before="40" w:after="40"/>
      </w:pPr>
      <w:r>
        <w:t>`320` — КП не соответствует требованиям (Прислали «видосики», нет 5 параметров).</w:t>
      </w:r>
    </w:p>
    <w:p>
      <w:pPr>
        <w:pStyle w:val="ListNumber"/>
        <w:spacing w:before="40" w:after="40"/>
      </w:pPr>
      <w:r>
        <w:rPr>
          <w:b/>
        </w:rPr>
        <w:t>При срыве по вине тендерного отдела:</w:t>
      </w:r>
    </w:p>
    <w:p>
      <w:pPr>
        <w:spacing w:before="60" w:after="60"/>
      </w:pPr>
      <w:r>
        <w:t>Перевод в стадию `C4:APOLOGY` с кодом:</w:t>
      </w:r>
    </w:p>
    <w:p>
      <w:pPr>
        <w:pStyle w:val="ListBullet"/>
        <w:spacing w:before="40" w:after="40"/>
      </w:pPr>
      <w:r>
        <w:t>`322` — Не успели подготовить заявку;</w:t>
      </w:r>
    </w:p>
    <w:p>
      <w:pPr>
        <w:pStyle w:val="ListBullet"/>
        <w:spacing w:before="40" w:after="40"/>
      </w:pPr>
      <w:r>
        <w:t>`324` — Не успели подать заявку;</w:t>
      </w:r>
    </w:p>
    <w:p>
      <w:pPr>
        <w:pStyle w:val="ListBullet"/>
        <w:spacing w:before="40" w:after="40"/>
      </w:pPr>
      <w:r>
        <w:t>`328` — Заявка отклонена из-за ошибок заполнения.</w:t>
      </w:r>
    </w:p>
    <w:p>
      <w:pPr>
        <w:pStyle w:val="ListNumber"/>
        <w:spacing w:before="40" w:after="40"/>
      </w:pPr>
      <w:r>
        <w:rPr>
          <w:b/>
        </w:rPr>
        <w:t>При отмене закупки заказчиком РФ:</w:t>
      </w:r>
    </w:p>
    <w:p>
      <w:pPr>
        <w:spacing w:before="60" w:after="60"/>
      </w:pPr>
      <w:r>
        <w:t>Перевод в стадию `C4:UC_VSDEUH` («Закупки отменены заказчиком»).</w:t>
      </w:r>
    </w:p>
    <w:p>
      <w:pPr>
        <w:spacing w:before="200" w:after="60"/>
      </w:pPr>
      <w:r>
        <w:rPr>
          <w:b/>
          <w:color w:val="334E68"/>
          <w:sz w:val="23"/>
        </w:rPr>
        <w:t>Шаг 5. Действия при официальном переносе срока заказчиком на ЭТП</w:t>
      </w:r>
    </w:p>
    <w:p>
      <w:pPr>
        <w:spacing w:before="60" w:after="60"/>
      </w:pPr>
      <w:r>
        <w:t>Если заказчик РФ официально сдвинул срок подачи заявок:</w:t>
      </w:r>
    </w:p>
    <w:p>
      <w:pPr>
        <w:pStyle w:val="ListNumber"/>
        <w:spacing w:before="40" w:after="40"/>
      </w:pPr>
      <w:r>
        <w:t xml:space="preserve">Специалист тендерного отдела </w:t>
      </w:r>
      <w:r>
        <w:rPr>
          <w:b/>
        </w:rPr>
        <w:t>в течение 2 часов</w:t>
      </w:r>
      <w:r>
        <w:t xml:space="preserve"> обновляет дату в поле «Дата подведения итогов» карточки Сделки;</w:t>
      </w:r>
    </w:p>
    <w:p>
      <w:pPr>
        <w:pStyle w:val="ListNumber"/>
        <w:spacing w:before="40" w:after="40"/>
      </w:pPr>
      <w:r>
        <w:t>В привязанной задаче снабжения изменяется крайний срок с обязательным текстовым комментарием:</w:t>
      </w:r>
    </w:p>
    <w:p>
      <w:pPr>
        <w:spacing w:before="60" w:after="60"/>
      </w:pPr>
      <w:r>
        <w:t>*«Срок подачи на ЭТП официально продлен заказчиком до ДД.ММ.ГГГГ ЧЧ:ММ»*.</w:t>
      </w:r>
    </w:p>
    <w:p>
      <w:pPr>
        <w:spacing w:before="280" w:after="80"/>
      </w:pPr>
      <w:r>
        <w:rPr>
          <w:b/>
          <w:color w:val="1B365D"/>
          <w:sz w:val="26"/>
        </w:rPr>
        <w:t>ЧАСТЬ 2. ИНСТРУКЦИЯ ДЛЯ ОТДЕЛА СНАБЖЕНИЯ КНР (АЗАТ И ДЕЧЖОУ)</w:t>
      </w:r>
    </w:p>
    <w:p>
      <w:pPr>
        <w:spacing w:before="200" w:after="60"/>
      </w:pPr>
      <w:r>
        <w:rPr>
          <w:b/>
          <w:color w:val="334E68"/>
          <w:sz w:val="23"/>
        </w:rPr>
        <w:t>Шаг 1. Экспресс-скоринг (Норматив: 4 часа)</w:t>
      </w:r>
    </w:p>
    <w:p>
      <w:pPr>
        <w:pStyle w:val="ListNumber"/>
        <w:spacing w:before="40" w:after="40"/>
      </w:pPr>
      <w:r>
        <w:t>При получении задачи в Группе 14 Азат Денишов распределяет задачу закупщику в КНР.</w:t>
      </w:r>
    </w:p>
    <w:p>
      <w:pPr>
        <w:pStyle w:val="ListNumber"/>
        <w:spacing w:before="40" w:after="40"/>
      </w:pPr>
      <w:r>
        <w:t xml:space="preserve">В течение </w:t>
      </w:r>
      <w:r>
        <w:rPr>
          <w:b/>
        </w:rPr>
        <w:t>4 рабочих часов</w:t>
      </w:r>
      <w:r>
        <w:t xml:space="preserve"> закупщик обязан проверить принципиальную возможность поставки и оставить комментарий в чате задачи:</w:t>
      </w:r>
    </w:p>
    <w:p>
      <w:pPr>
        <w:pStyle w:val="ListBullet"/>
        <w:spacing w:before="40" w:after="40"/>
      </w:pPr>
      <w:r>
        <w:t>*«Взято в работу, фабрики по номенклатуре есть»* — если товар доступен;</w:t>
      </w:r>
    </w:p>
    <w:p>
      <w:pPr>
        <w:pStyle w:val="ListBullet"/>
        <w:spacing w:before="40" w:after="40"/>
      </w:pPr>
      <w:r>
        <w:t>*«Отказ: товар под экспортным контролем КНР / неликвид»* — если белая поставка невозможна.</w:t>
      </w:r>
    </w:p>
    <w:p>
      <w:pPr>
        <w:spacing w:before="200" w:after="60"/>
      </w:pPr>
      <w:r>
        <w:rPr>
          <w:b/>
          <w:color w:val="334E68"/>
          <w:sz w:val="23"/>
        </w:rPr>
        <w:t>Шаг 2. Ежедневный контроль статуса (до 18:00 МСК)</w:t>
      </w:r>
    </w:p>
    <w:p>
      <w:pPr>
        <w:spacing w:before="60" w:after="60"/>
      </w:pPr>
      <w:r>
        <w:t>По каждой незакрытой задаче закупщик обязан ежедневно до 18:00 МСК оставлять краткий отчет о статусе запроса:</w:t>
      </w:r>
    </w:p>
    <w:p>
      <w:pPr>
        <w:spacing w:before="60" w:after="60"/>
      </w:pPr>
      <w:r>
        <w:t>*(Пример: «Запрос отправлен заводам A и B. Завод A подтвердил параметры, ждем расчет цены к 11:00 завтра»)*.</w:t>
      </w:r>
    </w:p>
    <w:p>
      <w:pPr>
        <w:spacing w:before="60" w:after="60"/>
      </w:pPr>
      <w:r>
        <w:t>Азат Денишов осуществляет ежедневный контроль за наличием таких комментариев.</w:t>
      </w:r>
    </w:p>
    <w:p>
      <w:pPr>
        <w:spacing w:before="200" w:after="60"/>
      </w:pPr>
      <w:r>
        <w:rPr>
          <w:b/>
          <w:color w:val="334E68"/>
          <w:sz w:val="23"/>
        </w:rPr>
        <w:t>Шаг 3. Сдача расчета КП (Норматив: не позднее 48ч до дедлайна)</w:t>
      </w:r>
    </w:p>
    <w:p>
      <w:pPr>
        <w:pStyle w:val="ListNumber"/>
        <w:spacing w:before="40" w:after="40"/>
      </w:pPr>
      <w:r>
        <w:t>Перевод документации на китайский язык и переговоры ведутся силами снабжения.</w:t>
      </w:r>
    </w:p>
    <w:p>
      <w:pPr>
        <w:pStyle w:val="ListNumber"/>
        <w:spacing w:before="40" w:after="40"/>
      </w:pPr>
      <w:r>
        <w:rPr>
          <w:b/>
        </w:rPr>
        <w:t>Формат ответа:</w:t>
      </w:r>
      <w:r>
        <w:t xml:space="preserve"> Строго таблица на русском языке с 5 параметрами:</w:t>
      </w:r>
    </w:p>
    <w:p>
      <w:pPr>
        <w:pStyle w:val="ListBullet"/>
        <w:spacing w:before="40" w:after="40"/>
      </w:pPr>
      <w:r>
        <w:t>1. Цена за единицу и общая сумма (валюта, EXW/FOB);</w:t>
      </w:r>
    </w:p>
    <w:p>
      <w:pPr>
        <w:pStyle w:val="ListBullet"/>
        <w:spacing w:before="40" w:after="40"/>
      </w:pPr>
      <w:r>
        <w:t>2. Срок производства (дни);</w:t>
      </w:r>
    </w:p>
    <w:p>
      <w:pPr>
        <w:pStyle w:val="ListBullet"/>
        <w:spacing w:before="40" w:after="40"/>
      </w:pPr>
      <w:r>
        <w:t>3. Вес брутто (кг) и объем ($м^3$);</w:t>
      </w:r>
    </w:p>
    <w:p>
      <w:pPr>
        <w:pStyle w:val="ListBullet"/>
        <w:spacing w:before="40" w:after="40"/>
      </w:pPr>
      <w:r>
        <w:t>4. Наименование фабрики (CN/EN) и город;</w:t>
      </w:r>
    </w:p>
    <w:p>
      <w:pPr>
        <w:pStyle w:val="ListBullet"/>
        <w:spacing w:before="40" w:after="40"/>
      </w:pPr>
      <w:r>
        <w:t>5. Сертификаты и паспорта.</w:t>
      </w:r>
    </w:p>
    <w:p>
      <w:pPr>
        <w:pStyle w:val="ListNumber"/>
        <w:spacing w:before="40" w:after="40"/>
      </w:pPr>
      <w:r>
        <w:rPr>
          <w:b/>
        </w:rPr>
        <w:t>Запрет сырых файлов:</w:t>
      </w:r>
      <w:r>
        <w:t xml:space="preserve"> Сбрасывать видеоролики («кинофильмы класса B») и скриншоты каталогов без заполненной таблицы параметров категорически запрещено!</w:t>
      </w:r>
    </w:p>
    <w:p>
      <w:pPr>
        <w:pStyle w:val="ListNumber"/>
        <w:spacing w:before="40" w:after="40"/>
      </w:pPr>
      <w:r>
        <w:rPr>
          <w:b/>
        </w:rPr>
        <w:t>Фиксация результата:</w:t>
      </w:r>
      <w:r>
        <w:t xml:space="preserve"> После отправки таблицы Азат Денишов обязан нажать в задаче кнопку </w:t>
      </w:r>
      <w:r>
        <w:rPr>
          <w:b/>
        </w:rPr>
        <w:t>«Зафиксировать результат задачи»</w:t>
      </w:r>
      <w:r>
        <w:t xml:space="preserve"> (`tasks.task.result.add`).</w:t>
      </w:r>
    </w:p>
    <w:p>
      <w:pPr>
        <w:spacing w:before="200" w:after="60"/>
      </w:pPr>
      <w:r>
        <w:rPr>
          <w:b/>
          <w:color w:val="334E68"/>
          <w:sz w:val="23"/>
        </w:rPr>
        <w:t>Шаг 4. Отражение невозможности подбора (Отказ со стороны снабжения)</w:t>
      </w:r>
    </w:p>
    <w:p>
      <w:pPr>
        <w:spacing w:before="60" w:after="60"/>
      </w:pPr>
      <w:r>
        <w:t>Если заводы КНР отказали в производстве или цена заведомо непроходная:</w:t>
      </w:r>
    </w:p>
    <w:p>
      <w:pPr>
        <w:pStyle w:val="ListNumber"/>
        <w:spacing w:before="40" w:after="40"/>
      </w:pPr>
      <w:r>
        <w:t>Закупщик готовит обоснование (письменный отказ заводов).</w:t>
      </w:r>
    </w:p>
    <w:p>
      <w:pPr>
        <w:pStyle w:val="ListNumber"/>
        <w:spacing w:before="40" w:after="40"/>
      </w:pPr>
      <w:r>
        <w:t xml:space="preserve">Азат Денишов нажимает </w:t>
      </w:r>
      <w:r>
        <w:rPr>
          <w:b/>
        </w:rPr>
        <w:t>«Зафиксировать результат задачи»</w:t>
      </w:r>
      <w:r>
        <w:t xml:space="preserve"> и пишет официальный вывод с указанием кода:</w:t>
      </w:r>
    </w:p>
    <w:p>
      <w:pPr>
        <w:spacing w:before="60" w:after="60"/>
      </w:pPr>
      <w:r>
        <w:t>*(Пример: «Результат: Не смогли подобрать товар. Код 314. Ни один из 4 проверенных заводов не подтвердил давление 340 бар»)*.</w:t>
      </w:r>
    </w:p>
    <w:p>
      <w:pPr>
        <w:pStyle w:val="ListNumber"/>
        <w:spacing w:before="40" w:after="40"/>
      </w:pPr>
      <w:r>
        <w:t>Только после этого задача закрывается, что дает Александре официальное основание закрыть сделку в CRM.</w:t>
      </w:r>
    </w:p>
    <w:p>
      <w:pPr>
        <w:spacing w:before="200" w:after="60"/>
      </w:pPr>
      <w:r>
        <w:rPr>
          <w:b/>
          <w:color w:val="334E68"/>
          <w:sz w:val="23"/>
        </w:rPr>
        <w:t>Шаг 5. Регистрация контрагентов в CRM Битрикс24 (Правило авто-ID)</w:t>
      </w:r>
    </w:p>
    <w:p>
      <w:pPr>
        <w:pStyle w:val="ListNumber"/>
        <w:spacing w:before="40" w:after="40"/>
      </w:pPr>
      <w:r>
        <w:t>Все новые фабрики заносятся в реестр: `CRM → Клиенты → Компании → Создать`.</w:t>
      </w:r>
    </w:p>
    <w:p>
      <w:pPr>
        <w:pStyle w:val="ListNumber"/>
        <w:spacing w:before="40" w:after="40"/>
      </w:pPr>
      <w:r>
        <w:rPr>
          <w:b/>
        </w:rPr>
        <w:t>Тип компании:</w:t>
      </w:r>
      <w:r>
        <w:t xml:space="preserve"> Строго выбирать </w:t>
      </w:r>
      <w:r>
        <w:rPr>
          <w:b/>
        </w:rPr>
        <w:t>«Подрядчик»</w:t>
      </w:r>
      <w:r>
        <w:t xml:space="preserve"> (не «Клиент»!).</w:t>
      </w:r>
    </w:p>
    <w:p>
      <w:pPr>
        <w:pStyle w:val="ListNumber"/>
        <w:spacing w:before="40" w:after="40"/>
      </w:pPr>
      <w:r>
        <w:rPr>
          <w:b/>
        </w:rPr>
        <w:t>Заполнение полей:</w:t>
      </w:r>
      <w:r>
        <w:t xml:space="preserve"> Наименование завода (CN + EN), город, телефон (+86), WeChat ID, email, категория товара.</w:t>
      </w:r>
    </w:p>
    <w:p>
      <w:pPr>
        <w:pStyle w:val="ListNumber"/>
        <w:spacing w:before="40" w:after="40"/>
      </w:pPr>
      <w:r>
        <w:rPr>
          <w:b/>
        </w:rPr>
        <w:t>Поле «ID»:</w:t>
      </w:r>
      <w:r>
        <w:t xml:space="preserve"> </w:t>
      </w:r>
      <w:r>
        <w:rPr>
          <w:b/>
        </w:rPr>
        <w:t>НЕ ТРОГАТЬ И НЕ ЗАПОЛНЯТЬ!</w:t>
      </w:r>
      <w:r>
        <w:t xml:space="preserve"> Система Битрикс24 генерирует ID автоматически при нажатии кнопки «Сохранить».</w:t>
      </w:r>
    </w:p>
    <w:p>
      <w:pPr>
        <w:pStyle w:val="ListNumber"/>
        <w:spacing w:before="40" w:after="40"/>
      </w:pPr>
      <w:r>
        <w:rPr>
          <w:b/>
        </w:rPr>
        <w:t>Запрет WeChat:</w:t>
      </w:r>
      <w:r>
        <w:t xml:space="preserve"> Отправка коммерческих предложений и цен в личный WeChat Азата вместо задачи Битрикс24 категорически запрещена (`Zero Shadow Communication`).</w:t>
      </w:r>
    </w:p>
    <w:p>
      <w:pPr>
        <w:spacing w:before="280" w:after="80"/>
      </w:pPr>
      <w:r>
        <w:rPr>
          <w:b/>
          <w:color w:val="1B365D"/>
          <w:sz w:val="26"/>
        </w:rPr>
        <w:t>ЧАСТЬ 3. АППАРАТНЫЙ КОНТРОЛЬ И САНКЦИИ</w:t>
      </w:r>
    </w:p>
    <w:p>
      <w:pPr>
        <w:pStyle w:val="ListNumber"/>
        <w:spacing w:before="40" w:after="40"/>
      </w:pPr>
      <w:r>
        <w:rPr>
          <w:b/>
        </w:rPr>
        <w:t>Ежедневный скрипт аудита:</w:t>
      </w:r>
    </w:p>
    <w:p>
      <w:pPr>
        <w:spacing w:before="60" w:after="60"/>
      </w:pPr>
      <w:r>
        <w:t>Ежедневно в автоматическом режиме запускается скрипт `audit_tender_sla_compliance.py`.</w:t>
      </w:r>
    </w:p>
    <w:p>
      <w:pPr>
        <w:pStyle w:val="ListNumber"/>
        <w:spacing w:before="40" w:after="40"/>
      </w:pPr>
      <w:r>
        <w:rPr>
          <w:b/>
        </w:rPr>
        <w:t>Что выявляет скрипт:</w:t>
      </w:r>
    </w:p>
    <w:p>
      <w:pPr>
        <w:pStyle w:val="ListBullet"/>
        <w:spacing w:before="40" w:after="40"/>
      </w:pPr>
      <w:r>
        <w:t>Сделки, закрытые без выбора причины (`UF_CRM_1784273768` пустое) — нарушение регламента Александрой;</w:t>
      </w:r>
    </w:p>
    <w:p>
      <w:pPr>
        <w:pStyle w:val="ListBullet"/>
        <w:spacing w:before="40" w:after="40"/>
      </w:pPr>
      <w:r>
        <w:t>Сделки, зависшие в отложении без движения (`STUCK_LIMBO`);</w:t>
      </w:r>
    </w:p>
    <w:p>
      <w:pPr>
        <w:pStyle w:val="ListBullet"/>
        <w:spacing w:before="40" w:after="40"/>
      </w:pPr>
      <w:r>
        <w:t>Задачи снабжения, по которым не дан ответ за 48 часов до дедлайна — срыв по вине Азата;</w:t>
      </w:r>
    </w:p>
    <w:p>
      <w:pPr>
        <w:pStyle w:val="ListBullet"/>
        <w:spacing w:before="40" w:after="40"/>
      </w:pPr>
      <w:r>
        <w:t>Задачи снабжения без ежедневного комментария до 18:00 МСК.</w:t>
      </w:r>
    </w:p>
    <w:p>
      <w:pPr>
        <w:pStyle w:val="ListNumber"/>
        <w:spacing w:before="40" w:after="40"/>
      </w:pPr>
      <w:r>
        <w:rPr>
          <w:b/>
        </w:rPr>
        <w:t>Последствия нарушений:</w:t>
      </w:r>
    </w:p>
    <w:p>
      <w:pPr>
        <w:spacing w:before="60" w:after="60"/>
      </w:pPr>
      <w:r>
        <w:t>Все срывы с фиксацией виновной стороны передаются в аналитическую базу DWH (`marketing_db`) и отображаются на дашборде генерального директора в Metabase.</w:t>
      </w:r>
    </w:p>
    <w:p>
      <w:pPr>
        <w:spacing w:before="280" w:after="80"/>
      </w:pPr>
      <w:r>
        <w:rPr>
          <w:b/>
          <w:color w:val="1B365D"/>
          <w:sz w:val="26"/>
        </w:rPr>
        <w:t>ЧАСТЬ 4. ПРАВИЛА ПРЕДОТВРАЩЕНИЯ «СЛЕПЫХ ЗОН»</w:t>
      </w:r>
    </w:p>
    <w:p>
      <w:pPr>
        <w:pStyle w:val="ListNumber"/>
        <w:spacing w:before="40" w:after="40"/>
      </w:pPr>
      <w:r>
        <w:rPr>
          <w:b/>
        </w:rPr>
        <w:t>Запрет выбора кода 332 («Другое») без развернутого комментария:</w:t>
      </w:r>
    </w:p>
    <w:p>
      <w:pPr>
        <w:spacing w:before="60" w:after="60"/>
      </w:pPr>
      <w:r>
        <w:t>Если в выпадающем списке причин закрытия действительно не нашлось подходящего варианта, менеджер обязан перед закрытием сделки оставить в таймлайне развернутый комментарий (от 2 предложений), объясняющий фактическую причину. Голый выбор «Другое» признается скриптом нарушением дисциплины.</w:t>
      </w:r>
    </w:p>
    <w:p>
      <w:pPr>
        <w:pStyle w:val="ListNumber"/>
        <w:spacing w:before="40" w:after="40"/>
      </w:pPr>
      <w:r>
        <w:rPr>
          <w:b/>
        </w:rPr>
        <w:t>Разделение ролей в задачах:</w:t>
      </w:r>
    </w:p>
    <w:p>
      <w:pPr>
        <w:spacing w:before="60" w:after="60"/>
      </w:pPr>
      <w:r>
        <w:t xml:space="preserve">В поле «Ответственный» задачи снабжения в Группе 14 разрешено указывать </w:t>
      </w:r>
      <w:r>
        <w:rPr>
          <w:b/>
        </w:rPr>
        <w:t>СТРОГО</w:t>
      </w:r>
      <w:r>
        <w:t xml:space="preserve"> сотрудников отдела снабжения (Азат Денишов, Miss Wang, Cindy Qian, Юйнань Ли, Liyan Wang). Назначение специалистов тендерного отдела (Александры Пономаревой или Сауле Бестовой) на задачи снабжения запрещено.</w:t>
      </w:r>
    </w:p>
    <w:p>
      <w:pPr>
        <w:pStyle w:val="ListNumber"/>
        <w:spacing w:before="40" w:after="40"/>
      </w:pPr>
      <w:r>
        <w:rPr>
          <w:b/>
        </w:rPr>
        <w:t>Регламент передачи дел (Handoff Invariant):</w:t>
      </w:r>
    </w:p>
    <w:p>
      <w:pPr>
        <w:spacing w:before="60" w:after="60"/>
      </w:pPr>
      <w:r>
        <w:t>При уходе в отпуск или смене ответственного все открытые сделки воронки «Тендеры» передаются по описи новому сотруднику с обновлением поля «Ответственный» в CRM. Оставлять сделки в промежуточных стадиях на уволенных или отсутствующих сотрудниках запрещено.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