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РЕГЛАМЕНТ МЕЖВЕДОМСТВЕННОГО ВЗАИМОДЕЙСТВИЯ (КОНТРАКТ-SLA):</w:t>
        <w:br/>
        <w:t>ТЕНДЕРНЫЙ ОТДЕЛ ↔ ОТДЕЛ СНАБЖЕНИЯ КНР</w:t>
      </w:r>
    </w:p>
    <w:p>
      <w:pPr>
        <w:spacing w:before="80" w:after="80"/>
        <w:ind w:left="432"/>
      </w:pPr>
      <w:r>
        <w:rPr>
          <w:i/>
          <w:color w:val="555555"/>
        </w:rPr>
        <w:t>**Статус документа:** Двусторонний межведомственный контракт (SLA) прямого действия. Определяет границы ответственности, форматы передачи данных, сроки реакции и санкции за срыв дедлайнов между Тендерным отделом (Заказчик) и Отделом снабжения КНР (Подрядчик).</w:t>
      </w:r>
    </w:p>
    <w:p>
      <w:pPr>
        <w:spacing w:before="80" w:after="80"/>
        <w:ind w:left="432"/>
      </w:pPr>
      <w:r>
        <w:rPr>
          <w:i/>
          <w:color w:val="555555"/>
        </w:rPr>
        <w:t>**Связанные задачи Битрикс24:** Задача №780 (Тендерная аналитика), Задача №4878 (Дисциплина снабжения Дечжоу).</w:t>
      </w:r>
    </w:p>
    <w:p>
      <w:pPr>
        <w:spacing w:before="80" w:after="80"/>
        <w:ind w:left="432"/>
      </w:pPr>
      <w:r>
        <w:rPr>
          <w:i/>
          <w:color w:val="555555"/>
        </w:rPr>
        <w:t>**Мастер-политики:** [LEAD_PROCESSING_POLICY.md](file:///C:/Codex/projects/1c_odata/LEAD_PROCESSING_POLICY.md), [CHINA_SUPPLY_POLICY.md](file:///C:/Codex/codex_kb/20_domains/china_supply/CHINA_SUPPLY_POLICY.md).</w:t>
      </w:r>
    </w:p>
    <w:p>
      <w:pPr>
        <w:spacing w:before="80" w:after="80"/>
        <w:ind w:left="432"/>
      </w:pPr>
      <w:r>
        <w:rPr>
          <w:i/>
          <w:color w:val="555555"/>
        </w:rPr>
        <w:t>**Правило чтения (Slice Reading Guard):** Читать строго строки 1–35 (TOC), затем целевой диапазон через view_file.</w:t>
      </w:r>
    </w:p>
    <w:p>
      <w:pPr>
        <w:spacing w:before="280" w:after="80"/>
      </w:pPr>
      <w:r>
        <w:rPr>
          <w:b/>
          <w:color w:val="1B365D"/>
          <w:sz w:val="26"/>
        </w:rPr>
        <w:t>🧭 Оглавление регламента (TOC &amp; Slice Navigator)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2E8F0"/>
          </w:tcPr>
          <w:p>
            <w:r>
              <w:rPr>
                <w:b/>
                <w:sz w:val="19"/>
              </w:rPr>
              <w:t>**1. Модель взаимодействия**</w:t>
            </w:r>
          </w:p>
        </w:tc>
        <w:tc>
          <w:tcPr>
            <w:tcW w:type="dxa" w:w="3312"/>
            <w:shd w:fill="E2E8F0"/>
          </w:tcPr>
          <w:p>
            <w:r>
              <w:rPr>
                <w:b/>
                <w:sz w:val="19"/>
              </w:rPr>
              <w:t>Юридическая концепция «Генеральный Заказчик — Субподрядчик»</w:t>
            </w:r>
          </w:p>
        </w:tc>
        <w:tc>
          <w:tcPr>
            <w:tcW w:type="dxa" w:w="3312"/>
            <w:shd w:fill="E2E8F0"/>
          </w:tcPr>
          <w:p>
            <w:r>
              <w:rPr>
                <w:b/>
                <w:sz w:val="19"/>
              </w:rPr>
              <w:t>28–42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**2. Входной пакет (RFQ In)**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Формат ТЗ от Тендерного отдела, спецификации на русском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43–62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**3. Обязательства Снабжения (RFQ Out)**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5 параметров ответа, запрет «Кинофильмов класса B»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63–97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**4. Zero Shadow Communication**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Запрет личного WeChat, регламент CRM и авто-ID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98–122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**5. Матрица сроков (SLA Matrix)**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4 часа экспресс-отсев, расчет за 48 часов, эскалация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123–157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**6. Дисциплина и подписание**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Процедура личного подписания Азатом и Александрой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158–175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**7. Цифровая фиксация в CRM**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Поле UF_CRM_1784273768, Результат задачи, Zero Unmarked Deals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176–220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**8. Зависшие сделки (STUCK_LIMBO)**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Детекция просрочек, правила продления при отложении заказчиком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221–250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**9. Аппаратный аудит и DWH**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Скрипт audit_tender_sla_compliance.py, дашборды Metabase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251–285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**10. Ликвидация слепых зон**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Запрет кода «Другое» без заметок, Handoff Invariant, разделение ролей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286–330</w:t>
            </w:r>
          </w:p>
        </w:tc>
      </w:tr>
    </w:tbl>
    <w:p>
      <w:pPr>
        <w:spacing w:before="280" w:after="80"/>
      </w:pPr>
      <w:r>
        <w:rPr>
          <w:b/>
          <w:color w:val="1B365D"/>
          <w:sz w:val="26"/>
        </w:rPr>
        <w:t>1. Модель взаимодействия: «Генеральный Заказчик — Субподрядчик»</w:t>
      </w:r>
    </w:p>
    <w:p>
      <w:pPr>
        <w:pStyle w:val="ListNumber"/>
        <w:spacing w:before="40" w:after="40"/>
      </w:pPr>
      <w:r>
        <w:rPr>
          <w:b/>
        </w:rPr>
        <w:t>Субъектность отделов:</w:t>
      </w:r>
    </w:p>
    <w:p>
      <w:pPr>
        <w:pStyle w:val="ListBullet"/>
        <w:spacing w:before="40" w:after="40"/>
      </w:pPr>
      <w:r>
        <w:rPr>
          <w:b/>
        </w:rPr>
        <w:t>Тендерный отдел (в лице Александры Пономаревой):</w:t>
      </w:r>
      <w:r>
        <w:t xml:space="preserve"> выступает внутренним Генеральным Заказчиком. Несет ответственность за поиск закупок, оценку нацрежима, подачу документов и финансовый результат контракта перед заказчиком РФ.</w:t>
      </w:r>
    </w:p>
    <w:p>
      <w:pPr>
        <w:pStyle w:val="ListBullet"/>
        <w:spacing w:before="40" w:after="40"/>
      </w:pPr>
      <w:r>
        <w:rPr>
          <w:b/>
        </w:rPr>
        <w:t>Отдел снабжения КНР (в лице Азата Денишова):</w:t>
      </w:r>
      <w:r>
        <w:t xml:space="preserve"> выступает сервисным Субподрядчиком. Несет ответственность за подбор надежных заводов, корректность технических характеристик, удержание целевой себестоимости, логистические габариты и соблюдение сроков.</w:t>
      </w:r>
    </w:p>
    <w:p>
      <w:pPr>
        <w:pStyle w:val="ListNumber"/>
        <w:spacing w:before="40" w:after="40"/>
      </w:pPr>
      <w:r>
        <w:rPr>
          <w:b/>
        </w:rPr>
        <w:t>Отказ от устных договоренностей:</w:t>
      </w:r>
      <w:r>
        <w:t xml:space="preserve"> Любое взаимодействие по закупкам осуществляется строго через задачи Битрикс24. Переписки «на словах», перекладывание вины без фиксации в трекере запрещены.</w:t>
      </w:r>
    </w:p>
    <w:p>
      <w:pPr>
        <w:spacing w:before="280" w:after="80"/>
      </w:pPr>
      <w:r>
        <w:rPr>
          <w:b/>
          <w:color w:val="1B365D"/>
          <w:sz w:val="26"/>
        </w:rPr>
        <w:t>2. Формат входящего запроса (RFQ In) от Тендерного отдела</w:t>
      </w:r>
    </w:p>
    <w:p>
      <w:pPr>
        <w:pStyle w:val="ListNumber"/>
        <w:spacing w:before="40" w:after="40"/>
      </w:pPr>
      <w:r>
        <w:rPr>
          <w:b/>
        </w:rPr>
        <w:t>Языковой стандарт:</w:t>
      </w:r>
      <w:r>
        <w:t xml:space="preserve"> Тендерный отдел передает техническое задание и документацию </w:t>
      </w:r>
      <w:r>
        <w:rPr>
          <w:b/>
        </w:rPr>
        <w:t>на русском языке</w:t>
      </w:r>
      <w:r>
        <w:t xml:space="preserve"> (спецификации ГОЗ, опросные листы, чертежи заказчика).</w:t>
      </w:r>
    </w:p>
    <w:p>
      <w:pPr>
        <w:pStyle w:val="ListNumber"/>
        <w:spacing w:before="40" w:after="40"/>
      </w:pPr>
      <w:r>
        <w:rPr>
          <w:b/>
        </w:rPr>
        <w:t>Обязательные поля в задаче Битрикс24:</w:t>
      </w:r>
    </w:p>
    <w:p>
      <w:pPr>
        <w:pStyle w:val="ListBullet"/>
        <w:spacing w:before="40" w:after="40"/>
      </w:pPr>
      <w:r>
        <w:t>4-составное наименование: `[Номер процедуры/закупки], [Бренд / Категория], [Наименование оборудования RU], [Дедлайн подачи]`;</w:t>
      </w:r>
    </w:p>
    <w:p>
      <w:pPr>
        <w:pStyle w:val="ListBullet"/>
        <w:spacing w:before="40" w:after="40"/>
      </w:pPr>
      <w:r>
        <w:t>Дата и время жесткого дедлайна подачи тендера;</w:t>
      </w:r>
    </w:p>
    <w:p>
      <w:pPr>
        <w:pStyle w:val="ListBullet"/>
        <w:spacing w:before="40" w:after="40"/>
      </w:pPr>
      <w:r>
        <w:t>Прикрепленный файл спецификации в формате Word/Excel/PDF либо опросный лист;</w:t>
      </w:r>
    </w:p>
    <w:p>
      <w:pPr>
        <w:pStyle w:val="ListBullet"/>
        <w:spacing w:before="40" w:after="40"/>
      </w:pPr>
      <w:r>
        <w:t>Перечень критических технических ограничений (материал, напряжение, среда применения, ГОСТ, допуски).</w:t>
      </w:r>
    </w:p>
    <w:p>
      <w:pPr>
        <w:pStyle w:val="ListNumber"/>
        <w:spacing w:before="40" w:after="40"/>
      </w:pPr>
      <w:r>
        <w:rPr>
          <w:b/>
        </w:rPr>
        <w:t>Запреты для Заказчика (Тендерного отдела):</w:t>
      </w:r>
    </w:p>
    <w:p>
      <w:pPr>
        <w:pStyle w:val="ListBullet"/>
        <w:spacing w:before="40" w:after="40"/>
      </w:pPr>
      <w:r>
        <w:t>Запрещено ставить задачи «голой ссылкой на сторонний сайт» без выгруженного текста ТЗ или структурированных параметров;</w:t>
      </w:r>
    </w:p>
    <w:p>
      <w:pPr>
        <w:pStyle w:val="ListBullet"/>
        <w:spacing w:before="40" w:after="40"/>
      </w:pPr>
      <w:r>
        <w:t>Запрещено ставить задачи с оставшимся сроком подачи менее 48 часов без предварительного согласования с Азатом Денишовым.</w:t>
      </w:r>
    </w:p>
    <w:p>
      <w:pPr>
        <w:spacing w:before="280" w:after="80"/>
      </w:pPr>
      <w:r>
        <w:rPr>
          <w:b/>
          <w:color w:val="1B365D"/>
          <w:sz w:val="26"/>
        </w:rPr>
        <w:t>3. Обязательства Отдела снабжения и формат результата (RFQ Out)</w:t>
      </w:r>
    </w:p>
    <w:p>
      <w:pPr>
        <w:pStyle w:val="ListNumber"/>
        <w:spacing w:before="40" w:after="40"/>
      </w:pPr>
      <w:r>
        <w:rPr>
          <w:b/>
        </w:rPr>
        <w:t>Перевод и техническая экспертиза:</w:t>
      </w:r>
      <w:r>
        <w:t xml:space="preserve"> 100% перевод технической документации на китайский язык, проведение переговоров с заводами КНР и сопоставление китайских стандартов (GB) с российскими (ГОСТ) возлагается на команду снабжения Азата Денишова.</w:t>
      </w:r>
    </w:p>
    <w:p>
      <w:pPr>
        <w:pStyle w:val="ListNumber"/>
        <w:spacing w:before="40" w:after="40"/>
      </w:pPr>
      <w:r>
        <w:rPr>
          <w:b/>
        </w:rPr>
        <w:t>Стандарт сдачи результата (5 обязательных параметров):</w:t>
      </w:r>
    </w:p>
    <w:p>
      <w:pPr>
        <w:spacing w:before="60" w:after="60"/>
      </w:pPr>
      <w:r>
        <w:t>Ответ снабжения в задаче Битрикс24 оформляется строго в виде таблицы с заполнением следующих 5 параметров:</w:t>
      </w:r>
    </w:p>
    <w:p>
      <w:pPr>
        <w:pStyle w:val="ListBullet"/>
        <w:spacing w:before="40" w:after="40"/>
      </w:pPr>
      <w:r>
        <w:rPr>
          <w:b/>
        </w:rPr>
        <w:t>1. Цена:</w:t>
      </w:r>
      <w:r>
        <w:t xml:space="preserve"> за единицу и общая сумма с указанием валюты (RMB / USD) и базиса поставки (EXW завод / FOB порт);</w:t>
      </w:r>
    </w:p>
    <w:p>
      <w:pPr>
        <w:pStyle w:val="ListBullet"/>
        <w:spacing w:before="40" w:after="40"/>
      </w:pPr>
      <w:r>
        <w:rPr>
          <w:b/>
        </w:rPr>
        <w:t>2. Срок производства:</w:t>
      </w:r>
      <w:r>
        <w:t xml:space="preserve"> точное количество календарных или рабочих дней до готовности к отгрузке;</w:t>
      </w:r>
    </w:p>
    <w:p>
      <w:pPr>
        <w:pStyle w:val="ListBullet"/>
        <w:spacing w:before="40" w:after="40"/>
      </w:pPr>
      <w:r>
        <w:rPr>
          <w:b/>
        </w:rPr>
        <w:t>3. Весогабаритные характеристики в упаковке:</w:t>
      </w:r>
      <w:r>
        <w:t xml:space="preserve"> вес брутто (кг) и объем ($м^3$), необходимые для точного расчета логистики;</w:t>
      </w:r>
    </w:p>
    <w:p>
      <w:pPr>
        <w:pStyle w:val="ListBullet"/>
        <w:spacing w:before="40" w:after="40"/>
      </w:pPr>
      <w:r>
        <w:rPr>
          <w:b/>
        </w:rPr>
        <w:t>4. Производитель:</w:t>
      </w:r>
      <w:r>
        <w:t xml:space="preserve"> полное юридическое наименование завода-изготовителя (на китайском и английском) и город нахождения;</w:t>
      </w:r>
    </w:p>
    <w:p>
      <w:pPr>
        <w:pStyle w:val="ListBullet"/>
        <w:spacing w:before="40" w:after="40"/>
      </w:pPr>
      <w:r>
        <w:rPr>
          <w:b/>
        </w:rPr>
        <w:t>5. Сертификация и паспорта:</w:t>
      </w:r>
      <w:r>
        <w:t xml:space="preserve"> подтверждение готовности предоставить заводские сертификаты качества, чертежи и паспорта изделий.</w:t>
      </w:r>
    </w:p>
    <w:p>
      <w:pPr>
        <w:pStyle w:val="ListNumber"/>
        <w:spacing w:before="40" w:after="40"/>
      </w:pPr>
      <w:r>
        <w:rPr>
          <w:b/>
        </w:rPr>
        <w:t>Запрет «Кинофильмов класса B» (Raw Video/Catalog Dumping):</w:t>
      </w:r>
    </w:p>
    <w:p>
      <w:pPr>
        <w:pStyle w:val="ListBullet"/>
        <w:spacing w:before="40" w:after="40"/>
      </w:pPr>
      <w:r>
        <w:rPr>
          <w:b/>
        </w:rPr>
        <w:t>Категорически запрещено</w:t>
      </w:r>
      <w:r>
        <w:t xml:space="preserve"> сбрасывать в задачу в качестве ответа видеоролики производственных процессов, скриншоты китайских каталогов без перевода, фотографии буклетов или неразобранные переписки с фабриками.</w:t>
      </w:r>
    </w:p>
    <w:p>
      <w:pPr>
        <w:pStyle w:val="ListBullet"/>
        <w:spacing w:before="40" w:after="40"/>
      </w:pPr>
      <w:r>
        <w:t>Видеоматериалы и заводские каталоги допускаются исключительно как вторичные справочные приложения к полностью заполненной таблице с 5 обязательными параметрами. Менеджеры тендерного отдела не обязаны производить инженерный анализ рекламных роликов.</w:t>
      </w:r>
    </w:p>
    <w:p>
      <w:pPr>
        <w:spacing w:before="280" w:after="80"/>
      </w:pPr>
      <w:r>
        <w:rPr>
          <w:b/>
          <w:color w:val="1B365D"/>
          <w:sz w:val="26"/>
        </w:rPr>
        <w:t>4. Канал коммуникации и политика Zero Shadow Communication</w:t>
      </w:r>
    </w:p>
    <w:p>
      <w:pPr>
        <w:pStyle w:val="ListNumber"/>
        <w:spacing w:before="40" w:after="40"/>
      </w:pPr>
      <w:r>
        <w:rPr>
          <w:b/>
        </w:rPr>
        <w:t>Тотальный запрет личных мессенджеров:</w:t>
      </w:r>
    </w:p>
    <w:p>
      <w:pPr>
        <w:pStyle w:val="ListBullet"/>
        <w:spacing w:before="40" w:after="40"/>
      </w:pPr>
      <w:r>
        <w:t>Категорически запрещено пересылать коммерческие предложения, прайс-листы, спецификации и условия оплаты в личные чаты WeChat или Telegram руководителям или коллегам.</w:t>
      </w:r>
    </w:p>
    <w:p>
      <w:pPr>
        <w:pStyle w:val="ListBullet"/>
        <w:spacing w:before="40" w:after="40"/>
      </w:pPr>
      <w:r>
        <w:t>Запрещено отвечать сотрудникам в духе «отправил вам в WeChat» без одновременного размещения итогового документа в задаче Битрикс24.</w:t>
      </w:r>
    </w:p>
    <w:p>
      <w:pPr>
        <w:pStyle w:val="ListNumber"/>
        <w:spacing w:before="40" w:after="40"/>
      </w:pPr>
      <w:r>
        <w:rPr>
          <w:b/>
        </w:rPr>
        <w:t>Регистрация контрагентов в CRM Битрикс24 (Правило авто-ID):</w:t>
      </w:r>
    </w:p>
    <w:p>
      <w:pPr>
        <w:pStyle w:val="ListBullet"/>
        <w:spacing w:before="40" w:after="40"/>
      </w:pPr>
      <w:r>
        <w:t>Каждый найденный поставщик/завод должен быть сохранен сотрудником снабжения в реестре «CRM → Компании» с типом «Подрядчик».</w:t>
      </w:r>
    </w:p>
    <w:p>
      <w:pPr>
        <w:pStyle w:val="ListBullet"/>
        <w:spacing w:before="40" w:after="40"/>
      </w:pPr>
      <w:r>
        <w:t xml:space="preserve">Закупщикам разъясняется: поле «ID» вручную заполнять </w:t>
      </w:r>
      <w:r>
        <w:rPr>
          <w:b/>
        </w:rPr>
        <w:t>не требуется</w:t>
      </w:r>
      <w:r>
        <w:t>. Система Битрикс24 генерирует уникальный ID компании автоматически при сохранении карточки.</w:t>
      </w:r>
    </w:p>
    <w:p>
      <w:pPr>
        <w:pStyle w:val="ListBullet"/>
        <w:spacing w:before="40" w:after="40"/>
      </w:pPr>
      <w:r>
        <w:t>В карточке обязательно заполняются: Официальное наименование завода, город/провинция, контактное лицо, телефон (+86), WeChat ID, электронная почта, номенклатурная категория.</w:t>
      </w:r>
    </w:p>
    <w:p>
      <w:pPr>
        <w:pStyle w:val="ListBullet"/>
        <w:spacing w:before="40" w:after="40"/>
      </w:pPr>
      <w:r>
        <w:t>Ссылка на созданную карточку компании в Битрикс24 прикрепляется в тендерную задачу.</w:t>
      </w:r>
    </w:p>
    <w:p>
      <w:pPr>
        <w:spacing w:before="280" w:after="80"/>
      </w:pPr>
      <w:r>
        <w:rPr>
          <w:b/>
          <w:color w:val="1B365D"/>
          <w:sz w:val="26"/>
        </w:rPr>
        <w:t>5. Матрица сроков (SLA Matrix) и порядок эскалации</w:t>
      </w:r>
    </w:p>
    <w:p>
      <w:pPr>
        <w:pStyle w:val="ListNumber"/>
        <w:spacing w:before="40" w:after="40"/>
      </w:pPr>
      <w:r>
        <w:rPr>
          <w:b/>
        </w:rPr>
        <w:t>Двухуровневый норматив реакции:</w:t>
      </w:r>
    </w:p>
    <w:p>
      <w:pPr>
        <w:pStyle w:val="ListBullet"/>
        <w:spacing w:before="40" w:after="40"/>
      </w:pPr>
      <w:r>
        <w:rPr>
          <w:b/>
        </w:rPr>
        <w:t>Уровень 1. Первичный экспресс-скоринг (до 4 рабочих часов):</w:t>
      </w:r>
    </w:p>
    <w:p>
      <w:pPr>
        <w:spacing w:before="60" w:after="60"/>
      </w:pPr>
      <w:r>
        <w:t>Снабжение обязано в течение 4 рабочих часов дать предварительный ответ: «Берем в проработку (наличие фабрик в пуле подтверждено)» либо «Отказ (санкционный экспортный контроль КНР / неликвид / невозможность белой поставки)».</w:t>
      </w:r>
    </w:p>
    <w:p>
      <w:pPr>
        <w:pStyle w:val="ListBullet"/>
        <w:spacing w:before="40" w:after="40"/>
      </w:pPr>
      <w:r>
        <w:rPr>
          <w:b/>
        </w:rPr>
        <w:t>Уровень 2. Итоговый расчет КП с 5 параметрами (не позднее 48 часов до дедлайна):</w:t>
      </w:r>
    </w:p>
    <w:p>
      <w:pPr>
        <w:spacing w:before="60" w:after="60"/>
      </w:pPr>
      <w:r>
        <w:t xml:space="preserve">Финальная таблица с ценой, сроком, весогабаритами и данными завода должна быть размещена в задаче </w:t>
      </w:r>
      <w:r>
        <w:rPr>
          <w:b/>
        </w:rPr>
        <w:t>не позднее чем за 48 часов до дедлайна подачи закупки</w:t>
      </w:r>
      <w:r>
        <w:t>.</w:t>
      </w:r>
    </w:p>
    <w:p>
      <w:pPr>
        <w:pStyle w:val="ListNumber"/>
        <w:spacing w:before="40" w:after="40"/>
      </w:pPr>
      <w:r>
        <w:rPr>
          <w:b/>
        </w:rPr>
        <w:t>Ежедневный отчет и мониторинг:</w:t>
      </w:r>
    </w:p>
    <w:p>
      <w:pPr>
        <w:pStyle w:val="ListBullet"/>
        <w:spacing w:before="40" w:after="40"/>
      </w:pPr>
      <w:r>
        <w:t>По каждой открытой задаче снабжение обязано ежедневно до 18:00 МСК оставлять краткий статус в чате задачи (например: *«Запрос направлен 3 заводам, получено 1 КП, ждем весогабариты от 2 завода к 10:00 завтра»*).</w:t>
      </w:r>
    </w:p>
    <w:p>
      <w:pPr>
        <w:pStyle w:val="ListBullet"/>
        <w:spacing w:before="40" w:after="40"/>
      </w:pPr>
      <w:r>
        <w:t>Азат Денишов осуществляет ежедневный личный контроль оставленных статусов.</w:t>
      </w:r>
    </w:p>
    <w:p>
      <w:pPr>
        <w:pStyle w:val="ListNumber"/>
        <w:spacing w:before="40" w:after="40"/>
      </w:pPr>
      <w:r>
        <w:rPr>
          <w:b/>
        </w:rPr>
        <w:t>Аварийная эскалация (Правило 48 часов):</w:t>
      </w:r>
    </w:p>
    <w:p>
      <w:pPr>
        <w:pStyle w:val="ListBullet"/>
        <w:spacing w:before="40" w:after="40"/>
      </w:pPr>
      <w:r>
        <w:t>Если за 48 часов до окончания подачи закупки расчет от снабжения не получен, специалист тендерного отдела обязан немедленно инициировать эскалацию с тегом `[USER=20]Азат Денишов[/USER]` и `[USER=1]Артем[/USER]`.</w:t>
      </w:r>
    </w:p>
    <w:p>
      <w:pPr>
        <w:pStyle w:val="ListBullet"/>
        <w:spacing w:before="40" w:after="40"/>
      </w:pPr>
      <w:r>
        <w:t xml:space="preserve">Если эскалация не была проведена тендерным отделом вовремя, а снабжение не оставило ежедневный отчет — ответственность за срыв участия в закупке признается </w:t>
      </w:r>
      <w:r>
        <w:rPr>
          <w:b/>
        </w:rPr>
        <w:t>солидарной (обоюдной)</w:t>
      </w:r>
      <w:r>
        <w:t xml:space="preserve"> с дисциплинарными выводами в отношении обоих руководителей.</w:t>
      </w:r>
    </w:p>
    <w:p>
      <w:pPr>
        <w:spacing w:before="280" w:after="80"/>
      </w:pPr>
      <w:r>
        <w:rPr>
          <w:b/>
          <w:color w:val="1B365D"/>
          <w:sz w:val="26"/>
        </w:rPr>
        <w:t>6. Процедура введения в действие и подписания</w:t>
      </w:r>
    </w:p>
    <w:p>
      <w:pPr>
        <w:pStyle w:val="ListNumber"/>
        <w:spacing w:before="40" w:after="40"/>
      </w:pPr>
      <w:r>
        <w:t>Настоящий Регламент утверждается Генеральным директором.</w:t>
      </w:r>
    </w:p>
    <w:p>
      <w:pPr>
        <w:pStyle w:val="ListNumber"/>
        <w:spacing w:before="40" w:after="40"/>
      </w:pPr>
      <w:r>
        <w:t>Документ размещается на Общем диске Битрикс24 в папке `Регламенты компании / Межведомственное взаимодействие`.</w:t>
      </w:r>
    </w:p>
    <w:p>
      <w:pPr>
        <w:pStyle w:val="ListNumber"/>
        <w:spacing w:before="40" w:after="40"/>
      </w:pPr>
      <w:r>
        <w:t>Руководитель Тендерного отдела Александра Пономарева и Руководитель Отдела снабжения Азат Денишов ставят личные подписи об ознакомлении и безоговорочном принятии условий Регламента в комментариях к Задаче Битрикс24 №780.</w:t>
      </w:r>
    </w:p>
    <w:p>
      <w:pPr>
        <w:spacing w:before="280" w:after="80"/>
      </w:pPr>
      <w:r>
        <w:rPr>
          <w:b/>
          <w:color w:val="1B365D"/>
          <w:sz w:val="26"/>
        </w:rPr>
        <w:t>7. Цифровая артефактная фиксация в CRM и матрица ответственности по кодам сделок</w:t>
      </w:r>
    </w:p>
    <w:p>
      <w:pPr>
        <w:spacing w:before="200" w:after="60"/>
      </w:pPr>
      <w:r>
        <w:rPr>
          <w:b/>
          <w:color w:val="334E68"/>
          <w:sz w:val="23"/>
        </w:rPr>
        <w:t>7.1. Принцип Zero Unmarked Deals (Запрет немаркированных отказов)</w:t>
      </w:r>
    </w:p>
    <w:p>
      <w:pPr>
        <w:pStyle w:val="ListBullet"/>
        <w:spacing w:before="40" w:after="40"/>
      </w:pPr>
      <w:r>
        <w:t>Категорически запрещено переводить Сделку в финальные стадии (`WON`, `LOSE`, `APOLOGY`, `UC_VSDEUH`) без обязательного заполнения системного поля `UF_CRM_1784273768` («Результат Сделки»).</w:t>
      </w:r>
    </w:p>
    <w:p>
      <w:pPr>
        <w:pStyle w:val="ListBullet"/>
        <w:spacing w:before="40" w:after="40"/>
      </w:pPr>
      <w:r>
        <w:t xml:space="preserve">Сделка, закрытая с пустым значением поля `UF_CRM_1784273768`, автоматически квалифицируется аудиторским скриптом как </w:t>
      </w:r>
      <w:r>
        <w:rPr>
          <w:b/>
        </w:rPr>
        <w:t>грубое нарушение регламента со стороны сотрудника, закрывшего сделку</w:t>
      </w:r>
      <w:r>
        <w:t xml:space="preserve"> (`UNMARKED_LOSS`).</w:t>
      </w:r>
    </w:p>
    <w:p>
      <w:pPr>
        <w:spacing w:before="200" w:after="60"/>
      </w:pPr>
      <w:r>
        <w:rPr>
          <w:b/>
          <w:color w:val="334E68"/>
          <w:sz w:val="23"/>
        </w:rPr>
        <w:t>7.2. Матрица распределения виновности по кодам поля `UF_CRM_1784273768`</w:t>
      </w:r>
    </w:p>
    <w:p>
      <w:pPr>
        <w:spacing w:before="60" w:after="60"/>
      </w:pPr>
      <w:r>
        <w:t>Каждый код поля жестко привязан к ответственной стороне и конкретной статье Регламента: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2E8F0"/>
          </w:tcPr>
          <w:p>
            <w:r>
              <w:rPr>
                <w:b/>
                <w:sz w:val="19"/>
              </w:rPr>
              <w:t>Код ID</w:t>
            </w:r>
          </w:p>
        </w:tc>
        <w:tc>
          <w:tcPr>
            <w:tcW w:type="dxa" w:w="1987"/>
            <w:shd w:fill="E2E8F0"/>
          </w:tcPr>
          <w:p>
            <w:r>
              <w:rPr>
                <w:b/>
                <w:sz w:val="19"/>
              </w:rPr>
              <w:t>Значение в Битрикс24</w:t>
            </w:r>
          </w:p>
        </w:tc>
        <w:tc>
          <w:tcPr>
            <w:tcW w:type="dxa" w:w="1987"/>
            <w:shd w:fill="E2E8F0"/>
          </w:tcPr>
          <w:p>
            <w:r>
              <w:rPr>
                <w:b/>
                <w:sz w:val="19"/>
              </w:rPr>
              <w:t>Виновная сторона</w:t>
            </w:r>
          </w:p>
        </w:tc>
        <w:tc>
          <w:tcPr>
            <w:tcW w:type="dxa" w:w="1987"/>
            <w:shd w:fill="E2E8F0"/>
          </w:tcPr>
          <w:p>
            <w:r>
              <w:rPr>
                <w:b/>
                <w:sz w:val="19"/>
              </w:rPr>
              <w:t>Нарушенный пункт SLA</w:t>
            </w:r>
          </w:p>
        </w:tc>
        <w:tc>
          <w:tcPr>
            <w:tcW w:type="dxa" w:w="1987"/>
            <w:shd w:fill="E2E8F0"/>
          </w:tcPr>
          <w:p>
            <w:r>
              <w:rPr>
                <w:b/>
                <w:sz w:val="19"/>
              </w:rPr>
              <w:t>Комментарий / Санкция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**314**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Не нашли поставщика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**Снабжение (Азат)**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п. 3.1, п. 5.1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Срыв поиска фабрик в КНР без предупреждения за 4 часа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**316**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Не получили коммерческое предложение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**Снабжение (Азат)**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п. 3.2, п. 5.2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Снабжение не предоставило расчет КП к дедлайну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**318**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Получили КП слишком поздно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**Снабжение (Азат)**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п. 5.2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Нарушение правила 48 часов до дедлайна тендера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**320**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КП не соответствует требованиям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**Снабжение (Азат)**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п. 3.2, п. 3.3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«Кинофильмы класса B», отсутствие 5 параметров, не тот ГОСТ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**322**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Не успели подготовить заявку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**Тендеры (Александра)**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п. 2.2, п. 5.3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КП получено вовремя, но тендерный отдел затянул форму 2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**324**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Не успели подать заявку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**Тендеры (Александра)**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п. 2.2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Технический срыв загрузки документов на ЭТП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**328**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Заявка отклонена из-за ошибок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**Тендеры (Александра)**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п. 2.2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Ошибки тендерного специалиста при оформлении документации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**306**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Национальный режим (запрет)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*Внешний фактор*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Объективный запрет по 44-ФЗ / 223-ФЗ (ст. 14, ПП 1875)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**308**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Требуется товар РФ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*Внешний фактор*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Отсутствие возможности поставки китайского эквивалента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**310**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Эквивалент не допускается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*Внешний фактор*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Заказчик РФ требует конкретный товарный знак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**312**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Закупка нерентабельна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*Внешний фактор*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Проходная цена ниже себестоимости с логистикой и пошлиной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**326**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Проиграли по цене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*Рыночный фактор*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Конкурент дал меньшую цену на торгах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**330**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Проиграли по неценовым критериям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*Рыночный фактор*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Опыт, квалификация, рейтинг заказчика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**334**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Запрет на экспорт из Китая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*Внешний фактор*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п. 5.1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Военный/санкционный экспортный контроль КНР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**336**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Недостаточный срок поставки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*Внешний фактор*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п. 5.1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Срок заказчика РФ физически меньше цикла производства и логистики</w:t>
            </w:r>
          </w:p>
        </w:tc>
      </w:tr>
    </w:tbl>
    <w:p>
      <w:pPr>
        <w:spacing w:before="200" w:after="60"/>
      </w:pPr>
      <w:r>
        <w:rPr>
          <w:b/>
          <w:color w:val="334E68"/>
          <w:sz w:val="23"/>
        </w:rPr>
        <w:t>7.3. Двухэтапный протокол фиксации отказа</w:t>
      </w:r>
    </w:p>
    <w:p>
      <w:pPr>
        <w:pStyle w:val="ListNumber"/>
        <w:spacing w:before="40" w:after="40"/>
      </w:pPr>
      <w:r>
        <w:rPr>
          <w:b/>
        </w:rPr>
        <w:t>Шаг 1 (Снабжение):</w:t>
      </w:r>
      <w:r>
        <w:t xml:space="preserve"> При невозможности подобрать оборудование или срыве сроков фабриками Азат Денишов обязан нажать в задаче Битрикс24 «Зафиксировать результат задачи» (`tasks.task.result.add`) с четким указанием причины и кода (например: *«Код 314: Фабрики не подтвердили параметры давления 340 бар»*).</w:t>
      </w:r>
    </w:p>
    <w:p>
      <w:pPr>
        <w:pStyle w:val="ListNumber"/>
        <w:spacing w:before="40" w:after="40"/>
      </w:pPr>
      <w:r>
        <w:rPr>
          <w:b/>
        </w:rPr>
        <w:t>Шаг 2 (Тендерный отдел):</w:t>
      </w:r>
      <w:r>
        <w:t xml:space="preserve"> Александра Пономарева проверяет зафиксированный результат задачи, переводит Сделку в стадию `C4:APOLOGY` («Не смогли отработать») или `C4:WON` («Не взяли в работу») и выбирает соответствующий код в поле `UF_CRM_1784273768`.</w:t>
      </w:r>
    </w:p>
    <w:p>
      <w:pPr>
        <w:spacing w:before="280" w:after="80"/>
      </w:pPr>
      <w:r>
        <w:rPr>
          <w:b/>
          <w:color w:val="1B365D"/>
          <w:sz w:val="26"/>
        </w:rPr>
        <w:t>8. Регламент детекции зависших сделок (STUCK_LIMBO) и правила работы с отложениями</w:t>
      </w:r>
    </w:p>
    <w:p>
      <w:pPr>
        <w:spacing w:before="200" w:after="60"/>
      </w:pPr>
      <w:r>
        <w:rPr>
          <w:b/>
          <w:color w:val="334E68"/>
          <w:sz w:val="23"/>
        </w:rPr>
        <w:t>8.1. Квалификация зависших сделок (`STUCK_LIMBO`)</w:t>
      </w:r>
    </w:p>
    <w:p>
      <w:pPr>
        <w:spacing w:before="60" w:after="60"/>
      </w:pPr>
      <w:r>
        <w:t>Сделка признается зависшей в скрытом отложении (`STUCK_LIMBO`), если:</w:t>
      </w:r>
    </w:p>
    <w:p>
      <w:pPr>
        <w:pStyle w:val="ListNumber"/>
        <w:spacing w:before="40" w:after="40"/>
      </w:pPr>
      <w:r>
        <w:t>Дедлайн подачи закупки истек (`CLOSEDATE &lt; текущая дата` или дата в названии прошла);</w:t>
      </w:r>
    </w:p>
    <w:p>
      <w:pPr>
        <w:pStyle w:val="ListNumber"/>
        <w:spacing w:before="40" w:after="40"/>
      </w:pPr>
      <w:r>
        <w:t>Сделка находится в промежуточной рабочей стадии (`C4:NEW`, `C4:UC_8F7MST`, `C4:PREPARATION`, `C4:UC_X1NI23`, `C4:UC_5Y3KYZ`);</w:t>
      </w:r>
    </w:p>
    <w:p>
      <w:pPr>
        <w:pStyle w:val="ListNumber"/>
        <w:spacing w:before="40" w:after="40"/>
      </w:pPr>
      <w:r>
        <w:t>В сделке не зафиксирован итоговый результат в поле `UF_CRM_1784273768`.</w:t>
      </w:r>
    </w:p>
    <w:p>
      <w:pPr>
        <w:spacing w:before="200" w:after="60"/>
      </w:pPr>
      <w:r>
        <w:rPr>
          <w:b/>
          <w:color w:val="334E68"/>
          <w:sz w:val="23"/>
        </w:rPr>
        <w:t>8.2. Разграничение виновности по зависшим сделкам:</w:t>
      </w:r>
    </w:p>
    <w:p>
      <w:pPr>
        <w:pStyle w:val="ListBullet"/>
        <w:spacing w:before="40" w:after="40"/>
      </w:pPr>
      <w:r>
        <w:rPr>
          <w:b/>
        </w:rPr>
        <w:t>Вина Снабжения:</w:t>
      </w:r>
      <w:r>
        <w:t xml:space="preserve"> Связанная задача в Группе 14 не завершена, результат не сдан, ежедневный статус отсутствует — срыв по вине Азата Денишова.</w:t>
      </w:r>
    </w:p>
    <w:p>
      <w:pPr>
        <w:pStyle w:val="ListBullet"/>
        <w:spacing w:before="40" w:after="40"/>
      </w:pPr>
      <w:r>
        <w:rPr>
          <w:b/>
        </w:rPr>
        <w:t>Вина Тендерного отдела:</w:t>
      </w:r>
      <w:r>
        <w:t xml:space="preserve"> Снабжение сдало КП вовремя, но сделка брошена Александрой без подачи на ЭТП и без перевода в отказную стадию — срыв по вине Александры Пономаревой.</w:t>
      </w:r>
    </w:p>
    <w:p>
      <w:pPr>
        <w:spacing w:before="200" w:after="60"/>
      </w:pPr>
      <w:r>
        <w:rPr>
          <w:b/>
          <w:color w:val="334E68"/>
          <w:sz w:val="23"/>
        </w:rPr>
        <w:t>8.3. Правила при официальном переносе сроков заказчиком РФ:</w:t>
      </w:r>
    </w:p>
    <w:p>
      <w:pPr>
        <w:spacing w:before="60" w:after="60"/>
      </w:pPr>
      <w:r>
        <w:t>Если заказчик на торговой площадке официально продлил срок подачи заявок:</w:t>
      </w:r>
    </w:p>
    <w:p>
      <w:pPr>
        <w:pStyle w:val="ListBullet"/>
        <w:spacing w:before="40" w:after="40"/>
      </w:pPr>
      <w:r>
        <w:t xml:space="preserve">Специалист тендерного отдела обязан </w:t>
      </w:r>
      <w:r>
        <w:rPr>
          <w:b/>
        </w:rPr>
        <w:t>в течение 2 рабочих часов</w:t>
      </w:r>
      <w:r>
        <w:t xml:space="preserve"> изменить поле даты в Сделке Битрикс24 и скорректировать крайний срок в связанной задаче снабжения с комментарием: *«Срок продлен заказчиком на ЭТП до ДД.ММ.ГГГГ»*.</w:t>
      </w:r>
    </w:p>
    <w:p>
      <w:pPr>
        <w:pStyle w:val="ListBullet"/>
        <w:spacing w:before="40" w:after="40"/>
      </w:pPr>
      <w:r>
        <w:t>Любой перенос сроков без официального подтверждения с ЭТП признается искусственным затягиванием дедлайна.</w:t>
      </w:r>
    </w:p>
    <w:p>
      <w:pPr>
        <w:spacing w:before="280" w:after="80"/>
      </w:pPr>
      <w:r>
        <w:rPr>
          <w:b/>
          <w:color w:val="1B365D"/>
          <w:sz w:val="26"/>
        </w:rPr>
        <w:t>9. Аппаратный аудит и интеграция с DWH / Metabase</w:t>
      </w:r>
    </w:p>
    <w:p>
      <w:pPr>
        <w:pStyle w:val="ListNumber"/>
        <w:spacing w:before="40" w:after="40"/>
      </w:pPr>
      <w:r>
        <w:rPr>
          <w:b/>
        </w:rPr>
        <w:t>Канонический скрипт аудита:</w:t>
      </w:r>
    </w:p>
    <w:p>
      <w:pPr>
        <w:pStyle w:val="ListBullet"/>
        <w:spacing w:before="40" w:after="40"/>
      </w:pPr>
      <w:r>
        <w:t>Скрипт `projects/1c_odata/scripts/audit_tender_sla_compliance.py` сканирует все сделки воронки «Тендеры» (`CATEGORY_ID = 4`) и привязанные задачи снабжения.</w:t>
      </w:r>
    </w:p>
    <w:p>
      <w:pPr>
        <w:pStyle w:val="ListBullet"/>
        <w:spacing w:before="40" w:after="40"/>
      </w:pPr>
      <w:r>
        <w:t>Скрипт производит объективный расчет метрик SLA: время первого ответа, время сдачи КП, процент зависших сделок, виновность сторон.</w:t>
      </w:r>
    </w:p>
    <w:p>
      <w:pPr>
        <w:pStyle w:val="ListNumber"/>
        <w:spacing w:before="40" w:after="40"/>
      </w:pPr>
      <w:r>
        <w:rPr>
          <w:b/>
        </w:rPr>
        <w:t>Синхронизация в PostgreSQL DWH (`marketing_db`):</w:t>
      </w:r>
    </w:p>
    <w:p>
      <w:pPr>
        <w:pStyle w:val="ListBullet"/>
        <w:spacing w:before="40" w:after="40"/>
      </w:pPr>
      <w:r>
        <w:t>Данные аудита записываются в аналитическую таблицу `dwh_tender_sla_audit`.</w:t>
      </w:r>
    </w:p>
    <w:p>
      <w:pPr>
        <w:pStyle w:val="ListBullet"/>
        <w:spacing w:before="40" w:after="40"/>
      </w:pPr>
      <w:r>
        <w:t>В Metabase формируется дашборд «Срывы тендеров по SLA»:</w:t>
      </w:r>
    </w:p>
    <w:p>
      <w:pPr>
        <w:pStyle w:val="ListBullet"/>
        <w:spacing w:before="40" w:after="40"/>
      </w:pPr>
      <w:r>
        <w:t>Воронка доходимости до подачи на ЭТП;</w:t>
      </w:r>
    </w:p>
    <w:p>
      <w:pPr>
        <w:pStyle w:val="ListBullet"/>
        <w:spacing w:before="40" w:after="40"/>
      </w:pPr>
      <w:r>
        <w:t>Доля срывов по вине Снабжения vs Тендерного отдела;</w:t>
      </w:r>
    </w:p>
    <w:p>
      <w:pPr>
        <w:pStyle w:val="ListBullet"/>
        <w:spacing w:before="40" w:after="40"/>
      </w:pPr>
      <w:r>
        <w:t>Рейтинг причин отказов (`UF_CRM_1784273768`);</w:t>
      </w:r>
    </w:p>
    <w:p>
      <w:pPr>
        <w:pStyle w:val="ListBullet"/>
        <w:spacing w:before="40" w:after="40"/>
      </w:pPr>
      <w:r>
        <w:t>Список сделок-«висяков» (`STUCK_LIMBO`) с указанием ответственных.</w:t>
      </w:r>
    </w:p>
    <w:p>
      <w:pPr>
        <w:spacing w:before="280" w:after="80"/>
      </w:pPr>
      <w:r>
        <w:rPr>
          <w:b/>
          <w:color w:val="1B365D"/>
          <w:sz w:val="26"/>
        </w:rPr>
        <w:t>10. Ликвидация слепых зон и регламент исключительных ситуаций (Anti-Blind Spot Framework)</w:t>
      </w:r>
    </w:p>
    <w:p>
      <w:pPr>
        <w:spacing w:before="60" w:after="60"/>
      </w:pPr>
      <w:r>
        <w:t>По результатам ретроспективного аудита 257 сделок выявлены 4 системные «слепые зоны», искажавшие аналитику и ответственность. Вводятся обязательные защитные правила:</w:t>
      </w:r>
    </w:p>
    <w:p>
      <w:pPr>
        <w:spacing w:before="200" w:after="60"/>
      </w:pPr>
      <w:r>
        <w:rPr>
          <w:b/>
          <w:color w:val="334E68"/>
          <w:sz w:val="23"/>
        </w:rPr>
        <w:t>10.1. Zero "Other" Without Note Guard (Ликвидация свалки «Код 332: Другое»)</w:t>
      </w:r>
    </w:p>
    <w:p>
      <w:pPr>
        <w:pStyle w:val="ListBullet"/>
        <w:spacing w:before="40" w:after="40"/>
      </w:pPr>
      <w:r>
        <w:rPr>
          <w:b/>
        </w:rPr>
        <w:t>Проблема:</w:t>
      </w:r>
      <w:r>
        <w:t xml:space="preserve"> 37 сделок (14.4% воронки) были закрыты под формулировкой «Другое» без указания причины. Это скрывало реальные срывы подбора и ошибки специалистов.</w:t>
      </w:r>
    </w:p>
    <w:p>
      <w:pPr>
        <w:pStyle w:val="ListBullet"/>
        <w:spacing w:before="40" w:after="40"/>
      </w:pPr>
      <w:r>
        <w:rPr>
          <w:b/>
        </w:rPr>
        <w:t>Инвариант:</w:t>
      </w:r>
      <w:r>
        <w:t xml:space="preserve"> Категорически запрещено закрывать сделку с кодом 332 («Другое») без обязательного развернутого комментария в таймлайне Сделки (не менее 2 предложений) с фиксацией фактов: почему ни один из стандартных кодов не подошел, и кто из участников/внешних контрагентов стал причиной срыва.</w:t>
      </w:r>
    </w:p>
    <w:p>
      <w:pPr>
        <w:pStyle w:val="ListBullet"/>
        <w:spacing w:before="40" w:after="40"/>
      </w:pPr>
      <w:r>
        <w:t xml:space="preserve">Сделка с голым кодом 332 без комментария классифицируется аудиторским скриптом как </w:t>
      </w:r>
      <w:r>
        <w:rPr>
          <w:b/>
        </w:rPr>
        <w:t>дисциплинарное нарушение ответственного менеджера (`BLIND_SPOT_VIOLATION`)</w:t>
      </w:r>
      <w:r>
        <w:t>.</w:t>
      </w:r>
    </w:p>
    <w:p>
      <w:pPr>
        <w:spacing w:before="200" w:after="60"/>
      </w:pPr>
      <w:r>
        <w:rPr>
          <w:b/>
          <w:color w:val="334E68"/>
          <w:sz w:val="23"/>
        </w:rPr>
        <w:t>10.2. Strict Role Separation (Категорический запрет совмещения ролей Заказчик-Снабженец)</w:t>
      </w:r>
    </w:p>
    <w:p>
      <w:pPr>
        <w:pStyle w:val="ListBullet"/>
        <w:spacing w:before="40" w:after="40"/>
      </w:pPr>
      <w:r>
        <w:rPr>
          <w:b/>
        </w:rPr>
        <w:t>Проблема:</w:t>
      </w:r>
      <w:r>
        <w:t xml:space="preserve"> В исторической выборке зафиксированы случаи, когда специалист тендерного отдела (Сауле Бестова) ставила задачу снабжения на саму себя, не привлекая подразделение Азата, а затем списывала сделку как «срыв снабжения».</w:t>
      </w:r>
    </w:p>
    <w:p>
      <w:pPr>
        <w:pStyle w:val="ListBullet"/>
        <w:spacing w:before="40" w:after="40"/>
      </w:pPr>
      <w:r>
        <w:rPr>
          <w:b/>
        </w:rPr>
        <w:t>Инвариант:</w:t>
      </w:r>
      <w:r>
        <w:t xml:space="preserve"> Ответственным по задаче подбора оборудования в Группе 14 </w:t>
      </w:r>
      <w:r>
        <w:rPr>
          <w:b/>
        </w:rPr>
        <w:t>КАТЕГОРИЧЕСКИ ЗАПРЕЩЕНО</w:t>
      </w:r>
      <w:r>
        <w:t xml:space="preserve"> назначать сотрудников тендерного отдела. Задача снабжения назначается СТРОГО на руководителя снабжения Азата Денишова (`USER=20`) либо аккредитованного закупщика офиса в Дечжоу (Miss Wang `USER=30`, Cindy Qian `USER=86`, Юйнань Ли `USER=84`, Liyan Wang `USER=44`).</w:t>
      </w:r>
    </w:p>
    <w:p>
      <w:pPr>
        <w:spacing w:before="200" w:after="60"/>
      </w:pPr>
      <w:r>
        <w:rPr>
          <w:b/>
          <w:color w:val="334E68"/>
          <w:sz w:val="23"/>
        </w:rPr>
        <w:t>10.3. Handoff &amp; Vacation Protocol (Регламент передачи дел и отпусков)</w:t>
      </w:r>
    </w:p>
    <w:p>
      <w:pPr>
        <w:pStyle w:val="ListBullet"/>
        <w:spacing w:before="40" w:after="40"/>
      </w:pPr>
      <w:r>
        <w:rPr>
          <w:b/>
        </w:rPr>
        <w:t>Проблема:</w:t>
      </w:r>
      <w:r>
        <w:t xml:space="preserve"> При уходе Сауле Бестовой и передаче дел Александре Пономаревой открытые сделки зависали без актуализации ответственного и выпадали из контроля, превращаясь в скрытые отложения (`STUCK_LIMBO`).</w:t>
      </w:r>
    </w:p>
    <w:p>
      <w:pPr>
        <w:pStyle w:val="ListBullet"/>
        <w:spacing w:before="40" w:after="40"/>
      </w:pPr>
      <w:r>
        <w:rPr>
          <w:b/>
        </w:rPr>
        <w:t>Инвариант:</w:t>
      </w:r>
      <w:r>
        <w:t xml:space="preserve"> При увольнении, переводе или плановом отпуске специалиста тендерного отдела:</w:t>
      </w:r>
    </w:p>
    <w:p>
      <w:pPr>
        <w:pStyle w:val="ListNumber"/>
        <w:spacing w:before="40" w:after="40"/>
      </w:pPr>
      <w:r>
        <w:t>Проводится 100% инвентаризация открытых сделок Категории 4;</w:t>
      </w:r>
    </w:p>
    <w:p>
      <w:pPr>
        <w:pStyle w:val="ListNumber"/>
        <w:spacing w:before="40" w:after="40"/>
      </w:pPr>
      <w:r>
        <w:t>Все активные сделки пакетно переназначаются на действующего сотрудника;</w:t>
      </w:r>
    </w:p>
    <w:p>
      <w:pPr>
        <w:pStyle w:val="ListNumber"/>
        <w:spacing w:before="40" w:after="40"/>
      </w:pPr>
      <w:r>
        <w:t>Запрещено оставлять в CRM открытые сделки на бывших или неактивных сотрудниках.</w:t>
      </w:r>
    </w:p>
    <w:p>
      <w:pPr>
        <w:spacing w:before="200" w:after="60"/>
      </w:pPr>
      <w:r>
        <w:rPr>
          <w:b/>
          <w:color w:val="334E68"/>
          <w:sz w:val="23"/>
        </w:rPr>
        <w:t>10.4. Дополнительные коды отказа (Барьеры Заказчика РФ)</w:t>
      </w:r>
    </w:p>
    <w:p>
      <w:pPr>
        <w:spacing w:before="60" w:after="60"/>
      </w:pPr>
      <w:r>
        <w:t>Если закупка срывается по внешним причинам со стороны заказчика РФ, запрещено ставить «Другое» или «Срыв снабжения». Фиксируются официальные основания:</w:t>
      </w:r>
    </w:p>
    <w:p>
      <w:pPr>
        <w:pStyle w:val="ListBullet"/>
        <w:spacing w:before="40" w:after="40"/>
      </w:pPr>
      <w:r>
        <w:t>Заказчик РФ проигнорировал официальный запрос разъяснений ТЗ / не предоставил чертежи;</w:t>
      </w:r>
    </w:p>
    <w:p>
      <w:pPr>
        <w:pStyle w:val="ListBullet"/>
        <w:spacing w:before="40" w:after="40"/>
      </w:pPr>
      <w:r>
        <w:t>Непроходные финансовые условия контракта (100% постоплата свыше 90 дней, отказ от казначейского аванса, драконовские штрафы);</w:t>
      </w:r>
    </w:p>
    <w:p>
      <w:pPr>
        <w:pStyle w:val="ListBullet"/>
        <w:spacing w:before="40" w:after="40"/>
      </w:pPr>
      <w:r>
        <w:t>Отсутствие сертификатов ЕАС/ГОСТ у китайских аналогов при прямом запрете поставки без них в конкурсной документации.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