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rPr>
        <w:t xml:space="preserve">1. 所需设备的总体说明</w:t>
      </w:r>
    </w:p>
    <w:p>
      <w:pPr>
        <w:spacing w:after="200"/>
      </w:pPr>
      <w:r>
        <w:t xml:space="preserve"> </w:t>
      </w:r>
    </w:p>
    <w:p>
      <w:pPr>
        <w:spacing w:after="120"/>
        <w:jc w:val="left"/>
      </w:pPr>
      <w:r>
        <w:t xml:space="preserve">箱式电阻炉，带可移动炉底，用于在空气气氛中、最高温度800°C条件下对铝合金和钛合金零件进行退火和人工时效加热。</w:t>
      </w:r>
      <w:r>
        <w:br/>
      </w:r>
      <w:r>
        <w:t xml:space="preserve">炉型——箱式电阻炉，带可移动炉底。</w:t>
      </w:r>
      <w:r>
        <w:br/>
      </w:r>
      <w:r>
        <w:t xml:space="preserve">工作空间气氛——空气。</w:t>
      </w:r>
      <w:r>
        <w:br/>
      </w:r>
      <w:r>
        <w:t xml:space="preserve">炉子工作温度范围——从100°C到800°C。</w:t>
      </w:r>
      <w:r>
        <w:br/>
      </w:r>
      <w:r>
        <w:t xml:space="preserve">工作空间内温度分布不均匀度（加热稳定阶段）——±3°C。</w:t>
      </w:r>
      <w:r>
        <w:br/>
      </w:r>
      <w:r>
        <w:t xml:space="preserve">炉子工作空间尺寸：</w:t>
      </w:r>
    </w:p>
    <w:p>
      <w:pPr>
        <w:pStyle w:val="ListParagraph"/>
        <w:numPr>
          <w:ilvl w:val="0"/>
          <w:numId w:val="2"/>
        </w:numPr>
        <w:tabs>
          <w:tab w:val="num" w:pos="360"/>
        </w:tabs>
        <w:spacing w:after="100"/>
        <w:ind w:start="360" w:hanging="360"/>
        <w:jc w:val="left"/>
      </w:pPr>
      <w:r>
        <w:t xml:space="preserve">宽度范围——从4000到4200 mm</w:t>
      </w:r>
    </w:p>
    <w:p>
      <w:pPr>
        <w:pStyle w:val="ListParagraph"/>
        <w:numPr>
          <w:ilvl w:val="0"/>
          <w:numId w:val="2"/>
        </w:numPr>
        <w:tabs>
          <w:tab w:val="num" w:pos="360"/>
        </w:tabs>
        <w:spacing w:after="100"/>
        <w:ind w:start="360" w:hanging="360"/>
        <w:jc w:val="left"/>
      </w:pPr>
      <w:r>
        <w:t xml:space="preserve">长度范围——从4000到4200 mm</w:t>
      </w:r>
    </w:p>
    <w:p>
      <w:pPr>
        <w:pStyle w:val="ListParagraph"/>
        <w:numPr>
          <w:ilvl w:val="0"/>
          <w:numId w:val="2"/>
        </w:numPr>
        <w:tabs>
          <w:tab w:val="num" w:pos="360"/>
        </w:tabs>
        <w:spacing w:after="100"/>
        <w:ind w:start="360" w:hanging="360"/>
        <w:jc w:val="left"/>
      </w:pPr>
      <w:r>
        <w:t xml:space="preserve">高度范围——从2000到2200 mm</w:t>
      </w:r>
      <w:r>
        <w:br/>
      </w:r>
      <w:r>
        <w:t xml:space="preserve">炉子工作空间应通过防护屏与加热元件隔开。</w:t>
      </w:r>
      <w:r>
        <w:br/>
      </w:r>
      <w:r>
        <w:t xml:space="preserve">为保证加热均匀性，炉内气氛采用强制循环——风机。</w:t>
      </w:r>
      <w:r>
        <w:br/>
      </w:r>
      <w:r>
        <w:t xml:space="preserve">炉底最大载荷——10吨。</w:t>
      </w:r>
      <w:r>
        <w:br/>
      </w:r>
      <w:r>
        <w:t xml:space="preserve">炉底移动——电动机械式。</w:t>
      </w:r>
      <w:r>
        <w:br/>
      </w:r>
      <w:r>
        <w:t xml:space="preserve">炉门——升降式，配备电动机械驱动，垂直向上开启。</w:t>
      </w:r>
      <w:r>
        <w:br/>
      </w:r>
      <w:r>
        <w:t xml:space="preserve">温度调节器——型号“Термодат 17”。</w:t>
      </w:r>
      <w:r>
        <w:br/>
      </w:r>
      <w:r>
        <w:t xml:space="preserve">加热元件——镍铬合金。</w:t>
      </w:r>
    </w:p>
    <w:p>
      <w:pPr>
        <w:spacing w:after="200"/>
      </w:pPr>
      <w:r>
        <w:t xml:space="preserve"> </w:t>
      </w:r>
    </w:p>
    <w:p>
      <w:pPr>
        <w:spacing w:after="120"/>
        <w:jc w:val="left"/>
      </w:pPr>
      <w:r>
        <w:rPr>
          <w:b/>
          <w:bCs/>
        </w:rPr>
        <w:t xml:space="preserve">2. 供电参数</w:t>
      </w:r>
    </w:p>
    <w:p>
      <w:pPr>
        <w:spacing w:after="200"/>
      </w:pPr>
      <w:r>
        <w:t xml:space="preserve"> </w:t>
      </w:r>
    </w:p>
    <w:p>
      <w:pPr>
        <w:spacing w:after="120"/>
        <w:jc w:val="left"/>
      </w:pPr>
      <w:r>
        <w:t xml:space="preserve">电压——380 V</w:t>
      </w:r>
      <w:r>
        <w:br/>
      </w:r>
      <w:r>
        <w:t xml:space="preserve">频率——50 Hz</w:t>
      </w:r>
      <w:r>
        <w:br/>
      </w:r>
      <w:r>
        <w:t xml:space="preserve">相数——3</w:t>
      </w:r>
      <w:r>
        <w:br/>
      </w:r>
      <w:r>
        <w:t xml:space="preserve">功率——不超过760 kW</w:t>
      </w:r>
    </w:p>
    <w:p>
      <w:pPr>
        <w:spacing w:after="200"/>
      </w:pPr>
      <w:r>
        <w:t xml:space="preserve"> </w:t>
      </w:r>
    </w:p>
    <w:p>
      <w:pPr>
        <w:spacing w:after="120"/>
        <w:jc w:val="left"/>
      </w:pPr>
      <w:r>
        <w:rPr>
          <w:b/>
          <w:bCs/>
        </w:rPr>
        <w:t xml:space="preserve">3. 工艺参数记录</w:t>
      </w:r>
    </w:p>
    <w:p>
      <w:pPr>
        <w:spacing w:after="200"/>
      </w:pPr>
      <w:r>
        <w:t xml:space="preserve"> </w:t>
      </w:r>
    </w:p>
    <w:p>
      <w:pPr>
        <w:spacing w:after="120"/>
        <w:jc w:val="left"/>
      </w:pPr>
      <w:r>
        <w:t xml:space="preserve">以T/T, °C/min关系图的形式记录温度/保温时间。</w:t>
      </w:r>
      <w:r>
        <w:br/>
      </w:r>
      <w:r>
        <w:t xml:space="preserve">设备应配备加热元件电流连续监控系统及整个电力部分状态诊断系统。</w:t>
      </w:r>
      <w:r>
        <w:br/>
      </w:r>
      <w:r>
        <w:t xml:space="preserve">基于PC（不含PC和打印机）的温度制度信息采集与存储系统。</w:t>
      </w:r>
      <w:r>
        <w:br/>
      </w:r>
      <w:r>
        <w:t xml:space="preserve">上述参数记录应通过软件实现，并具有不受限制的使用许可。</w:t>
      </w:r>
    </w:p>
    <w:p>
      <w:pPr>
        <w:spacing w:after="200"/>
      </w:pPr>
      <w:r>
        <w:t xml:space="preserve"> </w:t>
      </w:r>
    </w:p>
    <w:p>
      <w:pPr>
        <w:spacing w:after="120"/>
        <w:jc w:val="left"/>
      </w:pPr>
      <w:r>
        <w:rPr>
          <w:b/>
          <w:bCs/>
        </w:rPr>
        <w:t xml:space="preserve">4. 计量设备、证书和许可证</w:t>
      </w:r>
    </w:p>
    <w:p>
      <w:pPr>
        <w:spacing w:after="200"/>
      </w:pPr>
      <w:r>
        <w:t xml:space="preserve"> </w:t>
      </w:r>
    </w:p>
    <w:p>
      <w:pPr>
        <w:spacing w:after="120"/>
        <w:jc w:val="left"/>
      </w:pPr>
      <w:r>
        <w:t xml:space="preserve">所有供货设备应具有有效的证书和许可证。</w:t>
      </w:r>
      <w:r>
        <w:br/>
      </w:r>
      <w:r>
        <w:t xml:space="preserve">供货设备中包含的所有测量器具应为批准类型并列入国家登记册，在供货时应具有有效的首次检定证书，并具有出厂编号。</w:t>
      </w:r>
      <w:r>
        <w:br/>
      </w:r>
      <w:r>
        <w:t xml:space="preserve">设备应为全新、未曾使用、无缺陷、非由翻新部件和组件组装而成、非展品。</w:t>
      </w:r>
    </w:p>
    <w:p>
      <w:pPr>
        <w:spacing w:after="200"/>
      </w:pPr>
      <w:r>
        <w:t xml:space="preserve"> </w:t>
      </w:r>
    </w:p>
    <w:p>
      <w:pPr>
        <w:spacing w:after="120"/>
        <w:jc w:val="left"/>
      </w:pPr>
      <w:r>
        <w:rPr>
          <w:b/>
          <w:bCs/>
        </w:rPr>
        <w:t xml:space="preserve">5. 温度分布均匀性测定方法</w:t>
      </w:r>
    </w:p>
    <w:p>
      <w:pPr>
        <w:spacing w:after="200"/>
      </w:pPr>
      <w:r>
        <w:t xml:space="preserve"> </w:t>
      </w:r>
    </w:p>
    <w:p>
      <w:pPr>
        <w:spacing w:after="120"/>
        <w:jc w:val="left"/>
      </w:pPr>
      <w:r>
        <w:t xml:space="preserve">炉子结构中应设置用于引入柔性检测热电偶的引入孔（检测热电偶数不少于10个，引入孔1个）。</w:t>
      </w:r>
    </w:p>
    <w:p>
      <w:pPr>
        <w:spacing w:after="200"/>
      </w:pPr>
      <w:r>
        <w:t xml:space="preserve"> </w:t>
      </w:r>
    </w:p>
    <w:p>
      <w:pPr>
        <w:spacing w:after="120"/>
        <w:jc w:val="left"/>
      </w:pPr>
      <w:r>
        <w:t xml:space="preserve">测定方法为：以不超过7°C/min的速度将炉子加热至设定温度，随后保温。温度区间，°C：100、200、350、500、600、700、800。达到设定温度后，从达到设定温度时刻起保温30分钟，然后在60分钟内，在工作腔体积内不少于10个点测量温度，这些点位于置于炉工作空间内的装置上。进行鉴定时，炉子应在自动模式下（按程序）无中断运行。工作空间内温度分布不均匀度（加热稳定阶段）——±3°C。温度分布均匀性试验为交收试验。</w:t>
      </w:r>
    </w:p>
    <w:p>
      <w:pPr>
        <w:spacing w:after="200"/>
      </w:pPr>
      <w:r>
        <w:t xml:space="preserve"> </w:t>
      </w:r>
    </w:p>
    <w:p>
      <w:pPr>
        <w:spacing w:after="120"/>
        <w:jc w:val="left"/>
      </w:pPr>
      <w:r>
        <w:rPr>
          <w:b/>
          <w:bCs/>
        </w:rPr>
        <w:t xml:space="preserve">6. 供应商提供的服务</w:t>
      </w:r>
    </w:p>
    <w:p>
      <w:pPr>
        <w:spacing w:after="200"/>
      </w:pPr>
      <w:r>
        <w:t xml:space="preserve"> </w:t>
      </w:r>
    </w:p>
    <w:p>
      <w:pPr>
        <w:pStyle w:val="ListParagraph"/>
        <w:numPr>
          <w:ilvl w:val="0"/>
          <w:numId w:val="2"/>
        </w:numPr>
        <w:tabs>
          <w:tab w:val="num" w:pos="360"/>
        </w:tabs>
        <w:spacing w:after="100"/>
        <w:ind w:start="360" w:hanging="360"/>
        <w:jc w:val="left"/>
      </w:pPr>
      <w:r>
        <w:t xml:space="preserve">安装</w:t>
      </w:r>
    </w:p>
    <w:p>
      <w:pPr>
        <w:pStyle w:val="ListParagraph"/>
        <w:numPr>
          <w:ilvl w:val="0"/>
          <w:numId w:val="2"/>
        </w:numPr>
        <w:tabs>
          <w:tab w:val="num" w:pos="360"/>
        </w:tabs>
        <w:spacing w:after="100"/>
        <w:ind w:start="360" w:hanging="360"/>
        <w:jc w:val="left"/>
      </w:pPr>
      <w:r>
        <w:t xml:space="preserve">调试</w:t>
      </w:r>
    </w:p>
    <w:p>
      <w:pPr>
        <w:pStyle w:val="ListParagraph"/>
        <w:numPr>
          <w:ilvl w:val="0"/>
          <w:numId w:val="2"/>
        </w:numPr>
        <w:tabs>
          <w:tab w:val="num" w:pos="360"/>
        </w:tabs>
        <w:spacing w:after="100"/>
        <w:ind w:start="360" w:hanging="360"/>
        <w:jc w:val="left"/>
      </w:pPr>
      <w:r>
        <w:t xml:space="preserve">人员培训：工艺工程师（2-3人）、工人（3-4人）、计量服务工程师（2人）、维护人员（2-4人）</w:t>
      </w:r>
    </w:p>
    <w:p>
      <w:pPr>
        <w:pStyle w:val="ListParagraph"/>
        <w:numPr>
          <w:ilvl w:val="0"/>
          <w:numId w:val="2"/>
        </w:numPr>
        <w:tabs>
          <w:tab w:val="num" w:pos="360"/>
        </w:tabs>
        <w:spacing w:after="100"/>
        <w:ind w:start="360" w:hanging="360"/>
        <w:jc w:val="left"/>
      </w:pPr>
      <w:r>
        <w:t xml:space="preserve">由供应商人力和工具进行设备首次鉴定，并出具鉴定报告</w:t>
      </w:r>
    </w:p>
    <w:p>
      <w:pPr>
        <w:pStyle w:val="ListParagraph"/>
        <w:numPr>
          <w:ilvl w:val="0"/>
          <w:numId w:val="2"/>
        </w:numPr>
        <w:tabs>
          <w:tab w:val="num" w:pos="360"/>
        </w:tabs>
        <w:spacing w:after="100"/>
        <w:ind w:start="360" w:hanging="360"/>
        <w:jc w:val="left"/>
      </w:pPr>
      <w:r>
        <w:t xml:space="preserve">首个热处理循环的伴随指导，并随后出具设备使用建议。在完成调试和首个热处理循环后签署验收证书</w:t>
      </w:r>
    </w:p>
    <w:p>
      <w:pPr>
        <w:spacing w:after="200"/>
      </w:pPr>
      <w:r>
        <w:t xml:space="preserve"> </w:t>
      </w:r>
    </w:p>
    <w:p>
      <w:pPr>
        <w:spacing w:after="120"/>
        <w:jc w:val="left"/>
      </w:pPr>
      <w:r>
        <w:t xml:space="preserve">质保期：自设备投入使用之日起不少于12个月。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3"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4"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2026-10-30T07:40:08.959Z</dcterms:created>
  <dcterms:modified xsi:type="dcterms:W3CDTF">2026-10-30T07:40:08.959Z</dcterms:modified>
</cp:coreProperties>
</file>

<file path=docProps/custom.xml><?xml version="1.0" encoding="utf-8"?>
<Properties xmlns="http://schemas.openxmlformats.org/officeDocument/2006/custom-properties" xmlns:vt="http://schemas.openxmlformats.org/officeDocument/2006/docPropsVTypes"/>
</file>