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Pr="001B73A1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«Информационно-коммуникационные технологии»</w:t>
      </w: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:rsidR="00C344A3" w:rsidRDefault="00C344A3" w:rsidP="00C344A3">
      <w:pPr>
        <w:pStyle w:val="Default"/>
      </w:pPr>
    </w:p>
    <w:p w:rsidR="00C344A3" w:rsidRP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4A3">
        <w:rPr>
          <w:rFonts w:ascii="Times New Roman" w:hAnsi="Times New Roman" w:cs="Times New Roman"/>
          <w:b/>
          <w:bCs/>
          <w:sz w:val="28"/>
          <w:szCs w:val="36"/>
        </w:rPr>
        <w:t>Выполнение задачи однофакторного дисперсионного анализа с использованием табличного процессора Excel</w:t>
      </w: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1B73A1" w:rsidRDefault="00C344A3" w:rsidP="00C344A3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C344A3" w:rsidRPr="002D7C00" w:rsidRDefault="00C344A3" w:rsidP="00C344A3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C344A3" w:rsidRPr="002D7C00" w:rsidRDefault="00C344A3" w:rsidP="00C344A3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Стороежнко Артем Владимирович</w:t>
      </w:r>
    </w:p>
    <w:p w:rsidR="00C344A3" w:rsidRPr="002D7C00" w:rsidRDefault="00C344A3" w:rsidP="00C344A3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:rsidR="00C344A3" w:rsidRPr="002D7C00" w:rsidRDefault="00C344A3" w:rsidP="00C344A3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Мартыновская А.С.</w:t>
      </w: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Pr="002D7C00" w:rsidRDefault="00C344A3" w:rsidP="00C3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Pr="00C344A3" w:rsidRDefault="00C344A3" w:rsidP="00C34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научиться проводить однофакторный дисперсионный анализ, используя встроенные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а также получить навыки применения однофакторного дисперсионного анализа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344A3">
        <w:rPr>
          <w:rFonts w:ascii="Times New Roman" w:hAnsi="Times New Roman" w:cs="Times New Roman"/>
          <w:sz w:val="28"/>
          <w:szCs w:val="28"/>
        </w:rPr>
        <w:t>.</w:t>
      </w:r>
    </w:p>
    <w:p w:rsidR="00C344A3" w:rsidRDefault="00C344A3" w:rsidP="00C34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C344A3" w:rsidRDefault="00C344A3" w:rsidP="00C34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установить, являются ли различия в среднем времени работы динамиков между производителями мобильных устройств значимыми. Исходные данные показаны на рисунке 1, результаты дисперсионного анализа – на рисунке 2.</w:t>
      </w:r>
    </w:p>
    <w:p w:rsidR="00C344A3" w:rsidRDefault="00C344A3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Default="00C344A3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4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612ED3" wp14:editId="6B87CE62">
            <wp:extent cx="5940425" cy="1456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A3" w:rsidRDefault="00C344A3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Исходные данные для задания 1</w:t>
      </w:r>
    </w:p>
    <w:p w:rsidR="00046E55" w:rsidRDefault="00046E55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E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605E8" wp14:editId="13822B33">
            <wp:extent cx="5940425" cy="1216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55" w:rsidRDefault="00046E55" w:rsidP="00C344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дисперсионного анализа</w:t>
      </w:r>
    </w:p>
    <w:p w:rsidR="00046E55" w:rsidRDefault="00046E55" w:rsidP="00046E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6E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критерия, равное 4,63 больше табличного, равного 3,24, поэтому нулевая гипотеза о случайном характере зависимости времени работы динамиков от производителя отклоняется. </w:t>
      </w:r>
    </w:p>
    <w:p w:rsidR="00046E55" w:rsidRDefault="00046E5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эмпирического корреляционного отношения равно 0,68, что означает, что между временем работы динамиков и фирмой – производителем существует умеренно тесная связь. </w:t>
      </w:r>
    </w:p>
    <w:p w:rsidR="00046E55" w:rsidRDefault="00046E5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Коэффициент детерминации равен 0,46, то есть время работы динамиков зависит на 46% от фирмы – производителя и на 54% от других факторов.</w:t>
      </w:r>
    </w:p>
    <w:p w:rsidR="00046E55" w:rsidRDefault="00046E5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046E55" w:rsidRDefault="00046E55" w:rsidP="00046E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проверить нулевую гипотезу о влиянии фактора на качество объекта. Исходные данные приведены на рисунке 3, результаты дисперсионного анализа приведены на рисунке 4.</w:t>
      </w:r>
    </w:p>
    <w:p w:rsidR="00046E55" w:rsidRDefault="00046E55" w:rsidP="00046E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E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C2150" wp14:editId="12E88077">
            <wp:extent cx="3810532" cy="1533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Исходные данные для задания 2</w:t>
      </w: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E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013D2" wp14:editId="083F5298">
            <wp:extent cx="5940425" cy="1153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дисперсионного анализа</w:t>
      </w:r>
    </w:p>
    <w:p w:rsid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6E55" w:rsidRDefault="00046E5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46E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критерия Фишера меньше табличного, </w:t>
      </w:r>
      <w:r w:rsidR="00502265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нулевая гипотеза о случайном характере отклонений в </w:t>
      </w:r>
      <w:r w:rsidR="00502265">
        <w:rPr>
          <w:rFonts w:ascii="Times New Roman" w:hAnsi="Times New Roman" w:cs="Times New Roman"/>
          <w:sz w:val="28"/>
          <w:szCs w:val="28"/>
        </w:rPr>
        <w:t>качестве объекта в зависимости от фактора принимается.</w:t>
      </w:r>
    </w:p>
    <w:p w:rsidR="00502265" w:rsidRDefault="0050226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502265" w:rsidRDefault="00502265" w:rsidP="00502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установить, влияет ли методика изучения материала на степень его усвоения, определить степень этого влияния и узнать, есть ли статистически значимая тенденция возрастания показателей в порядке «первоисточник» - «учебник» - «компьютер». Исходные данные приведены на рисунке 5, результаты анализа – на рисунке 6.</w:t>
      </w:r>
    </w:p>
    <w:p w:rsidR="00502265" w:rsidRDefault="00502265" w:rsidP="00502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2265" w:rsidRP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22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36DE5" wp14:editId="30026425">
            <wp:extent cx="5258534" cy="24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Исходные данные для задания 3</w:t>
      </w:r>
    </w:p>
    <w:p w:rsid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2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39BA1" wp14:editId="3E11FFB3">
            <wp:extent cx="5940425" cy="1421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Результаты дисперсионного анализа для задания 3</w:t>
      </w:r>
    </w:p>
    <w:p w:rsidR="00502265" w:rsidRDefault="00502265" w:rsidP="0050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265" w:rsidRDefault="008A1F19" w:rsidP="008A1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F1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критерия больше табличного,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нулевая гипотеза о случайном характере отклонений в степени усвоения материала от источника отклоняется.</w:t>
      </w:r>
    </w:p>
    <w:p w:rsidR="008A1F19" w:rsidRDefault="008A1F19" w:rsidP="008A1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эмпирического корреляционного отношения равно 0,5, что означает, что между методикой обучения и степенью усвоения материала существует умеренная связь.</w:t>
      </w:r>
    </w:p>
    <w:p w:rsidR="008A1F19" w:rsidRPr="008A1F19" w:rsidRDefault="008A1F19" w:rsidP="008A1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Коэффициент детерминации равен 0,25, что означает, что степень усвоения материала зависит на 25% от методики обучения и на 75% от других факторов.</w:t>
      </w:r>
      <w:bookmarkStart w:id="0" w:name="_GoBack"/>
      <w:bookmarkEnd w:id="0"/>
    </w:p>
    <w:p w:rsidR="00502265" w:rsidRPr="00046E55" w:rsidRDefault="00502265" w:rsidP="00046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6E55" w:rsidRPr="00046E55" w:rsidRDefault="00046E55" w:rsidP="00046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4A3" w:rsidRPr="00C344A3" w:rsidRDefault="00C344A3" w:rsidP="00C34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4392" w:rsidRDefault="008A1F19"/>
    <w:sectPr w:rsidR="00A94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4B"/>
    <w:rsid w:val="00046E55"/>
    <w:rsid w:val="00287087"/>
    <w:rsid w:val="00502265"/>
    <w:rsid w:val="008A1F19"/>
    <w:rsid w:val="009265EE"/>
    <w:rsid w:val="009A314B"/>
    <w:rsid w:val="00C3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13F1"/>
  <w15:chartTrackingRefBased/>
  <w15:docId w15:val="{9E11B24D-05F8-4940-9E78-80F0C3D5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A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44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2</cp:revision>
  <dcterms:created xsi:type="dcterms:W3CDTF">2023-12-03T20:58:00Z</dcterms:created>
  <dcterms:modified xsi:type="dcterms:W3CDTF">2023-12-03T22:23:00Z</dcterms:modified>
</cp:coreProperties>
</file>