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МИНИCTEPCTBO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</w:t>
      </w:r>
      <w:proofErr w:type="gramStart"/>
      <w:r>
        <w:rPr>
          <w:rFonts w:ascii="Times New Roman" w:eastAsia="Times New Roman" w:hAnsi="Times New Roman" w:cs="Times New Roman"/>
          <w:sz w:val="28"/>
        </w:rPr>
        <w:t>СЕВЕРО-КАВКАЗСКИЙ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ФЕДЕРАЛЬНЫЙ УНИВЕРСИТЕТ»</w:t>
      </w:r>
    </w:p>
    <w:p w:rsidR="0040459E" w:rsidRDefault="004045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Кафедра прикладной информатики</w:t>
      </w: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ОТЧЕТ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 xml:space="preserve"> 2</w:t>
      </w: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ДИСЦИПЛИНЫ «Информационно-коммуникационные технологии»</w:t>
      </w:r>
    </w:p>
    <w:p w:rsidR="0040459E" w:rsidRDefault="004045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 ТЕМУ:</w:t>
      </w: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Выполнение задачи однофакторного дисперсионного анализа с использованием табличного процессора Excel</w:t>
      </w: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ind w:left="3828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Выполнил: </w:t>
      </w:r>
    </w:p>
    <w:p w:rsidR="0040459E" w:rsidRDefault="00510EA4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ПИН-б-о-21-1</w:t>
      </w:r>
    </w:p>
    <w:p w:rsidR="0040459E" w:rsidRDefault="00510EA4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Стороежнко </w:t>
      </w:r>
      <w:r>
        <w:rPr>
          <w:rFonts w:ascii="Times New Roman" w:eastAsia="Times New Roman" w:hAnsi="Times New Roman" w:cs="Times New Roman"/>
          <w:sz w:val="28"/>
        </w:rPr>
        <w:t>Артем Владимирович</w:t>
      </w:r>
    </w:p>
    <w:p w:rsidR="0040459E" w:rsidRDefault="00510EA4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 ассистент кафедры прикладной информатики</w:t>
      </w:r>
    </w:p>
    <w:p w:rsidR="0040459E" w:rsidRDefault="00510EA4">
      <w:pPr>
        <w:spacing w:after="0" w:line="240" w:lineRule="auto"/>
        <w:ind w:left="382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Мартыновская А.С.</w:t>
      </w: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Ставрополь, 2023</w:t>
      </w:r>
    </w:p>
    <w:p w:rsidR="0040459E" w:rsidRDefault="004045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sz w:val="28"/>
        </w:rPr>
        <w:t>научиться проводить однофакторный дисперсионный анализ, используя встроенные инструменты Excel, а также получить навыки применения однофакторного дисперсионного анализа в программе Mathcad.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Первые 11 заданий были выполнены с использованием табличного проц</w:t>
      </w:r>
      <w:r>
        <w:rPr>
          <w:rFonts w:ascii="Times New Roman" w:eastAsia="Times New Roman" w:hAnsi="Times New Roman" w:cs="Times New Roman"/>
          <w:sz w:val="28"/>
        </w:rPr>
        <w:t xml:space="preserve">ессора Excel. Для проведения однофакторного дисперсионного анализа использовалась функция «Данные» </w:t>
      </w:r>
      <w:r>
        <w:rPr>
          <w:rFonts w:ascii="Cambria Math" w:eastAsia="Cambria Math" w:hAnsi="Cambria Math" w:cs="Cambria Math"/>
          <w:sz w:val="28"/>
        </w:rPr>
        <w:t>→</w:t>
      </w:r>
      <w:r>
        <w:rPr>
          <w:rFonts w:ascii="Times New Roman" w:eastAsia="Times New Roman" w:hAnsi="Times New Roman" w:cs="Times New Roman"/>
          <w:sz w:val="28"/>
        </w:rPr>
        <w:t xml:space="preserve"> «Анализ данных» </w:t>
      </w:r>
      <w:r>
        <w:rPr>
          <w:rFonts w:ascii="Cambria Math" w:eastAsia="Cambria Math" w:hAnsi="Cambria Math" w:cs="Cambria Math"/>
          <w:sz w:val="28"/>
        </w:rPr>
        <w:t>→</w:t>
      </w:r>
      <w:r>
        <w:rPr>
          <w:rFonts w:ascii="Times New Roman" w:eastAsia="Times New Roman" w:hAnsi="Times New Roman" w:cs="Times New Roman"/>
          <w:sz w:val="28"/>
        </w:rPr>
        <w:t xml:space="preserve"> «Однофакторный дисперсионный анализ».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установить, являются ли различия в среднем времени работы динамиков между производителями мобильных устройств значимыми. Исходные данные показаны на рисунке 1, результаты дисперсионного анализа – на рисунке 2.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2202">
          <v:rect id="rectole0000000000" o:spid="_x0000_i1025" style="width:449.25pt;height:110.25pt" o:ole="" o:preferrelative="t" stroked="f">
            <v:imagedata r:id="rId4" o:title=""/>
          </v:rect>
          <o:OLEObject Type="Embed" ProgID="StaticMetafile" ShapeID="rectole0000000000" DrawAspect="Content" ObjectID="_1764105224" r:id="rId5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 – Исходные данные для задания 1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1838">
          <v:rect id="rectole0000000001" o:spid="_x0000_i1026" style="width:449.25pt;height:92.25pt" o:ole="" o:preferrelative="t" stroked="f">
            <v:imagedata r:id="rId6" o:title=""/>
          </v:rect>
          <o:OLEObject Type="Embed" ProgID="StaticMetafile" ShapeID="rectole0000000001" DrawAspect="Content" ObjectID="_1764105225" r:id="rId7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 – Результаты дисперсионного анализа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Расчетное значение F – критерия, равное 4,63 больше табличного, равного 3,24, поэтому нулевая гипотеза о случайном характере зависимости вр</w:t>
      </w:r>
      <w:r>
        <w:rPr>
          <w:rFonts w:ascii="Times New Roman" w:eastAsia="Times New Roman" w:hAnsi="Times New Roman" w:cs="Times New Roman"/>
          <w:sz w:val="28"/>
        </w:rPr>
        <w:t xml:space="preserve">емени работы динамиков от производителя отклоняется. 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Значение эмпирического корреляционного отношения равно 0,68, что означает, что между временем работы динамиков и фирмой – производителем существует умеренно тесная связь. 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</w:t>
      </w:r>
      <w:r>
        <w:rPr>
          <w:rFonts w:ascii="Times New Roman" w:eastAsia="Times New Roman" w:hAnsi="Times New Roman" w:cs="Times New Roman"/>
          <w:sz w:val="28"/>
        </w:rPr>
        <w:t xml:space="preserve"> 0,46, то есть время работы динамиков зависит на 46% от фирмы – производителя и на 54% от других факторов.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2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проверить нулевую гипотезу о влиянии фактора на качество объекта. Исходные данные приведены на рисунке 3, результаты дисп</w:t>
      </w:r>
      <w:r>
        <w:rPr>
          <w:rFonts w:ascii="Times New Roman" w:eastAsia="Times New Roman" w:hAnsi="Times New Roman" w:cs="Times New Roman"/>
          <w:sz w:val="28"/>
        </w:rPr>
        <w:t>ерсионного анализа приведены на рисунке 4.</w:t>
      </w:r>
    </w:p>
    <w:p w:rsidR="0040459E" w:rsidRDefault="0040459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760" w:dyaOrig="2318">
          <v:rect id="rectole0000000002" o:spid="_x0000_i1027" style="width:4in;height:116.25pt" o:ole="" o:preferrelative="t" stroked="f">
            <v:imagedata r:id="rId8" o:title=""/>
          </v:rect>
          <o:OLEObject Type="Embed" ProgID="StaticMetafile" ShapeID="rectole0000000002" DrawAspect="Content" ObjectID="_1764105226" r:id="rId9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 – Исходные данные для задания 2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1744">
          <v:rect id="rectole0000000003" o:spid="_x0000_i1028" style="width:449.25pt;height:87pt" o:ole="" o:preferrelative="t" stroked="f">
            <v:imagedata r:id="rId10" o:title=""/>
          </v:rect>
          <o:OLEObject Type="Embed" ProgID="StaticMetafile" ShapeID="rectole0000000003" DrawAspect="Content" ObjectID="_1764105227" r:id="rId11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4 – Результаты дисперсионного анализа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Расчетное значение F – критерия Фишера меньше табличного, следовател</w:t>
      </w:r>
      <w:r>
        <w:rPr>
          <w:rFonts w:ascii="Times New Roman" w:eastAsia="Times New Roman" w:hAnsi="Times New Roman" w:cs="Times New Roman"/>
          <w:sz w:val="28"/>
        </w:rPr>
        <w:t>ьно, нулевая гипотеза о случайном характере отклонений в качестве объекта в зависимости от фактора принимается.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3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установить, влияет ли методика изучения материала на степень его усвоения, определить степень этого влияния и узнать, есть ли статистически значимая тенденция возрастания показателей в порядке «первоисточник» - «учебник» - «компьютер». Исхо</w:t>
      </w:r>
      <w:r>
        <w:rPr>
          <w:rFonts w:ascii="Times New Roman" w:eastAsia="Times New Roman" w:hAnsi="Times New Roman" w:cs="Times New Roman"/>
          <w:sz w:val="28"/>
        </w:rPr>
        <w:t>дные данные приведены на рисунке 5, результаты анализа – на рисунке 6.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950" w:dyaOrig="3744">
          <v:rect id="rectole0000000004" o:spid="_x0000_i1029" style="width:397.5pt;height:187.5pt" o:ole="" o:preferrelative="t" stroked="f">
            <v:imagedata r:id="rId12" o:title=""/>
          </v:rect>
          <o:OLEObject Type="Embed" ProgID="StaticMetafile" ShapeID="rectole0000000004" DrawAspect="Content" ObjectID="_1764105228" r:id="rId13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5 – Исходные данные для задания 3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2148">
          <v:rect id="rectole0000000005" o:spid="_x0000_i1030" style="width:449.25pt;height:107.25pt" o:ole="" o:preferrelative="t" stroked="f">
            <v:imagedata r:id="rId14" o:title=""/>
          </v:rect>
          <o:OLEObject Type="Embed" ProgID="StaticMetafile" ShapeID="rectole0000000005" DrawAspect="Content" ObjectID="_1764105229" r:id="rId15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6 – Результаты дисперсионного анализа для задания 3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Расчетное значение F - кри</w:t>
      </w:r>
      <w:r>
        <w:rPr>
          <w:rFonts w:ascii="Times New Roman" w:eastAsia="Times New Roman" w:hAnsi="Times New Roman" w:cs="Times New Roman"/>
          <w:sz w:val="28"/>
        </w:rPr>
        <w:t xml:space="preserve">терия больше табличного, </w:t>
      </w:r>
      <w:proofErr w:type="gramStart"/>
      <w:r>
        <w:rPr>
          <w:rFonts w:ascii="Times New Roman" w:eastAsia="Times New Roman" w:hAnsi="Times New Roman" w:cs="Times New Roman"/>
          <w:sz w:val="28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нулевая гипотеза о случайном характере отклонений в степени усвоения материала от источника отклоняется.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Значение эмпирического корреляционного отношения равно 0,5, что означает, что между методикой обучения и степень</w:t>
      </w:r>
      <w:r>
        <w:rPr>
          <w:rFonts w:ascii="Times New Roman" w:eastAsia="Times New Roman" w:hAnsi="Times New Roman" w:cs="Times New Roman"/>
          <w:sz w:val="28"/>
        </w:rPr>
        <w:t>ю усвоения материала существует умеренная связь.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0,25, что означает, что степень усвоения материала зависит на 25% от методики обучения и на 75% от других факторов.</w:t>
      </w: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4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установить степень влияния различных технологий по выращивания сельскохозяйтсвенной культуры на ее урожайность. Исходные данные приведены на рисунке 7. Результаты анализа – на рисунке 8.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2459">
          <v:rect id="rectole0000000006" o:spid="_x0000_i1031" style="width:449.25pt;height:123pt" o:ole="" o:preferrelative="t" stroked="f">
            <v:imagedata r:id="rId16" o:title=""/>
          </v:rect>
          <o:OLEObject Type="Embed" ProgID="StaticMetafile" ShapeID="rectole0000000006" DrawAspect="Content" ObjectID="_1764105230" r:id="rId17"/>
        </w:object>
      </w:r>
    </w:p>
    <w:p w:rsidR="0040459E" w:rsidRDefault="00510EA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7 – Исходные данн</w:t>
      </w:r>
      <w:r>
        <w:rPr>
          <w:rFonts w:ascii="Times New Roman" w:eastAsia="Times New Roman" w:hAnsi="Times New Roman" w:cs="Times New Roman"/>
          <w:sz w:val="28"/>
        </w:rPr>
        <w:t>ые для задания 4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2604">
          <v:rect id="rectole0000000007" o:spid="_x0000_i1032" style="width:449.25pt;height:130.5pt" o:ole="" o:preferrelative="t" stroked="f">
            <v:imagedata r:id="rId18" o:title=""/>
          </v:rect>
          <o:OLEObject Type="Embed" ProgID="StaticMetafile" ShapeID="rectole0000000007" DrawAspect="Content" ObjectID="_1764105231" r:id="rId19"/>
        </w:object>
      </w:r>
    </w:p>
    <w:p w:rsidR="0040459E" w:rsidRDefault="00510EA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8 – Результаты дисперсионного анализа для задания 4</w:t>
      </w:r>
    </w:p>
    <w:p w:rsidR="0040459E" w:rsidRDefault="004045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Так как расчетное значение F – </w:t>
      </w:r>
      <w:r>
        <w:rPr>
          <w:rFonts w:ascii="Times New Roman" w:eastAsia="Times New Roman" w:hAnsi="Times New Roman" w:cs="Times New Roman"/>
          <w:sz w:val="28"/>
        </w:rPr>
        <w:t>критерия больше табличного, нулевая гипотеза о случайном характере отклонений урожайности для разных технологий отвергается.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Значение эмпирического корреляционного отношения равно 0,66, что означает, что между урожайностью культуры и используемой технологи</w:t>
      </w:r>
      <w:r>
        <w:rPr>
          <w:rFonts w:ascii="Times New Roman" w:eastAsia="Times New Roman" w:hAnsi="Times New Roman" w:cs="Times New Roman"/>
          <w:sz w:val="28"/>
        </w:rPr>
        <w:t xml:space="preserve">ей существует умеренно тесная связь. 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0,43, что означает, что урожайность культуры зависит на 43% от используемой технологии и на 57% от других факторов.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5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Требуется оценить влияние квалификации наладчиков на рассея</w:t>
      </w:r>
      <w:r>
        <w:rPr>
          <w:rFonts w:ascii="Times New Roman" w:eastAsia="Times New Roman" w:hAnsi="Times New Roman" w:cs="Times New Roman"/>
          <w:sz w:val="28"/>
        </w:rPr>
        <w:t>ние диаметров изготавливаемых ими шариков. Исходные данные приведены на рисунке 9, результаты анализа – на рисунке 10.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1923">
          <v:rect id="rectole0000000008" o:spid="_x0000_i1033" style="width:449.25pt;height:96pt" o:ole="" o:preferrelative="t" stroked="f">
            <v:imagedata r:id="rId20" o:title=""/>
          </v:rect>
          <o:OLEObject Type="Embed" ProgID="StaticMetafile" ShapeID="rectole0000000008" DrawAspect="Content" ObjectID="_1764105232" r:id="rId21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9 – Исходные данные для задания 5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2694">
          <v:rect id="rectole0000000009" o:spid="_x0000_i1034" style="width:449.25pt;height:135pt" o:ole="" o:preferrelative="t" stroked="f">
            <v:imagedata r:id="rId22" o:title=""/>
          </v:rect>
          <o:OLEObject Type="Embed" ProgID="StaticMetafile" ShapeID="rectole0000000009" DrawAspect="Content" ObjectID="_1764105233" r:id="rId23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10 – Результаты дисперсионного </w:t>
      </w:r>
      <w:r>
        <w:rPr>
          <w:rFonts w:ascii="Times New Roman" w:eastAsia="Times New Roman" w:hAnsi="Times New Roman" w:cs="Times New Roman"/>
          <w:sz w:val="28"/>
        </w:rPr>
        <w:t>анализа для задания 5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Результаты анализа показывают, что расчетное значение F- критерия равно 9,51, что значительно больше табличного, равного 2,76, а значит нулевая гипотеза о случайном характере отклонений диаметров шариков от квалификации наладчиков от</w:t>
      </w:r>
      <w:r>
        <w:rPr>
          <w:rFonts w:ascii="Times New Roman" w:eastAsia="Times New Roman" w:hAnsi="Times New Roman" w:cs="Times New Roman"/>
          <w:sz w:val="28"/>
        </w:rPr>
        <w:t>вергается.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Значение эмпирического корреляционного отношения равно 0,77, что позволяет сделать вывод о том, что между рассеянием диаметров шариков и квалификацией наладчиков существует достаточно тесная связь.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0,6, что значит,</w:t>
      </w:r>
      <w:r>
        <w:rPr>
          <w:rFonts w:ascii="Times New Roman" w:eastAsia="Times New Roman" w:hAnsi="Times New Roman" w:cs="Times New Roman"/>
          <w:sz w:val="28"/>
        </w:rPr>
        <w:t xml:space="preserve"> что диаметр шариков зависит на 60% от квалификации наладчика и на 40% от других факторов.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6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Требуется оценить влияния квалификации наладчиков на рассеяние диаметров изготавливаемых ими шариков. Исходные данные приведены на рисунке 11, результаты</w:t>
      </w:r>
      <w:r>
        <w:rPr>
          <w:rFonts w:ascii="Times New Roman" w:eastAsia="Times New Roman" w:hAnsi="Times New Roman" w:cs="Times New Roman"/>
          <w:sz w:val="28"/>
        </w:rPr>
        <w:t xml:space="preserve"> однофакторного дисперсионного анализа – на рисунке 12.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1862">
          <v:rect id="rectole0000000010" o:spid="_x0000_i1035" style="width:449.25pt;height:93pt" o:ole="" o:preferrelative="t" stroked="f">
            <v:imagedata r:id="rId24" o:title=""/>
          </v:rect>
          <o:OLEObject Type="Embed" ProgID="StaticMetafile" ShapeID="rectole0000000010" DrawAspect="Content" ObjectID="_1764105234" r:id="rId25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Рисунок 11 – Исходные данные для задания 6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3626">
          <v:rect id="rectole0000000011" o:spid="_x0000_i1036" style="width:449.25pt;height:181.5pt" o:ole="" o:preferrelative="t" stroked="f">
            <v:imagedata r:id="rId26" o:title=""/>
          </v:rect>
          <o:OLEObject Type="Embed" ProgID="StaticMetafile" ShapeID="rectole0000000011" DrawAspect="Content" ObjectID="_1764105235" r:id="rId27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12 – Результаты дисперсионного анализа для задания 7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 дисперсинного анализа показал, что расчетное значение F – критерия больше табличного, следовательно, нулевая гипотеза ослучайном характере зависимости диаметра шариков от квалификации наладичка отклоняется.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Значение эмпирического корреляционного</w:t>
      </w:r>
      <w:r>
        <w:rPr>
          <w:rFonts w:ascii="Times New Roman" w:eastAsia="Times New Roman" w:hAnsi="Times New Roman" w:cs="Times New Roman"/>
          <w:sz w:val="28"/>
        </w:rPr>
        <w:t xml:space="preserve"> отношения равно 0,72, что означает, что между диаметром шариков и квалификацией наладчика существует тесная связь.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Значение коэффициента детерминации равно 0,52, что позволяет сделать вывод о том, что диаметр шариков зависит на 52% от квалификации наладчика и на 48% от других факторов.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7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изучить влияние уровня обучения персонала на объем продаж. Ис</w:t>
      </w:r>
      <w:r>
        <w:rPr>
          <w:rFonts w:ascii="Times New Roman" w:eastAsia="Times New Roman" w:hAnsi="Times New Roman" w:cs="Times New Roman"/>
          <w:sz w:val="28"/>
        </w:rPr>
        <w:t>ходные данные приведены на рисунке 13, результаты анализа – на рисунке 14.</w:t>
      </w:r>
    </w:p>
    <w:p w:rsidR="0040459E" w:rsidRDefault="004045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625" w:dyaOrig="5199">
          <v:rect id="rectole0000000012" o:spid="_x0000_i1037" style="width:331.5pt;height:260.25pt" o:ole="" o:preferrelative="t" stroked="f">
            <v:imagedata r:id="rId28" o:title=""/>
          </v:rect>
          <o:OLEObject Type="Embed" ProgID="StaticMetafile" ShapeID="rectole0000000012" DrawAspect="Content" ObjectID="_1764105236" r:id="rId29"/>
        </w:object>
      </w:r>
    </w:p>
    <w:p w:rsidR="0040459E" w:rsidRDefault="00510EA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13 – Исходные данные для задания 7</w:t>
      </w:r>
    </w:p>
    <w:p w:rsidR="0040459E" w:rsidRDefault="004045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4029">
          <v:rect id="rectole0000000013" o:spid="_x0000_i1038" style="width:449.25pt;height:201.75pt" o:ole="" o:preferrelative="t" stroked="f">
            <v:imagedata r:id="rId30" o:title=""/>
          </v:rect>
          <o:OLEObject Type="Embed" ProgID="StaticMetafile" ShapeID="rectole0000000013" DrawAspect="Content" ObjectID="_1764105237" r:id="rId31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14 – Результаты дисперсионного анализа для задания 7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Как видно из рисунк</w:t>
      </w:r>
      <w:r>
        <w:rPr>
          <w:rFonts w:ascii="Times New Roman" w:eastAsia="Times New Roman" w:hAnsi="Times New Roman" w:cs="Times New Roman"/>
          <w:sz w:val="28"/>
        </w:rPr>
        <w:t>а 14, расчетное значение F – критерия меньше табличного, следовательно, можно заключить, что уровень обучения персонала не влияет на объем продаж.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8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выяснить, влияет ли технология изготовления мячей на расстояние, которое они пролетают. Исходные данные для анализа показаны на рисунке 15, результаты самого анализа – на рисунке 16.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184" w:dyaOrig="3715">
          <v:rect id="rectole0000000014" o:spid="_x0000_i1039" style="width:259.5pt;height:186pt" o:ole="" o:preferrelative="t" stroked="f">
            <v:imagedata r:id="rId32" o:title=""/>
          </v:rect>
          <o:OLEObject Type="Embed" ProgID="StaticMetafile" ShapeID="rectole0000000014" DrawAspect="Content" ObjectID="_1764105238" r:id="rId33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15 – Исходные данные </w:t>
      </w:r>
      <w:r>
        <w:rPr>
          <w:rFonts w:ascii="Times New Roman" w:eastAsia="Times New Roman" w:hAnsi="Times New Roman" w:cs="Times New Roman"/>
          <w:sz w:val="28"/>
        </w:rPr>
        <w:t>для задания 8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554" w:dyaOrig="4781">
          <v:rect id="rectole0000000015" o:spid="_x0000_i1040" style="width:427.5pt;height:239.25pt" o:ole="" o:preferrelative="t" stroked="f">
            <v:imagedata r:id="rId34" o:title=""/>
          </v:rect>
          <o:OLEObject Type="Embed" ProgID="StaticMetafile" ShapeID="rectole0000000015" DrawAspect="Content" ObjectID="_1764105239" r:id="rId35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16 – Результат дисперсионного анализа для задания 9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Как видно из результатов анализа, расчетное значение F- критерия Фиешра меньше табличного, следовательно, нулевая гипотеза о случайном </w:t>
      </w:r>
      <w:r>
        <w:rPr>
          <w:rFonts w:ascii="Times New Roman" w:eastAsia="Times New Roman" w:hAnsi="Times New Roman" w:cs="Times New Roman"/>
          <w:sz w:val="28"/>
        </w:rPr>
        <w:lastRenderedPageBreak/>
        <w:t>характере отклонен</w:t>
      </w:r>
      <w:r>
        <w:rPr>
          <w:rFonts w:ascii="Times New Roman" w:eastAsia="Times New Roman" w:hAnsi="Times New Roman" w:cs="Times New Roman"/>
          <w:sz w:val="28"/>
        </w:rPr>
        <w:t>ий между расстоянием, которое пролетает мяч в зависимости от технологии его изготовления принимается.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9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проверить гипотезу о влиянии чистовой обработки детали на точность ее изготовления. Исходные данные привидены на рисунке 17, р</w:t>
      </w:r>
      <w:r>
        <w:rPr>
          <w:rFonts w:ascii="Times New Roman" w:eastAsia="Times New Roman" w:hAnsi="Times New Roman" w:cs="Times New Roman"/>
          <w:sz w:val="28"/>
        </w:rPr>
        <w:t>езультаты анализа – на рисунке 18.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616" w:dyaOrig="2116">
          <v:rect id="rectole0000000016" o:spid="_x0000_i1041" style="width:280.5pt;height:105.75pt" o:ole="" o:preferrelative="t" stroked="f">
            <v:imagedata r:id="rId36" o:title=""/>
          </v:rect>
          <o:OLEObject Type="Embed" ProgID="StaticMetafile" ShapeID="rectole0000000016" DrawAspect="Content" ObjectID="_1764105240" r:id="rId37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17 – Исходные данные для задания 9</w: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4173">
          <v:rect id="rectole0000000017" o:spid="_x0000_i1042" style="width:449.25pt;height:208.5pt" o:ole="" o:preferrelative="t" stroked="f">
            <v:imagedata r:id="rId38" o:title=""/>
          </v:rect>
          <o:OLEObject Type="Embed" ProgID="StaticMetafile" ShapeID="rectole0000000017" DrawAspect="Content" ObjectID="_1764105241" r:id="rId39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18 – Результаты анализа для задания 9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Результат однофакторного дисперсионного анализа показал, что расчетное знач</w:t>
      </w:r>
      <w:r>
        <w:rPr>
          <w:rFonts w:ascii="Times New Roman" w:eastAsia="Times New Roman" w:hAnsi="Times New Roman" w:cs="Times New Roman"/>
          <w:sz w:val="28"/>
        </w:rPr>
        <w:t xml:space="preserve">ение F – критерия Фишера меньше табличного, следовательно, нулевая гипотеза о случайном характере отклонений в точности </w:t>
      </w:r>
      <w:r>
        <w:rPr>
          <w:rFonts w:ascii="Times New Roman" w:eastAsia="Times New Roman" w:hAnsi="Times New Roman" w:cs="Times New Roman"/>
          <w:sz w:val="28"/>
        </w:rPr>
        <w:lastRenderedPageBreak/>
        <w:t>изготовления детали в зависимости от используемой технологии принимается.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10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этом задании требовалось выяснить, влияет ли выбор рабочей группы на объем собранного картофеля. Исходные данные для анализа приведены на рисунке 19, результаты анализа – на рисунке 20.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857" w:dyaOrig="2332">
          <v:rect id="rectole0000000018" o:spid="_x0000_i1043" style="width:442.5pt;height:116.25pt" o:ole="" o:preferrelative="t" stroked="f">
            <v:imagedata r:id="rId40" o:title=""/>
          </v:rect>
          <o:OLEObject Type="Embed" ProgID="StaticMetafile" ShapeID="rectole0000000018" DrawAspect="Content" ObjectID="_1764105242" r:id="rId41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19 – </w:t>
      </w:r>
      <w:r>
        <w:rPr>
          <w:rFonts w:ascii="Times New Roman" w:eastAsia="Times New Roman" w:hAnsi="Times New Roman" w:cs="Times New Roman"/>
          <w:sz w:val="28"/>
        </w:rPr>
        <w:t>Исходные данные для задания 10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3445">
          <v:rect id="rectole0000000019" o:spid="_x0000_i1044" style="width:449.25pt;height:172.5pt" o:ole="" o:preferrelative="t" stroked="f">
            <v:imagedata r:id="rId42" o:title=""/>
          </v:rect>
          <o:OLEObject Type="Embed" ProgID="StaticMetafile" ShapeID="rectole0000000019" DrawAspect="Content" ObjectID="_1764105243" r:id="rId43"/>
        </w:object>
      </w: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20 – Результат дисперсионного анализа для задания 10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Как видно из рисунка 20, расчетное значение F – критерия значительно больше табличного, что значит, что рабочая группа сильно влияет н</w:t>
      </w:r>
      <w:r>
        <w:rPr>
          <w:rFonts w:ascii="Times New Roman" w:eastAsia="Times New Roman" w:hAnsi="Times New Roman" w:cs="Times New Roman"/>
          <w:sz w:val="28"/>
        </w:rPr>
        <w:t>а объем собранного картофеля.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Значение эмпирического корреляционного отношения равно 0,92, что значит, что между рабочей группой и объемом собранного картофеля имеется тесная связь.</w:t>
      </w: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Значение коэффициента детерминации равно 0,85, что значит, что количество </w:t>
      </w:r>
      <w:r>
        <w:rPr>
          <w:rFonts w:ascii="Times New Roman" w:eastAsia="Times New Roman" w:hAnsi="Times New Roman" w:cs="Times New Roman"/>
          <w:sz w:val="28"/>
        </w:rPr>
        <w:t>убранных рядков картофеля зависит на 85% от рабочей группы и на 15% от других факторов.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11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установить, достоверны ли различия прироста бычков в четырех экспириментальных группах при уровне значимости a = 0,05. Исходные данные прив</w:t>
      </w:r>
      <w:r>
        <w:rPr>
          <w:rFonts w:ascii="Times New Roman" w:eastAsia="Times New Roman" w:hAnsi="Times New Roman" w:cs="Times New Roman"/>
          <w:sz w:val="28"/>
        </w:rPr>
        <w:t>едены на рисунке 21, результаты анализа для них – на рисунке 22.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834" w:dyaOrig="2088">
          <v:rect id="rectole0000000020" o:spid="_x0000_i1045" style="width:391.5pt;height:104.25pt" o:ole="" o:preferrelative="t" stroked="f">
            <v:imagedata r:id="rId44" o:title=""/>
          </v:rect>
          <o:OLEObject Type="Embed" ProgID="StaticMetafile" ShapeID="rectole0000000020" DrawAspect="Content" ObjectID="_1764105244" r:id="rId45"/>
        </w:object>
      </w:r>
    </w:p>
    <w:p w:rsidR="0040459E" w:rsidRDefault="00510EA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21 – Исходные данные для задания 11</w:t>
      </w:r>
    </w:p>
    <w:p w:rsidR="0040459E" w:rsidRDefault="004045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980" w:dyaOrig="4443">
          <v:rect id="rectole0000000021" o:spid="_x0000_i1046" style="width:449.25pt;height:222pt" o:ole="" o:preferrelative="t" stroked="f">
            <v:imagedata r:id="rId46" o:title=""/>
          </v:rect>
          <o:OLEObject Type="Embed" ProgID="StaticMetafile" ShapeID="rectole0000000021" DrawAspect="Content" ObjectID="_1764105245" r:id="rId47"/>
        </w:object>
      </w:r>
    </w:p>
    <w:p w:rsidR="0040459E" w:rsidRDefault="00510EA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22 – Результаты анализа для задания 11</w:t>
      </w:r>
    </w:p>
    <w:p w:rsidR="0040459E" w:rsidRDefault="004045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На основании значения расчетного F – </w:t>
      </w:r>
      <w:r>
        <w:rPr>
          <w:rFonts w:ascii="Times New Roman" w:eastAsia="Times New Roman" w:hAnsi="Times New Roman" w:cs="Times New Roman"/>
          <w:sz w:val="28"/>
        </w:rPr>
        <w:t>критерия, которое меньше табличного, можно сделать вывод о том, что различия прироста бычков в зависимости от группы нельзя считать достоверными.</w:t>
      </w:r>
    </w:p>
    <w:p w:rsidR="0040459E" w:rsidRDefault="0040459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Оставшиеся 11 заданий были выполнены с использованием системы компьютерной алгебры Mathcad.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Сначала, были за</w:t>
      </w:r>
      <w:r>
        <w:rPr>
          <w:rFonts w:ascii="Times New Roman" w:eastAsia="Times New Roman" w:hAnsi="Times New Roman" w:cs="Times New Roman"/>
          <w:sz w:val="28"/>
        </w:rPr>
        <w:t>даны необходимые формулы для проведения однофакторного дисперсионного анализа: среднее арифметическое для элементов матрицы Mean_total, межгрупповую дисперсию SSB, внутригрупповую дисперсию SSW, средний квадрат отклонений для межгрупповой дисперсии MSB, ср</w:t>
      </w:r>
      <w:r>
        <w:rPr>
          <w:rFonts w:ascii="Times New Roman" w:eastAsia="Times New Roman" w:hAnsi="Times New Roman" w:cs="Times New Roman"/>
          <w:sz w:val="28"/>
        </w:rPr>
        <w:t xml:space="preserve">едний квадрат отклонений для внутригрупповой дисперсии MSW, F - критерия Фишера, количество степеней свободы для межгрупповой дисперсии df1, количество степеней свободы для внутригрупповой дисперсии df2, эмпирическое корреляционное отношение и коэффициент </w:t>
      </w:r>
      <w:r>
        <w:rPr>
          <w:rFonts w:ascii="Times New Roman" w:eastAsia="Times New Roman" w:hAnsi="Times New Roman" w:cs="Times New Roman"/>
          <w:sz w:val="28"/>
        </w:rPr>
        <w:t>детерминации. Определение формул показано на рисунке 23.</w:t>
      </w:r>
    </w:p>
    <w:p w:rsidR="0040459E" w:rsidRDefault="00404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9720">
          <v:rect id="rectole0000000022" o:spid="_x0000_i1047" style="width:415.5pt;height:486pt" o:ole="" o:preferrelative="t" stroked="f">
            <v:imagedata r:id="rId48" o:title=""/>
          </v:rect>
          <o:OLEObject Type="Embed" ProgID="StaticDib" ShapeID="rectole0000000022" DrawAspect="Content" ObjectID="_1764105246" r:id="rId49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23 - Формулы для проведения однофакторного дисперсионного анализа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Формулы рассчитаны на то, что группы данных располагаются по столбцам, поэтому для матриц, в которых</w:t>
      </w:r>
      <w:r>
        <w:rPr>
          <w:rFonts w:ascii="Times New Roman" w:eastAsia="Times New Roman" w:hAnsi="Times New Roman" w:cs="Times New Roman"/>
          <w:sz w:val="28"/>
        </w:rPr>
        <w:t xml:space="preserve"> группы расположены по строкам, предварительно выполняется транспонирование.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12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Необходимо установить, являются ли значимыми отклонения в урожайности пшеницы в зависимости от сорта. Исходные данные и результаты анализа приведены на рисунке 24.</w:t>
      </w: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4605">
          <v:rect id="rectole0000000023" o:spid="_x0000_i1048" style="width:415.5pt;height:230.25pt" o:ole="" o:preferrelative="t" stroked="f">
            <v:imagedata r:id="rId50" o:title=""/>
          </v:rect>
          <o:OLEObject Type="Embed" ProgID="StaticDib" ShapeID="rectole0000000023" DrawAspect="Content" ObjectID="_1764105247" r:id="rId51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24 - Исходные данные для задания 12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Расчетное значение F - критерия Фишера равно 6,335, что больше, чем табличное, равное 2,77, следовательно, различия в урожайности пшеницы в зависимости от сорта можно считать достоверными.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Эмпирическое корреляционное отношение при этом равно 0,8, что означает, что между сортом пшеницы и урожайностью существует тесная связь.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0,64, что значит, что урожайность пшеницы зависит на 64% от сорта и на 36% от других фак</w:t>
      </w:r>
      <w:r>
        <w:rPr>
          <w:rFonts w:ascii="Times New Roman" w:eastAsia="Times New Roman" w:hAnsi="Times New Roman" w:cs="Times New Roman"/>
          <w:sz w:val="28"/>
        </w:rPr>
        <w:t>торов.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13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установить достоверность и степень влияния используемых минеральных удобрений на урожайность пшеницы. Исходные данные и результаты анализа приведены на рисунке 25.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5054">
          <v:rect id="rectole0000000024" o:spid="_x0000_i1049" style="width:415.5pt;height:252.75pt" o:ole="" o:preferrelative="t" stroked="f">
            <v:imagedata r:id="rId52" o:title=""/>
          </v:rect>
          <o:OLEObject Type="Embed" ProgID="StaticDib" ShapeID="rectole0000000024" DrawAspect="Content" ObjectID="_1764105248" r:id="rId53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25 - Исходные данные и результаты анализа для задания 13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Расчетное значение F - критерия Фишера равно 91,9, что значительно больше, чем табличное, равное 3,06, следовательно, различия в урожайности пшеницы в зависимости от используемого типа удобр</w:t>
      </w:r>
      <w:r>
        <w:rPr>
          <w:rFonts w:ascii="Times New Roman" w:eastAsia="Times New Roman" w:hAnsi="Times New Roman" w:cs="Times New Roman"/>
          <w:sz w:val="28"/>
        </w:rPr>
        <w:t>ений можно считать достоверными.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Эмпирическое корреляционное отношение при этом равно 0,8, что означает, что между удобрением и урожайностью существует тесная связь.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0,96, что значит, что урожайность пшеницы зависит на 96% от</w:t>
      </w:r>
      <w:r>
        <w:rPr>
          <w:rFonts w:ascii="Times New Roman" w:eastAsia="Times New Roman" w:hAnsi="Times New Roman" w:cs="Times New Roman"/>
          <w:sz w:val="28"/>
        </w:rPr>
        <w:t xml:space="preserve"> используемого удобрения и на 4% от других факторов.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14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выяснить достоверность влияния типа магазина на товарооборот. Исходные данные и результаты анализа приведены на рисунке 26.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189" w:dyaOrig="4545">
          <v:rect id="rectole0000000025" o:spid="_x0000_i1050" style="width:409.5pt;height:227.25pt" o:ole="" o:preferrelative="t" stroked="f">
            <v:imagedata r:id="rId54" o:title=""/>
          </v:rect>
          <o:OLEObject Type="Embed" ProgID="StaticDib" ShapeID="rectole0000000025" DrawAspect="Content" ObjectID="_1764105249" r:id="rId55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26 - Исходные данные и результаты анализа для задания 14</w:t>
      </w:r>
    </w:p>
    <w:p w:rsidR="0040459E" w:rsidRDefault="0040459E">
      <w:pPr>
        <w:spacing w:after="0" w:line="360" w:lineRule="auto"/>
        <w:ind w:firstLine="710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Как видно из результатов анализа, расчетное значение F - критерия равно 3,393, что меньше табличного, равного 3,47, следовательно, влияние типа магазина на товарооборот нельзя считать достов</w:t>
      </w:r>
      <w:r>
        <w:rPr>
          <w:rFonts w:ascii="Times New Roman" w:eastAsia="Times New Roman" w:hAnsi="Times New Roman" w:cs="Times New Roman"/>
          <w:sz w:val="28"/>
        </w:rPr>
        <w:t>ерным.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15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Необходимо было выяснить достоверность влияния типа магазина на товарооборот при уровне значимости a = 0,05. Исходные данные и результаты анализа приведены на рисунке 27.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950" w:dyaOrig="4844">
          <v:rect id="rectole0000000026" o:spid="_x0000_i1051" style="width:397.5pt;height:242.25pt" o:ole="" o:preferrelative="t" stroked="f">
            <v:imagedata r:id="rId56" o:title=""/>
          </v:rect>
          <o:OLEObject Type="Embed" ProgID="StaticDib" ShapeID="rectole0000000026" DrawAspect="Content" ObjectID="_1764105250" r:id="rId57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27 - Исходные данные и результат</w:t>
      </w:r>
      <w:r>
        <w:rPr>
          <w:rFonts w:ascii="Times New Roman" w:eastAsia="Times New Roman" w:hAnsi="Times New Roman" w:cs="Times New Roman"/>
          <w:sz w:val="28"/>
        </w:rPr>
        <w:t>ы анализа для задания 15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Расчтеное значение F - критерия равно 1,039, что меньше табличного, равного 3,47, </w:t>
      </w:r>
      <w:proofErr w:type="gramStart"/>
      <w:r>
        <w:rPr>
          <w:rFonts w:ascii="Times New Roman" w:eastAsia="Times New Roman" w:hAnsi="Times New Roman" w:cs="Times New Roman"/>
          <w:sz w:val="28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влияние типа магазина на товарооборот нельзя считать достоверным.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16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установить уровень влияния технологии н</w:t>
      </w:r>
      <w:r>
        <w:rPr>
          <w:rFonts w:ascii="Times New Roman" w:eastAsia="Times New Roman" w:hAnsi="Times New Roman" w:cs="Times New Roman"/>
          <w:sz w:val="28"/>
        </w:rPr>
        <w:t>а урожайность пшеницы. Исходные данные и результаты анализа приведены на рисунке 28.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4245">
          <v:rect id="rectole0000000027" o:spid="_x0000_i1052" style="width:415.5pt;height:212.25pt" o:ole="" o:preferrelative="t" stroked="f">
            <v:imagedata r:id="rId58" o:title=""/>
          </v:rect>
          <o:OLEObject Type="Embed" ProgID="StaticDib" ShapeID="rectole0000000027" DrawAspect="Content" ObjectID="_1764105251" r:id="rId59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28 - Исходные данные и результаты анализа для задания 16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Расчетное значение F - </w:t>
      </w:r>
      <w:proofErr w:type="gramStart"/>
      <w:r>
        <w:rPr>
          <w:rFonts w:ascii="Times New Roman" w:eastAsia="Times New Roman" w:hAnsi="Times New Roman" w:cs="Times New Roman"/>
          <w:sz w:val="28"/>
        </w:rPr>
        <w:t>критерия ,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равное 5,111, больше табличного, равного 3,07, следовательно нулевая гипотеза о случайном характере влияния используемой технологии на уровень урожайности отклоняется.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Эмпирическое корреляционное отношение равно 0,66, следовательно, между технол</w:t>
      </w:r>
      <w:r>
        <w:rPr>
          <w:rFonts w:ascii="Times New Roman" w:eastAsia="Times New Roman" w:hAnsi="Times New Roman" w:cs="Times New Roman"/>
          <w:sz w:val="28"/>
        </w:rPr>
        <w:t>огией и урожайностью существует умеренно тесная связь.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0,43, следовательно, уровень урожайности зависит на 43% от используемой технологии и на 57% от других факторов.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17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установить степень влияния ма</w:t>
      </w:r>
      <w:r>
        <w:rPr>
          <w:rFonts w:ascii="Times New Roman" w:eastAsia="Times New Roman" w:hAnsi="Times New Roman" w:cs="Times New Roman"/>
          <w:sz w:val="28"/>
        </w:rPr>
        <w:t>териала, из которого изготовлена деталь на ее износостойкость. Исходные данные и результаты анализа приведены на рисунке 29.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310" w:dyaOrig="5040">
          <v:rect id="rectole0000000028" o:spid="_x0000_i1053" style="width:415.5pt;height:252pt" o:ole="" o:preferrelative="t" stroked="f">
            <v:imagedata r:id="rId60" o:title=""/>
          </v:rect>
          <o:OLEObject Type="Embed" ProgID="StaticDib" ShapeID="rectole0000000028" DrawAspect="Content" ObjectID="_1764105252" r:id="rId61"/>
        </w:objec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29 - Исходные данные и результаты анализа для задания 17</w:t>
      </w:r>
    </w:p>
    <w:p w:rsidR="0040459E" w:rsidRDefault="004045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Расчетное значения F - </w:t>
      </w:r>
      <w:r>
        <w:rPr>
          <w:rFonts w:ascii="Times New Roman" w:eastAsia="Times New Roman" w:hAnsi="Times New Roman" w:cs="Times New Roman"/>
          <w:sz w:val="28"/>
        </w:rPr>
        <w:t xml:space="preserve">критерия больше табличного, равного 3,88, </w:t>
      </w:r>
      <w:proofErr w:type="gramStart"/>
      <w:r>
        <w:rPr>
          <w:rFonts w:ascii="Times New Roman" w:eastAsia="Times New Roman" w:hAnsi="Times New Roman" w:cs="Times New Roman"/>
          <w:sz w:val="28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нулевая гипотеза о случайном характере влияния материала, из которого изготовлена деталь на ее износостойкость, отклоняется.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Эмпирическое корреляционное отношение равно 0,85, </w:t>
      </w:r>
      <w:proofErr w:type="gramStart"/>
      <w:r>
        <w:rPr>
          <w:rFonts w:ascii="Times New Roman" w:eastAsia="Times New Roman" w:hAnsi="Times New Roman" w:cs="Times New Roman"/>
          <w:sz w:val="28"/>
        </w:rPr>
        <w:t>следовательно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между матер</w:t>
      </w:r>
      <w:r>
        <w:rPr>
          <w:rFonts w:ascii="Times New Roman" w:eastAsia="Times New Roman" w:hAnsi="Times New Roman" w:cs="Times New Roman"/>
          <w:sz w:val="28"/>
        </w:rPr>
        <w:t>иалом и износостойкостью существует тесная связь.</w:t>
      </w:r>
    </w:p>
    <w:p w:rsidR="0040459E" w:rsidRDefault="00510EA4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равено 0,73, а значит, износостойкость детали зависит на 73% от материала и на 27% от других факторов.</w:t>
      </w:r>
    </w:p>
    <w:p w:rsidR="0040459E" w:rsidRDefault="0040459E">
      <w:pPr>
        <w:spacing w:after="0" w:line="360" w:lineRule="auto"/>
        <w:ind w:firstLine="710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510E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18</w:t>
      </w:r>
    </w:p>
    <w:p w:rsidR="002A3F37" w:rsidRDefault="002A3F3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0459E" w:rsidRDefault="002A3F37" w:rsidP="002A3F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узнать, влияет ли расположение рекламных щитов на объем продаж. Исходные данные и результаты анализа приведены на рисунке 30.</w:t>
      </w:r>
    </w:p>
    <w:p w:rsidR="002A3F37" w:rsidRDefault="002A3F37" w:rsidP="002A3F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2A3F37" w:rsidRDefault="002A3F37" w:rsidP="002A3F3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A3F37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093420CC" wp14:editId="6B433612">
            <wp:extent cx="5000625" cy="26678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18763" cy="26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37" w:rsidRDefault="002A3F37" w:rsidP="002A3F3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30 – Исходные данные для задания 18</w:t>
      </w:r>
    </w:p>
    <w:p w:rsidR="002A3F37" w:rsidRDefault="002A3F37" w:rsidP="002A3F3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A3F37" w:rsidRDefault="002A3F37" w:rsidP="002A3F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Расчетное значение </w:t>
      </w:r>
      <w:r>
        <w:rPr>
          <w:rFonts w:ascii="Times New Roman" w:eastAsia="Times New Roman" w:hAnsi="Times New Roman" w:cs="Times New Roman"/>
          <w:sz w:val="28"/>
          <w:lang w:val="en-US"/>
        </w:rPr>
        <w:t>F</w:t>
      </w:r>
      <w:r w:rsidRPr="002A3F37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критерия больше табличного, равного 3,68, следовательно, нулевая гипотеза о случайном характере отклонений в объеме продаж в зависимости от расположения рекламных щитов отклоняется.</w:t>
      </w:r>
    </w:p>
    <w:p w:rsidR="002A3F37" w:rsidRDefault="002A3F37" w:rsidP="002A3F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Значение эмпирического корреляционного отношения равно 0,79, что означает, что между расположением рекламных щитов и объемом продаж существует тесная связь.</w:t>
      </w:r>
    </w:p>
    <w:p w:rsidR="002A3F37" w:rsidRDefault="007E63A6" w:rsidP="002A3F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0,625, следовательно, объем продаж зависит на 62% от расположения рекламных щитов и на 38% от других факторов.</w:t>
      </w:r>
    </w:p>
    <w:p w:rsidR="00502030" w:rsidRDefault="00502030" w:rsidP="002A3F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502030" w:rsidRDefault="00502030" w:rsidP="00502030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502030" w:rsidRDefault="00502030" w:rsidP="00502030">
      <w:pPr>
        <w:tabs>
          <w:tab w:val="left" w:pos="709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19</w:t>
      </w:r>
    </w:p>
    <w:p w:rsidR="0040459E" w:rsidRDefault="0040459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A68D9" w:rsidRDefault="004A68D9" w:rsidP="004A68D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выяснить значимость выбора поставщика на издержки на лицензию на ПО. Исходные данные и результаты анализа приведены на рисунке 31.</w:t>
      </w:r>
    </w:p>
    <w:p w:rsidR="0040459E" w:rsidRDefault="0040459E" w:rsidP="004A68D9">
      <w:pPr>
        <w:spacing w:after="0" w:line="360" w:lineRule="auto"/>
        <w:ind w:firstLine="710"/>
        <w:jc w:val="center"/>
        <w:rPr>
          <w:rFonts w:ascii="Times New Roman" w:eastAsia="Times New Roman" w:hAnsi="Times New Roman" w:cs="Times New Roman"/>
          <w:sz w:val="28"/>
        </w:rPr>
      </w:pPr>
    </w:p>
    <w:p w:rsidR="004A68D9" w:rsidRDefault="004A68D9" w:rsidP="004A68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4A68D9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791B1B52" wp14:editId="2EE2FA37">
            <wp:extent cx="4200525" cy="27772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5050" cy="278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D9" w:rsidRDefault="004A68D9" w:rsidP="004A68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31 – Исходные данные и результаты анализа для задания 19</w:t>
      </w:r>
    </w:p>
    <w:p w:rsidR="004A68D9" w:rsidRDefault="004A68D9" w:rsidP="004A68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A68D9" w:rsidRDefault="00A5799A" w:rsidP="00A5799A">
      <w:pPr>
        <w:spacing w:after="0" w:line="360" w:lineRule="auto"/>
        <w:ind w:firstLine="993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Как видно из рисунка, расчетное значение </w:t>
      </w:r>
      <w:r>
        <w:rPr>
          <w:rFonts w:ascii="Times New Roman" w:eastAsia="Times New Roman" w:hAnsi="Times New Roman" w:cs="Times New Roman"/>
          <w:sz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</w:rPr>
        <w:t xml:space="preserve"> – критерия больше табличного, равного 2,77, следовательно, нулевая гипотеза о случайном характере отклонений издержек на ПО в зависимости от выбора поставщика отклоняется.</w:t>
      </w:r>
    </w:p>
    <w:p w:rsidR="00A5799A" w:rsidRDefault="00A5799A" w:rsidP="00A579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Эмпирическое корреляционное отношение равно 0,813, то есть связь между поставщиком и издержками на ПО можно назвать тесной.</w:t>
      </w:r>
    </w:p>
    <w:p w:rsidR="00A5799A" w:rsidRDefault="00A5799A" w:rsidP="00A579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0,66, то есть издержки на лицензию на ПО зависят на 66% от выбора поставщика и на 34% от других факторов.</w:t>
      </w:r>
    </w:p>
    <w:p w:rsidR="00A5799A" w:rsidRDefault="00A5799A" w:rsidP="00A579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5799A" w:rsidRDefault="00A5799A" w:rsidP="00A579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20</w:t>
      </w:r>
    </w:p>
    <w:p w:rsidR="00A5799A" w:rsidRDefault="00A5799A" w:rsidP="00A579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A5799A" w:rsidRDefault="00A5799A" w:rsidP="00A579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определить, являются ли расхождения в оценках предела прочности в разных лаборатриях значимыми. Исходные данные и результаты анализа приведены на рисунке 32.</w:t>
      </w:r>
    </w:p>
    <w:p w:rsidR="00A5799A" w:rsidRDefault="00A5799A" w:rsidP="00A579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:rsidR="00FD63C8" w:rsidRPr="00FD63C8" w:rsidRDefault="00FD63C8" w:rsidP="00FD63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FD63C8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B1B199D" wp14:editId="3C0F1B91">
            <wp:extent cx="3981450" cy="33367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90957" cy="334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99A" w:rsidRDefault="00A5799A" w:rsidP="00A579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5799A" w:rsidRDefault="00A5799A" w:rsidP="00A579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32 – Исходные данные и результаты анализа для задания 20</w:t>
      </w:r>
    </w:p>
    <w:p w:rsidR="00FD63C8" w:rsidRDefault="00FD63C8" w:rsidP="00A5799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FD63C8" w:rsidRDefault="00FD63C8" w:rsidP="00FD63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Как видно из рисунка, расчетное значение </w:t>
      </w:r>
      <w:r>
        <w:rPr>
          <w:rFonts w:ascii="Times New Roman" w:eastAsia="Times New Roman" w:hAnsi="Times New Roman" w:cs="Times New Roman"/>
          <w:sz w:val="28"/>
          <w:lang w:val="en-US"/>
        </w:rPr>
        <w:t>F</w:t>
      </w:r>
      <w:r w:rsidRPr="00FD63C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FD63C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критерия равно 26,014, что гораздо больше табличного, равного 2,58, следовательно, </w:t>
      </w:r>
      <w:r w:rsidR="00A10BA4">
        <w:rPr>
          <w:rFonts w:ascii="Times New Roman" w:eastAsia="Times New Roman" w:hAnsi="Times New Roman" w:cs="Times New Roman"/>
          <w:sz w:val="28"/>
        </w:rPr>
        <w:t>расхождения в оценках предела в разных лабораториях не случайны.</w:t>
      </w:r>
    </w:p>
    <w:p w:rsidR="00A10BA4" w:rsidRDefault="00A10BA4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Эмпирическое коррелияцонное отношение равно 0,836, что значит, что между оценкой предела прочности и лабораторией существует тесная связь.</w:t>
      </w:r>
    </w:p>
    <w:p w:rsidR="00A10BA4" w:rsidRDefault="00A10BA4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0,698, то есть оценка предела прочности зависит на 69% от лаборатории и на 31% от других факторов.</w:t>
      </w:r>
    </w:p>
    <w:p w:rsidR="00A10BA4" w:rsidRDefault="00A10BA4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10BA4" w:rsidRDefault="00A10BA4" w:rsidP="00A10B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21</w:t>
      </w:r>
    </w:p>
    <w:p w:rsidR="00A10BA4" w:rsidRDefault="00A10BA4" w:rsidP="00A10BA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A10BA4" w:rsidRDefault="00A10BA4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Необходимо было проверить нулевую гипотезу о годовой ставке на кредиты новых автомобилей в девяти самых крупных банках городов США. Исходные данные и результаты анализа приведены на рисунке 33.</w:t>
      </w:r>
    </w:p>
    <w:p w:rsidR="00A10BA4" w:rsidRDefault="00A10BA4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A10BA4" w:rsidRDefault="00A10BA4" w:rsidP="00A10B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A10BA4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24CF34F2" wp14:editId="24451900">
            <wp:extent cx="4019550" cy="3156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32619" cy="31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A4" w:rsidRDefault="00A10BA4" w:rsidP="00A10B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33 – Исходные данные и результаты анализа задания 21</w:t>
      </w:r>
    </w:p>
    <w:p w:rsidR="00A10BA4" w:rsidRDefault="00A10BA4" w:rsidP="00A10B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B53AA0" w:rsidRDefault="00B53AA0" w:rsidP="00A10BA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A10BA4" w:rsidRPr="00B53AA0" w:rsidRDefault="00A10BA4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Расчетное значение </w:t>
      </w:r>
      <w:r>
        <w:rPr>
          <w:rFonts w:ascii="Times New Roman" w:eastAsia="Times New Roman" w:hAnsi="Times New Roman" w:cs="Times New Roman"/>
          <w:sz w:val="28"/>
          <w:lang w:val="en-US"/>
        </w:rPr>
        <w:t>F</w:t>
      </w:r>
      <w:r w:rsidRPr="00A10BA4">
        <w:rPr>
          <w:rFonts w:ascii="Times New Roman" w:eastAsia="Times New Roman" w:hAnsi="Times New Roman" w:cs="Times New Roman"/>
          <w:sz w:val="28"/>
        </w:rPr>
        <w:t xml:space="preserve"> – критерия </w:t>
      </w:r>
      <w:r>
        <w:rPr>
          <w:rFonts w:ascii="Times New Roman" w:eastAsia="Times New Roman" w:hAnsi="Times New Roman" w:cs="Times New Roman"/>
          <w:sz w:val="28"/>
        </w:rPr>
        <w:t>равно 4,829, что больше табличного, равного 2,42, следовательно, нулевая гипотеза о случайном характере отклонений годовой ставки в зависимости от города отклоняется.</w:t>
      </w:r>
    </w:p>
    <w:p w:rsidR="00DC763C" w:rsidRDefault="00DC763C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Эмпирическое корреляционное отношение равно </w:t>
      </w:r>
      <w:r w:rsidRPr="00DC763C">
        <w:rPr>
          <w:rFonts w:ascii="Times New Roman" w:eastAsia="Times New Roman" w:hAnsi="Times New Roman" w:cs="Times New Roman"/>
          <w:sz w:val="28"/>
        </w:rPr>
        <w:t>0,579</w:t>
      </w:r>
      <w:r>
        <w:rPr>
          <w:rFonts w:ascii="Times New Roman" w:eastAsia="Times New Roman" w:hAnsi="Times New Roman" w:cs="Times New Roman"/>
          <w:sz w:val="28"/>
        </w:rPr>
        <w:t>, а значит, между годовой ставкой и городом существует умеренно тесная связь.</w:t>
      </w:r>
    </w:p>
    <w:p w:rsidR="00DC763C" w:rsidRDefault="00DC763C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0,335, что значит, что годовая ставка зависит на 33% от города и на 67% от других факторов.</w:t>
      </w:r>
    </w:p>
    <w:p w:rsidR="00DC763C" w:rsidRDefault="00DC763C" w:rsidP="00A10B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DC763C" w:rsidRDefault="00DC763C" w:rsidP="00DC763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Задание 22</w:t>
      </w:r>
    </w:p>
    <w:p w:rsidR="00DC763C" w:rsidRDefault="00DC763C" w:rsidP="00DC763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DC763C" w:rsidRDefault="00B53AA0" w:rsidP="00B53AA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Требовалось выяснить, зависит ли объем выполненных работ от бригады. Исходные данные и результаты анализа показаны на рисунке 34.</w:t>
      </w:r>
    </w:p>
    <w:p w:rsidR="00B53AA0" w:rsidRDefault="00B53AA0" w:rsidP="00B53AA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B53AA0" w:rsidRDefault="00B53AA0" w:rsidP="00B53AA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53AA0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1323BFC2" wp14:editId="1A9E5412">
            <wp:extent cx="4067175" cy="2440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8777" cy="24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A0" w:rsidRDefault="00B53AA0" w:rsidP="00B53AA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34</w:t>
      </w:r>
      <w:r>
        <w:rPr>
          <w:rFonts w:ascii="Times New Roman" w:eastAsia="Times New Roman" w:hAnsi="Times New Roman" w:cs="Times New Roman"/>
          <w:sz w:val="28"/>
        </w:rPr>
        <w:t xml:space="preserve"> – Исходные данные</w:t>
      </w:r>
      <w:r>
        <w:rPr>
          <w:rFonts w:ascii="Times New Roman" w:eastAsia="Times New Roman" w:hAnsi="Times New Roman" w:cs="Times New Roman"/>
          <w:sz w:val="28"/>
        </w:rPr>
        <w:t xml:space="preserve"> и результаты анализа задания 22</w:t>
      </w:r>
    </w:p>
    <w:p w:rsidR="00B53AA0" w:rsidRDefault="00B53AA0" w:rsidP="00B53AA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B53AA0" w:rsidRDefault="00B53AA0" w:rsidP="00B53A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Расчетное значение </w:t>
      </w:r>
      <w:r>
        <w:rPr>
          <w:rFonts w:ascii="Times New Roman" w:eastAsia="Times New Roman" w:hAnsi="Times New Roman" w:cs="Times New Roman"/>
          <w:sz w:val="28"/>
          <w:lang w:val="en-US"/>
        </w:rPr>
        <w:t>F</w:t>
      </w:r>
      <w:r w:rsidRPr="00B53AA0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>критерия равно 22,439, что значительно больше, чем табличное, равное 3,49, следовательно, нулевая гипотеза о случайном характере отклонения объема выполненных работ для разных бригад отклоняется.</w:t>
      </w:r>
    </w:p>
    <w:p w:rsidR="00B53AA0" w:rsidRDefault="00B53AA0" w:rsidP="00B53A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Эмпирическое корреляционное отношение равно</w:t>
      </w:r>
      <w:r w:rsidR="000B320E">
        <w:rPr>
          <w:rFonts w:ascii="Times New Roman" w:eastAsia="Times New Roman" w:hAnsi="Times New Roman" w:cs="Times New Roman"/>
          <w:sz w:val="28"/>
        </w:rPr>
        <w:t xml:space="preserve"> 0,921, что значит, что между объемом работ и работающей бригадой существует тесная связь.</w:t>
      </w:r>
    </w:p>
    <w:p w:rsidR="000B320E" w:rsidRDefault="000B320E" w:rsidP="00B53A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Коэффициент детерминации равен 0,849, то есть объем работ зависит на 85% от бригады и на 15% от других факторов.</w:t>
      </w:r>
    </w:p>
    <w:p w:rsidR="00FF79A1" w:rsidRDefault="00FF79A1" w:rsidP="00B53A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FF79A1" w:rsidRDefault="00FF79A1" w:rsidP="00B53A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FF79A1" w:rsidRPr="00510EA4" w:rsidRDefault="00FF79A1" w:rsidP="00510E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Вывод</w:t>
      </w:r>
      <w:r w:rsidR="00510EA4">
        <w:rPr>
          <w:rFonts w:ascii="Times New Roman" w:eastAsia="Times New Roman" w:hAnsi="Times New Roman" w:cs="Times New Roman"/>
          <w:b/>
          <w:sz w:val="28"/>
        </w:rPr>
        <w:t xml:space="preserve">: </w:t>
      </w:r>
      <w:r w:rsidR="00510EA4">
        <w:rPr>
          <w:rFonts w:ascii="Times New Roman" w:eastAsia="Times New Roman" w:hAnsi="Times New Roman" w:cs="Times New Roman"/>
          <w:sz w:val="28"/>
        </w:rPr>
        <w:t>выполнив задания лабораторной работы я научился использовать однофакторный дисперсионный анализ для установления факта связи между выборками, а также характеристики этой связи.</w:t>
      </w:r>
      <w:bookmarkStart w:id="0" w:name="_GoBack"/>
      <w:bookmarkEnd w:id="0"/>
    </w:p>
    <w:p w:rsidR="00B53AA0" w:rsidRPr="00B53AA0" w:rsidRDefault="00B53AA0" w:rsidP="00B53AA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4A68D9" w:rsidRDefault="004A68D9" w:rsidP="004A68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DC763C" w:rsidRDefault="00DC763C" w:rsidP="004A68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DC763C" w:rsidRDefault="00DC763C" w:rsidP="004A68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sectPr w:rsidR="00DC76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40459E"/>
    <w:rsid w:val="000B320E"/>
    <w:rsid w:val="002A3F37"/>
    <w:rsid w:val="0040459E"/>
    <w:rsid w:val="004A68D9"/>
    <w:rsid w:val="00502030"/>
    <w:rsid w:val="00510EA4"/>
    <w:rsid w:val="007E63A6"/>
    <w:rsid w:val="00A10BA4"/>
    <w:rsid w:val="00A5799A"/>
    <w:rsid w:val="00B53AA0"/>
    <w:rsid w:val="00DC763C"/>
    <w:rsid w:val="00FD63C8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20CEB"/>
  <w15:docId w15:val="{00FCC74B-3007-492B-A4E3-CD121DD54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63" Type="http://schemas.openxmlformats.org/officeDocument/2006/relationships/image" Target="media/image31.png"/><Relationship Id="rId68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8.png"/><Relationship Id="rId66" Type="http://schemas.openxmlformats.org/officeDocument/2006/relationships/image" Target="media/image34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61" Type="http://schemas.openxmlformats.org/officeDocument/2006/relationships/oleObject" Target="embeddings/oleObject29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64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28.bin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6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26</Pages>
  <Words>2644</Words>
  <Characters>15075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STOROZHENKO</cp:lastModifiedBy>
  <cp:revision>6</cp:revision>
  <dcterms:created xsi:type="dcterms:W3CDTF">2023-12-14T19:00:00Z</dcterms:created>
  <dcterms:modified xsi:type="dcterms:W3CDTF">2023-12-14T21:24:00Z</dcterms:modified>
</cp:coreProperties>
</file>