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3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59.png" ContentType="image/png"/>
  <Override PartName="/word/media/rId67.png" ContentType="image/png"/>
  <Override PartName="/word/media/rId8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Учёт</w:t>
      </w:r>
      <w:r>
        <w:t xml:space="preserve"> </w:t>
      </w:r>
      <w:r>
        <w:t xml:space="preserve">физических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Start w:id="8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Xd21a51b510cace76103e797a9e772ca4ee9c69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в физической области Packet Tracer</w:t>
      </w:r>
    </w:p>
    <w:p>
      <w:pPr>
        <w:numPr>
          <w:ilvl w:val="0"/>
          <w:numId w:val="1001"/>
        </w:numPr>
      </w:pPr>
      <w:r>
        <w:t xml:space="preserve">Открыт проект предыдущей лабораторной работы в Cisco Packet Tracer.</w:t>
      </w:r>
      <w:r>
        <w:br/>
      </w:r>
      <w:r>
        <w:t xml:space="preserve">Выполнен переход в физическую рабочую область (Physical Workspace).</w:t>
      </w:r>
    </w:p>
    <w:p>
      <w:pPr>
        <w:numPr>
          <w:ilvl w:val="0"/>
          <w:numId w:val="1001"/>
        </w:numPr>
      </w:pPr>
      <w:r>
        <w:t xml:space="preserve">В физической области задано название города —</w:t>
      </w:r>
      <w:r>
        <w:t xml:space="preserve"> </w:t>
      </w:r>
      <w:r>
        <w:rPr>
          <w:bCs/>
          <w:b/>
        </w:rPr>
        <w:t xml:space="preserve">Moscow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7"/>
      <w:r>
        <w:drawing>
          <wp:inline>
            <wp:extent cx="5334000" cy="2907969"/>
            <wp:effectExtent b="0" l="0" r="0" t="0"/>
            <wp:docPr descr="Рис. 1: Физическая область с городом Moscow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Физическая область с городом Moscow</w:t>
      </w:r>
    </w:p>
    <w:p>
      <w:pPr>
        <w:numPr>
          <w:ilvl w:val="0"/>
          <w:numId w:val="1001"/>
        </w:numPr>
      </w:pPr>
      <w:r>
        <w:t xml:space="preserve">После выбора города открыто представление зданий.</w:t>
      </w:r>
      <w:r>
        <w:br/>
      </w:r>
      <w:r>
        <w:t xml:space="preserve">Основному зданию присвоено имя</w:t>
      </w:r>
      <w:r>
        <w:t xml:space="preserve"> </w:t>
      </w:r>
      <w:r>
        <w:rPr>
          <w:bCs/>
          <w:b/>
        </w:rPr>
        <w:t xml:space="preserve">Donskaya</w:t>
      </w:r>
      <w:r>
        <w:t xml:space="preserve">, также добавлено здание</w:t>
      </w:r>
      <w:r>
        <w:t xml:space="preserve"> </w:t>
      </w:r>
      <w:r>
        <w:rPr>
          <w:bCs/>
          <w:b/>
        </w:rPr>
        <w:t xml:space="preserve">Pavlovskaya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8"/>
      <w:r>
        <w:drawing>
          <wp:inline>
            <wp:extent cx="4485372" cy="3137835"/>
            <wp:effectExtent b="0" l="0" r="0" t="0"/>
            <wp:docPr descr="Рис. 2: Здания в физической области Packet Tracer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Здания в физической области Packet Tracer</w:t>
      </w:r>
    </w:p>
    <w:p>
      <w:pPr>
        <w:numPr>
          <w:ilvl w:val="0"/>
          <w:numId w:val="1001"/>
        </w:numPr>
      </w:pPr>
      <w:r>
        <w:t xml:space="preserve">При переходе внутрь здания Donskaya выполнено размещение серверного помещения (Wiring Closet).</w:t>
      </w:r>
    </w:p>
    <w:p>
      <w:pPr>
        <w:numPr>
          <w:ilvl w:val="0"/>
          <w:numId w:val="1000"/>
        </w:numPr>
        <w:pStyle w:val="CaptionedFigure"/>
      </w:pPr>
      <w:bookmarkStart w:id="32" w:name="fig:009"/>
      <w:r>
        <w:drawing>
          <wp:inline>
            <wp:extent cx="5334000" cy="2432905"/>
            <wp:effectExtent b="0" l="0" r="0" t="0"/>
            <wp:docPr descr="Рис. 3: Соединение зданий в физической области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Соединение зданий в физической области</w:t>
      </w:r>
    </w:p>
    <w:p>
      <w:pPr>
        <w:numPr>
          <w:ilvl w:val="0"/>
          <w:numId w:val="1001"/>
        </w:numPr>
      </w:pPr>
      <w:r>
        <w:t xml:space="preserve">После входа в серверное помещение отображены серверные стойки с сетевым оборудованием.</w:t>
      </w:r>
    </w:p>
    <w:p>
      <w:pPr>
        <w:numPr>
          <w:ilvl w:val="0"/>
          <w:numId w:val="1000"/>
        </w:numPr>
        <w:pStyle w:val="CaptionedFigure"/>
      </w:pPr>
      <w:bookmarkStart w:id="36" w:name="fig:010"/>
      <w:r>
        <w:drawing>
          <wp:inline>
            <wp:extent cx="5334000" cy="2911928"/>
            <wp:effectExtent b="0" l="0" r="0" t="0"/>
            <wp:docPr descr="Рис. 4: Подключение устройств внутри здания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Подключение устройств внутри здания</w:t>
      </w:r>
    </w:p>
    <w:p>
      <w:pPr>
        <w:numPr>
          <w:ilvl w:val="0"/>
          <w:numId w:val="1001"/>
        </w:numPr>
      </w:pPr>
      <w:r>
        <w:t xml:space="preserve">Выполнено размещение оборудования в стойках:</w:t>
      </w:r>
    </w:p>
    <w:p>
      <w:pPr>
        <w:numPr>
          <w:ilvl w:val="1"/>
          <w:numId w:val="1002"/>
        </w:numPr>
        <w:pStyle w:val="Compact"/>
      </w:pPr>
      <w:r>
        <w:t xml:space="preserve">коммутаторы серии 2960;</w:t>
      </w:r>
    </w:p>
    <w:p>
      <w:pPr>
        <w:numPr>
          <w:ilvl w:val="1"/>
          <w:numId w:val="1002"/>
        </w:numPr>
        <w:pStyle w:val="Compact"/>
      </w:pPr>
      <w:r>
        <w:t xml:space="preserve">распределительное питание (Power Distribution Device);</w:t>
      </w:r>
    </w:p>
    <w:p>
      <w:pPr>
        <w:numPr>
          <w:ilvl w:val="1"/>
          <w:numId w:val="1002"/>
        </w:numPr>
        <w:pStyle w:val="Compact"/>
      </w:pPr>
      <w:r>
        <w:t xml:space="preserve">коммутационные соединения между устройствами.</w:t>
      </w:r>
    </w:p>
    <w:p>
      <w:pPr>
        <w:numPr>
          <w:ilvl w:val="0"/>
          <w:numId w:val="1000"/>
        </w:numPr>
        <w:pStyle w:val="CaptionedFigure"/>
      </w:pPr>
      <w:bookmarkStart w:id="40" w:name="fig:011"/>
      <w:r>
        <w:drawing>
          <wp:inline>
            <wp:extent cx="4514248" cy="3349591"/>
            <wp:effectExtent b="0" l="0" r="0" t="0"/>
            <wp:docPr descr="Рис. 5: Серверная стойка с оборудованием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334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Серверная стойка с оборудованием</w:t>
      </w:r>
    </w:p>
    <w:p>
      <w:pPr>
        <w:numPr>
          <w:ilvl w:val="0"/>
          <w:numId w:val="1001"/>
        </w:numPr>
      </w:pPr>
      <w:r>
        <w:t xml:space="preserve">С использованием инструмента</w:t>
      </w:r>
      <w:r>
        <w:t xml:space="preserve"> </w:t>
      </w:r>
      <w:r>
        <w:rPr>
          <w:bCs/>
          <w:b/>
        </w:rPr>
        <w:t xml:space="preserve">Move</w:t>
      </w:r>
      <w:r>
        <w:t xml:space="preserve"> </w:t>
      </w:r>
      <w:r>
        <w:t xml:space="preserve">физической рабочей области выполнено перемещение:</w:t>
      </w:r>
    </w:p>
    <w:p>
      <w:pPr>
        <w:numPr>
          <w:ilvl w:val="1"/>
          <w:numId w:val="1003"/>
        </w:numPr>
        <w:pStyle w:val="Compact"/>
      </w:pPr>
      <w:r>
        <w:t xml:space="preserve">коммутатора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оконечного устройства</w:t>
      </w:r>
      <w:r>
        <w:t xml:space="preserve"> </w:t>
      </w:r>
      <w:r>
        <w:rPr>
          <w:bCs/>
          <w:b/>
        </w:rPr>
        <w:t xml:space="preserve">dk-pavlovskaya-1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оконечного устройства</w:t>
      </w:r>
      <w:r>
        <w:t xml:space="preserve"> </w:t>
      </w:r>
      <w:r>
        <w:rPr>
          <w:bCs/>
          <w:b/>
        </w:rPr>
        <w:t xml:space="preserve">other-pavlovskaya-1</w:t>
      </w:r>
      <w:r>
        <w:br/>
      </w:r>
      <w:r>
        <w:t xml:space="preserve">на территорию Pavlovskaya.</w:t>
      </w:r>
    </w:p>
    <w:p>
      <w:pPr>
        <w:numPr>
          <w:ilvl w:val="0"/>
          <w:numId w:val="1000"/>
        </w:numPr>
        <w:pStyle w:val="CaptionedFigure"/>
      </w:pPr>
      <w:bookmarkStart w:id="44" w:name="fig:012"/>
      <w:r>
        <w:drawing>
          <wp:inline>
            <wp:extent cx="5334000" cy="3168630"/>
            <wp:effectExtent b="0" l="0" r="0" t="0"/>
            <wp:docPr descr="Рис. 6: Размещение устройств в здании Pavlovskaya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Размещение устройств в здании Pavlovskaya</w:t>
      </w:r>
    </w:p>
    <w:p>
      <w:pPr>
        <w:numPr>
          <w:ilvl w:val="0"/>
          <w:numId w:val="1001"/>
        </w:numPr>
      </w:pPr>
      <w:r>
        <w:t xml:space="preserve">Проверено размещение оборудования в серверной стойке Pavlovskaya.</w:t>
      </w:r>
    </w:p>
    <w:p>
      <w:pPr>
        <w:numPr>
          <w:ilvl w:val="0"/>
          <w:numId w:val="1000"/>
        </w:numPr>
        <w:pStyle w:val="CaptionedFigure"/>
      </w:pPr>
      <w:bookmarkStart w:id="48" w:name="fig:013"/>
      <w:r>
        <w:drawing>
          <wp:inline>
            <wp:extent cx="4533498" cy="2079056"/>
            <wp:effectExtent b="0" l="0" r="0" t="0"/>
            <wp:docPr descr="Рис. 7: Серверная стойка Pavlovskaya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Серверная стойка Pavlovskaya</w:t>
      </w:r>
    </w:p>
    <w:bookmarkEnd w:id="49"/>
    <w:bookmarkStart w:id="54" w:name="проверка-сетевого-соедин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сетевого соединения</w:t>
      </w:r>
    </w:p>
    <w:p>
      <w:pPr>
        <w:numPr>
          <w:ilvl w:val="0"/>
          <w:numId w:val="1004"/>
        </w:numPr>
      </w:pPr>
      <w:r>
        <w:t xml:space="preserve">Выполнен возврат в логическую рабочую область (Logical Workspace).</w:t>
      </w:r>
      <w:r>
        <w:br/>
      </w:r>
      <w:r>
        <w:t xml:space="preserve">С коммутатора</w:t>
      </w:r>
      <w:r>
        <w:t xml:space="preserve"> </w:t>
      </w:r>
      <w:r>
        <w:rPr>
          <w:bCs/>
          <w:b/>
        </w:rPr>
        <w:t xml:space="preserve">msk-donskaya-akabrikosov-sw-1</w:t>
      </w:r>
      <w:r>
        <w:t xml:space="preserve"> </w:t>
      </w:r>
      <w:r>
        <w:t xml:space="preserve">выполнена команда ping до коммутатора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(IP-адрес 10.128.1.6).</w:t>
      </w:r>
    </w:p>
    <w:p>
      <w:pPr>
        <w:numPr>
          <w:ilvl w:val="0"/>
          <w:numId w:val="1000"/>
        </w:numPr>
        <w:pStyle w:val="CaptionedFigure"/>
      </w:pPr>
      <w:bookmarkStart w:id="53" w:name="fig:014"/>
      <w:r>
        <w:drawing>
          <wp:inline>
            <wp:extent cx="5091764" cy="1318661"/>
            <wp:effectExtent b="0" l="0" r="0" t="0"/>
            <wp:docPr descr="Рис. 8: Результат выполнения команды ping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131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Результат выполнения команды ping</w:t>
      </w:r>
    </w:p>
    <w:p>
      <w:pPr>
        <w:numPr>
          <w:ilvl w:val="0"/>
          <w:numId w:val="1004"/>
        </w:numPr>
      </w:pPr>
      <w:r>
        <w:t xml:space="preserve">По результатам выполнения команды получен успешный ответ:</w:t>
      </w:r>
    </w:p>
    <w:p>
      <w:pPr>
        <w:numPr>
          <w:ilvl w:val="0"/>
          <w:numId w:val="1005"/>
        </w:numPr>
        <w:pStyle w:val="Compact"/>
      </w:pPr>
      <w:r>
        <w:t xml:space="preserve">количество отправленных пакетов — 5;</w:t>
      </w:r>
    </w:p>
    <w:p>
      <w:pPr>
        <w:numPr>
          <w:ilvl w:val="0"/>
          <w:numId w:val="1005"/>
        </w:numPr>
        <w:pStyle w:val="Compact"/>
      </w:pPr>
      <w:r>
        <w:t xml:space="preserve">количество полученных пакетов — 5;</w:t>
      </w:r>
    </w:p>
    <w:p>
      <w:pPr>
        <w:numPr>
          <w:ilvl w:val="0"/>
          <w:numId w:val="1005"/>
        </w:numPr>
        <w:pStyle w:val="Compact"/>
      </w:pPr>
      <w:r>
        <w:t xml:space="preserve">потери отсутствуют (0%);</w:t>
      </w:r>
    </w:p>
    <w:p>
      <w:pPr>
        <w:numPr>
          <w:ilvl w:val="0"/>
          <w:numId w:val="1005"/>
        </w:numPr>
        <w:pStyle w:val="Compact"/>
      </w:pPr>
      <w:r>
        <w:t xml:space="preserve">время отклика — минимальное.</w:t>
      </w:r>
    </w:p>
    <w:p>
      <w:pPr>
        <w:pStyle w:val="FirstParagraph"/>
      </w:pPr>
      <w:r>
        <w:t xml:space="preserve">Это подтверждает корректную настройку сети и успешную передачу данных между коммутаторами.</w:t>
      </w:r>
    </w:p>
    <w:bookmarkEnd w:id="54"/>
    <w:bookmarkStart w:id="87" w:name="учёт-физических-параметров-сет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Учёт физических параметров сети</w:t>
      </w:r>
    </w:p>
    <w:p>
      <w:pPr>
        <w:numPr>
          <w:ilvl w:val="0"/>
          <w:numId w:val="1006"/>
        </w:numPr>
      </w:pPr>
      <w:r>
        <w:t xml:space="preserve">В меню</w:t>
      </w:r>
      <w:r>
        <w:t xml:space="preserve"> </w:t>
      </w:r>
      <w:r>
        <w:rPr>
          <w:bCs/>
          <w:b/>
        </w:rPr>
        <w:t xml:space="preserve">Options → Preferences</w:t>
      </w:r>
      <w:r>
        <w:t xml:space="preserve">, во вкладке</w:t>
      </w:r>
      <w: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активирована опция</w:t>
      </w:r>
      <w:r>
        <w:t xml:space="preserve"> </w:t>
      </w:r>
      <w:r>
        <w:rPr>
          <w:bCs/>
          <w:b/>
        </w:rPr>
        <w:t xml:space="preserve">Enable Cable Length Effects</w:t>
      </w:r>
      <w:r>
        <w:t xml:space="preserve">, позволяющая учитывать физические характеристики среды передачи.</w:t>
      </w:r>
    </w:p>
    <w:p>
      <w:pPr>
        <w:numPr>
          <w:ilvl w:val="0"/>
          <w:numId w:val="1000"/>
        </w:numPr>
        <w:pStyle w:val="CaptionedFigure"/>
      </w:pPr>
      <w:bookmarkStart w:id="58" w:name="fig:015"/>
      <w:r>
        <w:drawing>
          <wp:inline>
            <wp:extent cx="3667225" cy="2261936"/>
            <wp:effectExtent b="0" l="0" r="0" t="0"/>
            <wp:docPr descr="Рис. 9: Активация учета длины кабеля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25" cy="226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Активация учета длины кабеля</w:t>
      </w:r>
    </w:p>
    <w:p>
      <w:pPr>
        <w:numPr>
          <w:ilvl w:val="0"/>
          <w:numId w:val="1006"/>
        </w:numPr>
      </w:pPr>
      <w:r>
        <w:t xml:space="preserve">В физической рабочей области Packet Tracer размещены две территории (Donskaya и Pavlovskaya) на значительном расстоянии друг от друга (более 100 м).</w:t>
      </w:r>
    </w:p>
    <w:p>
      <w:pPr>
        <w:numPr>
          <w:ilvl w:val="0"/>
          <w:numId w:val="1000"/>
        </w:numPr>
        <w:pStyle w:val="CaptionedFigure"/>
      </w:pPr>
      <w:bookmarkStart w:id="62" w:name="fig:016"/>
      <w:r>
        <w:drawing>
          <wp:inline>
            <wp:extent cx="5334000" cy="1640066"/>
            <wp:effectExtent b="0" l="0" r="0" t="0"/>
            <wp:docPr descr="Рис. 10: Размещение территорий на расстоянии" title="" id="60" name="Picture"/>
            <a:graphic>
              <a:graphicData uri="http://schemas.openxmlformats.org/drawingml/2006/picture">
                <pic:pic>
                  <pic:nvPicPr>
                    <pic:cNvPr descr="Screenshot_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Размещение территорий на расстоянии</w:t>
      </w:r>
    </w:p>
    <w:p>
      <w:pPr>
        <w:numPr>
          <w:ilvl w:val="0"/>
          <w:numId w:val="1006"/>
        </w:numPr>
      </w:pPr>
      <w:r>
        <w:t xml:space="preserve">После возврата в логическую рабочую область выполнена проверка соединения с помощью команды ping между коммутаторами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7"/>
      <w:r>
        <w:drawing>
          <wp:inline>
            <wp:extent cx="5313145" cy="1260909"/>
            <wp:effectExtent b="0" l="0" r="0" t="0"/>
            <wp:docPr descr="Рис. 11: Неудачная попытка ping" title="" id="64" name="Picture"/>
            <a:graphic>
              <a:graphicData uri="http://schemas.openxmlformats.org/drawingml/2006/picture">
                <pic:pic>
                  <pic:nvPicPr>
                    <pic:cNvPr descr="Screenshot_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Неудачная попытка ping</w:t>
      </w:r>
    </w:p>
    <w:p>
      <w:pPr>
        <w:numPr>
          <w:ilvl w:val="0"/>
          <w:numId w:val="1000"/>
        </w:numPr>
      </w:pPr>
      <w:r>
        <w:t xml:space="preserve">В результате наблюдается потеря пакетов (0%), что свидетельствует о неработоспособности соединения при превышении допустимой длины кабеля.</w:t>
      </w:r>
    </w:p>
    <w:p>
      <w:pPr>
        <w:numPr>
          <w:ilvl w:val="0"/>
          <w:numId w:val="1006"/>
        </w:numPr>
      </w:pPr>
      <w:r>
        <w:t xml:space="preserve">Удалено существующее соединение между коммутаторами.</w:t>
      </w:r>
      <w:r>
        <w:br/>
      </w:r>
      <w:r>
        <w:t xml:space="preserve">В логическую схему добавлены два повторителя: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msk-donskaya-akabrikosov-mc-1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msk-pavlovskaya-akabrikosov-mc-1</w:t>
      </w:r>
    </w:p>
    <w:p>
      <w:pPr>
        <w:numPr>
          <w:ilvl w:val="0"/>
          <w:numId w:val="1000"/>
        </w:numPr>
        <w:pStyle w:val="CaptionedFigure"/>
      </w:pPr>
      <w:bookmarkStart w:id="70" w:name="fig:018"/>
      <w:r>
        <w:drawing>
          <wp:inline>
            <wp:extent cx="5334000" cy="2939306"/>
            <wp:effectExtent b="0" l="0" r="0" t="0"/>
            <wp:docPr descr="Рис. 12: Добавление повторителей в сеть" title="" id="68" name="Picture"/>
            <a:graphic>
              <a:graphicData uri="http://schemas.openxmlformats.org/drawingml/2006/picture">
                <pic:pic>
                  <pic:nvPicPr>
                    <pic:cNvPr descr="Screenshot_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Добавление повторителей в сеть</w:t>
      </w:r>
    </w:p>
    <w:p>
      <w:pPr>
        <w:numPr>
          <w:ilvl w:val="0"/>
          <w:numId w:val="1006"/>
        </w:numPr>
      </w:pPr>
      <w:r>
        <w:t xml:space="preserve">Для повторителей установлены модули: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PT-REPEATER-NM-1CFE</w:t>
      </w:r>
      <w:r>
        <w:t xml:space="preserve"> </w:t>
      </w:r>
      <w:r>
        <w:t xml:space="preserve">— для подключения витой пары;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PT-REPEATER-NM-1FFE</w:t>
      </w:r>
      <w:r>
        <w:t xml:space="preserve"> </w:t>
      </w:r>
      <w:r>
        <w:t xml:space="preserve">— для подключения оптоволокна.</w:t>
      </w:r>
    </w:p>
    <w:p>
      <w:pPr>
        <w:numPr>
          <w:ilvl w:val="0"/>
          <w:numId w:val="1000"/>
        </w:numPr>
        <w:pStyle w:val="CaptionedFigure"/>
      </w:pPr>
      <w:bookmarkStart w:id="74" w:name="fig:019"/>
      <w:r>
        <w:drawing>
          <wp:inline>
            <wp:extent cx="4417995" cy="2521818"/>
            <wp:effectExtent b="0" l="0" r="0" t="0"/>
            <wp:docPr descr="Рис. 13: Физическое представление повторителя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252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Физическое представление повторителя</w:t>
      </w:r>
    </w:p>
    <w:p>
      <w:pPr>
        <w:numPr>
          <w:ilvl w:val="0"/>
          <w:numId w:val="1006"/>
        </w:numPr>
      </w:pPr>
      <w:r>
        <w:t xml:space="preserve">В физической рабочей области повторитель</w:t>
      </w:r>
      <w:r>
        <w:t xml:space="preserve"> </w:t>
      </w:r>
      <w:r>
        <w:rPr>
          <w:bCs/>
          <w:b/>
        </w:rPr>
        <w:t xml:space="preserve">msk-pavlovskaya-akabrikosov-mc-1</w:t>
      </w:r>
      <w:r>
        <w:t xml:space="preserve"> </w:t>
      </w:r>
      <w:r>
        <w:t xml:space="preserve">перемещён на территорию Pavlovskaya.</w:t>
      </w:r>
    </w:p>
    <w:p>
      <w:pPr>
        <w:numPr>
          <w:ilvl w:val="0"/>
          <w:numId w:val="1000"/>
        </w:numPr>
        <w:pStyle w:val="CaptionedFigure"/>
      </w:pPr>
      <w:bookmarkStart w:id="78" w:name="fig:020"/>
      <w:r>
        <w:drawing>
          <wp:inline>
            <wp:extent cx="4610501" cy="3108960"/>
            <wp:effectExtent b="0" l="0" r="0" t="0"/>
            <wp:docPr descr="Рис. 14: Размещение повторителя в стойке Pavlovskaya" title="" id="76" name="Picture"/>
            <a:graphic>
              <a:graphicData uri="http://schemas.openxmlformats.org/drawingml/2006/picture">
                <pic:pic>
                  <pic:nvPicPr>
                    <pic:cNvPr descr="Screenshot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Размещение повторителя в стойке Pavlovskaya</w:t>
      </w:r>
    </w:p>
    <w:p>
      <w:pPr>
        <w:numPr>
          <w:ilvl w:val="0"/>
          <w:numId w:val="1006"/>
        </w:numPr>
      </w:pPr>
      <w:r>
        <w:t xml:space="preserve">Выполнено подключение устройств: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msk-donskaya-sw-1 → msk-donskaya-mc-1</w:t>
      </w:r>
      <w:r>
        <w:t xml:space="preserve"> </w:t>
      </w:r>
      <w:r>
        <w:t xml:space="preserve">— витая пара;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msk-donskaya-mc-1 → msk-pavlovskaya-mc-1</w:t>
      </w:r>
      <w:r>
        <w:t xml:space="preserve"> </w:t>
      </w:r>
      <w:r>
        <w:t xml:space="preserve">— оптоволоконный кабель;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msk-pavlovskaya-mc-1 → msk-pavlovskaya-sw-1</w:t>
      </w:r>
      <w:r>
        <w:t xml:space="preserve"> </w:t>
      </w:r>
      <w:r>
        <w:t xml:space="preserve">— витая пара.</w:t>
      </w:r>
    </w:p>
    <w:p>
      <w:pPr>
        <w:numPr>
          <w:ilvl w:val="0"/>
          <w:numId w:val="1000"/>
        </w:numPr>
        <w:pStyle w:val="CaptionedFigure"/>
      </w:pPr>
      <w:bookmarkStart w:id="82" w:name="fig:021"/>
      <w:r>
        <w:drawing>
          <wp:inline>
            <wp:extent cx="4485372" cy="3147461"/>
            <wp:effectExtent b="0" l="0" r="0" t="0"/>
            <wp:docPr descr="Рис. 15: Информация о типе кабеля и расстоянии" title="" id="80" name="Picture"/>
            <a:graphic>
              <a:graphicData uri="http://schemas.openxmlformats.org/drawingml/2006/picture">
                <pic:pic>
                  <pic:nvPicPr>
                    <pic:cNvPr descr="Screenshot_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31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Информация о типе кабеля и расстоянии</w:t>
      </w:r>
    </w:p>
    <w:p>
      <w:pPr>
        <w:numPr>
          <w:ilvl w:val="0"/>
          <w:numId w:val="1000"/>
        </w:numPr>
      </w:pPr>
      <w:r>
        <w:t xml:space="preserve">Использование оптоволокна позволяет обеспечить передачу данных на большие расстояния (до нескольких километров), в отличие от витой пары, ограниченной примерно 100 метрами.</w:t>
      </w:r>
    </w:p>
    <w:p>
      <w:pPr>
        <w:numPr>
          <w:ilvl w:val="0"/>
          <w:numId w:val="1006"/>
        </w:numPr>
      </w:pPr>
      <w:r>
        <w:t xml:space="preserve">После настройки выполнена повторная проверка соединения с помощью команды ping.</w:t>
      </w:r>
    </w:p>
    <w:p>
      <w:pPr>
        <w:numPr>
          <w:ilvl w:val="0"/>
          <w:numId w:val="1000"/>
        </w:numPr>
        <w:pStyle w:val="CaptionedFigure"/>
      </w:pPr>
      <w:bookmarkStart w:id="86" w:name="fig:022"/>
      <w:r>
        <w:drawing>
          <wp:inline>
            <wp:extent cx="5334000" cy="1565944"/>
            <wp:effectExtent b="0" l="0" r="0" t="0"/>
            <wp:docPr descr="Рис. 16: Успешный ping между коммутаторами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Успешный ping между коммутаторами</w:t>
      </w:r>
    </w:p>
    <w:p>
      <w:pPr>
        <w:numPr>
          <w:ilvl w:val="0"/>
          <w:numId w:val="1006"/>
        </w:numPr>
      </w:pPr>
      <w:r>
        <w:t xml:space="preserve">По результатам проверки:</w:t>
      </w:r>
    </w:p>
    <w:p>
      <w:pPr>
        <w:numPr>
          <w:ilvl w:val="1"/>
          <w:numId w:val="1010"/>
        </w:numPr>
        <w:pStyle w:val="Compact"/>
      </w:pPr>
      <w:r>
        <w:t xml:space="preserve">передано 5 пакетов;</w:t>
      </w:r>
    </w:p>
    <w:p>
      <w:pPr>
        <w:numPr>
          <w:ilvl w:val="1"/>
          <w:numId w:val="1010"/>
        </w:numPr>
        <w:pStyle w:val="Compact"/>
      </w:pPr>
      <w:r>
        <w:t xml:space="preserve">получено 4 пакета;</w:t>
      </w:r>
    </w:p>
    <w:p>
      <w:pPr>
        <w:numPr>
          <w:ilvl w:val="1"/>
          <w:numId w:val="1010"/>
        </w:numPr>
        <w:pStyle w:val="Compact"/>
      </w:pPr>
      <w:r>
        <w:t xml:space="preserve">успешность передачи — 80%.</w:t>
      </w:r>
    </w:p>
    <w:p>
      <w:pPr>
        <w:numPr>
          <w:ilvl w:val="0"/>
          <w:numId w:val="1000"/>
        </w:numPr>
      </w:pPr>
      <w:r>
        <w:t xml:space="preserve">Соединение восстановлено, что подтверждает корректность использования повторителей и оптоволоконного канала для передачи данных на большие расстояния.</w:t>
      </w:r>
    </w:p>
    <w:bookmarkEnd w:id="87"/>
    <w:bookmarkEnd w:id="88"/>
    <w:bookmarkStart w:id="8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исследована физическая организация сети в Cisco Packet Tracer с использованием физической рабочей области.</w:t>
      </w:r>
      <w:r>
        <w:br/>
      </w:r>
      <w:r>
        <w:t xml:space="preserve">Выполнено структурирование сети по географическому принципу с выделением города Moscow и размещением зданий Donskaya и Pavlovskaya, а также распределением сетевого оборудования по серверным помещениям и стойкам.</w:t>
      </w:r>
    </w:p>
    <w:p>
      <w:pPr>
        <w:pStyle w:val="BodyText"/>
      </w:pPr>
      <w:r>
        <w:t xml:space="preserve">Произведено перемещение сетевых устройств между территориями с использованием инструментов физической области, что позволило отразить реальное расположение оборудования и каналов связи.</w:t>
      </w:r>
    </w:p>
    <w:p>
      <w:pPr>
        <w:pStyle w:val="BodyText"/>
      </w:pPr>
      <w:r>
        <w:t xml:space="preserve">Изучено влияние физических параметров среды передачи на работоспособность сети. Установлено, что при превышении допустимой длины медного кабеля (витой пары) соединение между узлами нарушается, что приводит к потере пакетов при передаче данных.</w:t>
      </w:r>
    </w:p>
    <w:p>
      <w:pPr>
        <w:pStyle w:val="BodyText"/>
      </w:pPr>
      <w:r>
        <w:t xml:space="preserve">Для устранения данной проблемы в сеть добавлены повторители, обеспечивающие регенерацию сигнала. Организовано соединение с использованием комбинированной среды передачи: витой пары на коротких участках и оптоволоконного кабеля для передачи данных на большие расстояния.</w:t>
      </w:r>
    </w:p>
    <w:p>
      <w:pPr>
        <w:pStyle w:val="BodyText"/>
      </w:pPr>
      <w:r>
        <w:t xml:space="preserve">В результате внедрения повторителей и использования оптоволоконной линии связь между удалёнными сегментами сети была восстановлена, что подтверждено успешной передачей ICMP-пакетов.</w:t>
      </w:r>
    </w:p>
    <w:bookmarkEnd w:id="89"/>
    <w:bookmarkStart w:id="9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  <w:pStyle w:val="Compact"/>
      </w:pPr>
      <w: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  <w:r>
        <w:br/>
      </w:r>
      <w:r>
        <w:t xml:space="preserve">К основным средам передачи данных относятся:</w:t>
      </w:r>
    </w:p>
    <w:p>
      <w:pPr>
        <w:numPr>
          <w:ilvl w:val="1"/>
          <w:numId w:val="1012"/>
        </w:numPr>
        <w:pStyle w:val="Compact"/>
      </w:pPr>
      <w:r>
        <w:t xml:space="preserve">витая пара (медный кабель);</w:t>
      </w:r>
    </w:p>
    <w:p>
      <w:pPr>
        <w:numPr>
          <w:ilvl w:val="1"/>
          <w:numId w:val="1012"/>
        </w:numPr>
        <w:pStyle w:val="Compact"/>
      </w:pPr>
      <w:r>
        <w:t xml:space="preserve">коаксиальный кабель;</w:t>
      </w:r>
    </w:p>
    <w:p>
      <w:pPr>
        <w:numPr>
          <w:ilvl w:val="1"/>
          <w:numId w:val="1012"/>
        </w:numPr>
        <w:pStyle w:val="Compact"/>
      </w:pPr>
      <w:r>
        <w:t xml:space="preserve">оптоволоконный кабель;</w:t>
      </w:r>
    </w:p>
    <w:p>
      <w:pPr>
        <w:numPr>
          <w:ilvl w:val="1"/>
          <w:numId w:val="1012"/>
        </w:numPr>
        <w:pStyle w:val="Compact"/>
      </w:pPr>
      <w:r>
        <w:t xml:space="preserve">беспроводные среды (радиоканал, Wi-Fi, спутниковая связь).</w:t>
      </w:r>
    </w:p>
    <w:p>
      <w:pPr>
        <w:numPr>
          <w:ilvl w:val="0"/>
          <w:numId w:val="1000"/>
        </w:numPr>
        <w:pStyle w:val="Compact"/>
      </w:pPr>
      <w:r>
        <w:t xml:space="preserve">При планировании сети необходимо учитывать следующие характеристики:</w:t>
      </w:r>
    </w:p>
    <w:p>
      <w:pPr>
        <w:numPr>
          <w:ilvl w:val="1"/>
          <w:numId w:val="1013"/>
        </w:numPr>
        <w:pStyle w:val="Compact"/>
      </w:pPr>
      <w:r>
        <w:t xml:space="preserve">максимальная длина сегмента передачи;</w:t>
      </w:r>
    </w:p>
    <w:p>
      <w:pPr>
        <w:numPr>
          <w:ilvl w:val="1"/>
          <w:numId w:val="1013"/>
        </w:numPr>
        <w:pStyle w:val="Compact"/>
      </w:pPr>
      <w:r>
        <w:t xml:space="preserve">пропускная способность (скорость передачи данных);</w:t>
      </w:r>
    </w:p>
    <w:p>
      <w:pPr>
        <w:numPr>
          <w:ilvl w:val="1"/>
          <w:numId w:val="1013"/>
        </w:numPr>
        <w:pStyle w:val="Compact"/>
      </w:pPr>
      <w:r>
        <w:t xml:space="preserve">уровень затухания сигнала;</w:t>
      </w:r>
    </w:p>
    <w:p>
      <w:pPr>
        <w:numPr>
          <w:ilvl w:val="1"/>
          <w:numId w:val="1013"/>
        </w:numPr>
        <w:pStyle w:val="Compact"/>
      </w:pPr>
      <w:r>
        <w:t xml:space="preserve">устойчивость к электромагнитным помехам;</w:t>
      </w:r>
    </w:p>
    <w:p>
      <w:pPr>
        <w:numPr>
          <w:ilvl w:val="1"/>
          <w:numId w:val="1013"/>
        </w:numPr>
        <w:pStyle w:val="Compact"/>
      </w:pPr>
      <w:r>
        <w:t xml:space="preserve">стоимость прокладки и оборудования;</w:t>
      </w:r>
    </w:p>
    <w:p>
      <w:pPr>
        <w:numPr>
          <w:ilvl w:val="1"/>
          <w:numId w:val="1013"/>
        </w:numPr>
        <w:pStyle w:val="Compact"/>
      </w:pPr>
      <w:r>
        <w:t xml:space="preserve">условия эксплуатации (внутри помещений или на улице).</w:t>
      </w:r>
    </w:p>
    <w:p>
      <w:pPr>
        <w:numPr>
          <w:ilvl w:val="0"/>
          <w:numId w:val="1011"/>
        </w:numPr>
        <w:pStyle w:val="Compact"/>
      </w:pPr>
      <w:r>
        <w:t xml:space="preserve">Перечислите категории витой пары. Чем они отличаются? Какая категория в каких условиях может применяться?</w:t>
      </w:r>
      <w:r>
        <w:br/>
      </w:r>
      <w:r>
        <w:t xml:space="preserve">Основные категории витой пары:</w:t>
      </w:r>
    </w:p>
    <w:p>
      <w:pPr>
        <w:numPr>
          <w:ilvl w:val="1"/>
          <w:numId w:val="1014"/>
        </w:numPr>
        <w:pStyle w:val="Compact"/>
      </w:pPr>
      <w:r>
        <w:t xml:space="preserve">Cat5 — до 100 Мбит/с;</w:t>
      </w:r>
    </w:p>
    <w:p>
      <w:pPr>
        <w:numPr>
          <w:ilvl w:val="1"/>
          <w:numId w:val="1014"/>
        </w:numPr>
        <w:pStyle w:val="Compact"/>
      </w:pPr>
      <w:r>
        <w:t xml:space="preserve">Cat5e — до 1 Гбит/с;</w:t>
      </w:r>
    </w:p>
    <w:p>
      <w:pPr>
        <w:numPr>
          <w:ilvl w:val="1"/>
          <w:numId w:val="1014"/>
        </w:numPr>
        <w:pStyle w:val="Compact"/>
      </w:pPr>
      <w:r>
        <w:t xml:space="preserve">Cat6 — до 1–10 Гбит/с (на коротких расстояниях);</w:t>
      </w:r>
    </w:p>
    <w:p>
      <w:pPr>
        <w:numPr>
          <w:ilvl w:val="1"/>
          <w:numId w:val="1014"/>
        </w:numPr>
        <w:pStyle w:val="Compact"/>
      </w:pPr>
      <w:r>
        <w:t xml:space="preserve">Cat6a — до 10 Гбит/с;</w:t>
      </w:r>
    </w:p>
    <w:p>
      <w:pPr>
        <w:numPr>
          <w:ilvl w:val="1"/>
          <w:numId w:val="1014"/>
        </w:numPr>
        <w:pStyle w:val="Compact"/>
      </w:pPr>
      <w:r>
        <w:t xml:space="preserve">Cat7 и выше — до 10 Гбит/с и более с улучшенной защитой от помех.</w:t>
      </w:r>
    </w:p>
    <w:p>
      <w:pPr>
        <w:numPr>
          <w:ilvl w:val="0"/>
          <w:numId w:val="1000"/>
        </w:numPr>
        <w:pStyle w:val="Compact"/>
      </w:pPr>
      <w:r>
        <w:t xml:space="preserve">Категории отличаются:</w:t>
      </w:r>
    </w:p>
    <w:p>
      <w:pPr>
        <w:numPr>
          <w:ilvl w:val="1"/>
          <w:numId w:val="1015"/>
        </w:numPr>
        <w:pStyle w:val="Compact"/>
      </w:pPr>
      <w:r>
        <w:t xml:space="preserve">максимальной частотой сигнала;</w:t>
      </w:r>
    </w:p>
    <w:p>
      <w:pPr>
        <w:numPr>
          <w:ilvl w:val="1"/>
          <w:numId w:val="1015"/>
        </w:numPr>
        <w:pStyle w:val="Compact"/>
      </w:pPr>
      <w:r>
        <w:t xml:space="preserve">скоростью передачи данных;</w:t>
      </w:r>
    </w:p>
    <w:p>
      <w:pPr>
        <w:numPr>
          <w:ilvl w:val="1"/>
          <w:numId w:val="1015"/>
        </w:numPr>
        <w:pStyle w:val="Compact"/>
      </w:pPr>
      <w:r>
        <w:t xml:space="preserve">уровнем экранирования и защитой от помех.</w:t>
      </w:r>
    </w:p>
    <w:p>
      <w:pPr>
        <w:numPr>
          <w:ilvl w:val="0"/>
          <w:numId w:val="1000"/>
        </w:numPr>
        <w:pStyle w:val="Compact"/>
      </w:pPr>
      <w:r>
        <w:t xml:space="preserve">Применение:</w:t>
      </w:r>
    </w:p>
    <w:p>
      <w:pPr>
        <w:numPr>
          <w:ilvl w:val="1"/>
          <w:numId w:val="1016"/>
        </w:numPr>
        <w:pStyle w:val="Compact"/>
      </w:pPr>
      <w:r>
        <w:t xml:space="preserve">Cat5e — для обычных офисных и домашних сетей;</w:t>
      </w:r>
    </w:p>
    <w:p>
      <w:pPr>
        <w:numPr>
          <w:ilvl w:val="1"/>
          <w:numId w:val="1016"/>
        </w:numPr>
        <w:pStyle w:val="Compact"/>
      </w:pPr>
      <w:r>
        <w:t xml:space="preserve">Cat6/6a — для высокоскоростных сетей и серверных;</w:t>
      </w:r>
    </w:p>
    <w:p>
      <w:pPr>
        <w:numPr>
          <w:ilvl w:val="1"/>
          <w:numId w:val="1016"/>
        </w:numPr>
        <w:pStyle w:val="Compact"/>
      </w:pPr>
      <w:r>
        <w:t xml:space="preserve">Cat7 — для промышленных и высоконагруженных систем.</w:t>
      </w:r>
    </w:p>
    <w:p>
      <w:pPr>
        <w:numPr>
          <w:ilvl w:val="0"/>
          <w:numId w:val="1011"/>
        </w:numPr>
        <w:pStyle w:val="Compact"/>
      </w:pPr>
      <w:r>
        <w:t xml:space="preserve">В чем отличие одномодового и многомодового оптоволокна? Какой тип кабеля в каких условиях может применяться?</w:t>
      </w:r>
      <w:r>
        <w:br/>
      </w:r>
      <w:r>
        <w:t xml:space="preserve">Одномодовое оптоволокно (Single Mode):</w:t>
      </w:r>
    </w:p>
    <w:p>
      <w:pPr>
        <w:numPr>
          <w:ilvl w:val="1"/>
          <w:numId w:val="1017"/>
        </w:numPr>
        <w:pStyle w:val="Compact"/>
      </w:pPr>
      <w:r>
        <w:t xml:space="preserve">имеет малый диаметр сердцевины;</w:t>
      </w:r>
    </w:p>
    <w:p>
      <w:pPr>
        <w:numPr>
          <w:ilvl w:val="1"/>
          <w:numId w:val="1017"/>
        </w:numPr>
        <w:pStyle w:val="Compact"/>
      </w:pPr>
      <w:r>
        <w:t xml:space="preserve">передаёт один луч света;</w:t>
      </w:r>
    </w:p>
    <w:p>
      <w:pPr>
        <w:numPr>
          <w:ilvl w:val="1"/>
          <w:numId w:val="1017"/>
        </w:numPr>
        <w:pStyle w:val="Compact"/>
      </w:pPr>
      <w:r>
        <w:t xml:space="preserve">обеспечивает передачу на большие расстояния (десятки километров);</w:t>
      </w:r>
    </w:p>
    <w:p>
      <w:pPr>
        <w:numPr>
          <w:ilvl w:val="1"/>
          <w:numId w:val="1017"/>
        </w:numPr>
        <w:pStyle w:val="Compact"/>
      </w:pPr>
      <w:r>
        <w:t xml:space="preserve">используется в магистральных линиях связи.</w:t>
      </w:r>
    </w:p>
    <w:p>
      <w:pPr>
        <w:numPr>
          <w:ilvl w:val="0"/>
          <w:numId w:val="1000"/>
        </w:numPr>
        <w:pStyle w:val="Compact"/>
      </w:pPr>
      <w:r>
        <w:t xml:space="preserve">Многомодовое оптоволокно (Multi Mode):</w:t>
      </w:r>
    </w:p>
    <w:p>
      <w:pPr>
        <w:numPr>
          <w:ilvl w:val="1"/>
          <w:numId w:val="1018"/>
        </w:numPr>
        <w:pStyle w:val="Compact"/>
      </w:pPr>
      <w:r>
        <w:t xml:space="preserve">имеет больший диаметр сердцевины;</w:t>
      </w:r>
    </w:p>
    <w:p>
      <w:pPr>
        <w:numPr>
          <w:ilvl w:val="1"/>
          <w:numId w:val="1018"/>
        </w:numPr>
        <w:pStyle w:val="Compact"/>
      </w:pPr>
      <w:r>
        <w:t xml:space="preserve">передаёт несколько лучей света;</w:t>
      </w:r>
    </w:p>
    <w:p>
      <w:pPr>
        <w:numPr>
          <w:ilvl w:val="1"/>
          <w:numId w:val="1018"/>
        </w:numPr>
        <w:pStyle w:val="Compact"/>
      </w:pPr>
      <w:r>
        <w:t xml:space="preserve">применяется на коротких расстояниях (до нескольких сотен метров);</w:t>
      </w:r>
    </w:p>
    <w:p>
      <w:pPr>
        <w:numPr>
          <w:ilvl w:val="1"/>
          <w:numId w:val="1018"/>
        </w:numPr>
        <w:pStyle w:val="Compact"/>
      </w:pPr>
      <w:r>
        <w:t xml:space="preserve">используется внутри зданий и дата-центров.</w:t>
      </w:r>
    </w:p>
    <w:p>
      <w:pPr>
        <w:numPr>
          <w:ilvl w:val="0"/>
          <w:numId w:val="1011"/>
        </w:numPr>
        <w:pStyle w:val="Compact"/>
      </w:pPr>
      <w:r>
        <w:t xml:space="preserve">Какие разъёмы встречаются на патчах оптоволокна? Чем они отличаются?</w:t>
      </w:r>
      <w:r>
        <w:br/>
      </w:r>
      <w:r>
        <w:t xml:space="preserve">Основные типы разъёмов:</w:t>
      </w:r>
    </w:p>
    <w:p>
      <w:pPr>
        <w:numPr>
          <w:ilvl w:val="1"/>
          <w:numId w:val="1019"/>
        </w:numPr>
        <w:pStyle w:val="Compact"/>
      </w:pPr>
      <w:r>
        <w:t xml:space="preserve">SC — прямоугольный разъём с защёлкой, удобен для плотного размещения;</w:t>
      </w:r>
    </w:p>
    <w:p>
      <w:pPr>
        <w:numPr>
          <w:ilvl w:val="1"/>
          <w:numId w:val="1019"/>
        </w:numPr>
        <w:pStyle w:val="Compact"/>
      </w:pPr>
      <w:r>
        <w:t xml:space="preserve">LC — компактный разъём малого размера, широко используется в современном оборудовании;</w:t>
      </w:r>
    </w:p>
    <w:p>
      <w:pPr>
        <w:numPr>
          <w:ilvl w:val="1"/>
          <w:numId w:val="1019"/>
        </w:numPr>
        <w:pStyle w:val="Compact"/>
      </w:pPr>
      <w:r>
        <w:t xml:space="preserve">ST — круглый разъём с байонетным креплением;</w:t>
      </w:r>
    </w:p>
    <w:p>
      <w:pPr>
        <w:numPr>
          <w:ilvl w:val="1"/>
          <w:numId w:val="1019"/>
        </w:numPr>
        <w:pStyle w:val="Compact"/>
      </w:pPr>
      <w:r>
        <w:t xml:space="preserve">FC — резьбовой разъём, обеспечивает надёжное соединение.</w:t>
      </w:r>
    </w:p>
    <w:p>
      <w:pPr>
        <w:numPr>
          <w:ilvl w:val="0"/>
          <w:numId w:val="1000"/>
        </w:numPr>
        <w:pStyle w:val="Compact"/>
      </w:pPr>
      <w:r>
        <w:t xml:space="preserve">Разъёмы отличаются:</w:t>
      </w:r>
    </w:p>
    <w:p>
      <w:pPr>
        <w:numPr>
          <w:ilvl w:val="1"/>
          <w:numId w:val="1020"/>
        </w:numPr>
        <w:pStyle w:val="Compact"/>
      </w:pPr>
      <w:r>
        <w:t xml:space="preserve">формой и размером;</w:t>
      </w:r>
    </w:p>
    <w:p>
      <w:pPr>
        <w:numPr>
          <w:ilvl w:val="1"/>
          <w:numId w:val="1020"/>
        </w:numPr>
        <w:pStyle w:val="Compact"/>
      </w:pPr>
      <w:r>
        <w:t xml:space="preserve">способом фиксации (защёлка, резьба, байонет);</w:t>
      </w:r>
    </w:p>
    <w:p>
      <w:pPr>
        <w:numPr>
          <w:ilvl w:val="1"/>
          <w:numId w:val="1020"/>
        </w:numPr>
        <w:pStyle w:val="Compact"/>
      </w:pPr>
      <w:r>
        <w:t xml:space="preserve">плотностью размещения портов;</w:t>
      </w:r>
    </w:p>
    <w:p>
      <w:pPr>
        <w:numPr>
          <w:ilvl w:val="1"/>
          <w:numId w:val="1020"/>
        </w:numPr>
        <w:pStyle w:val="Compact"/>
      </w:pPr>
      <w:r>
        <w:t xml:space="preserve">областью применения (серверные, телекоммуникации, магистральные линии).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Абрикосов Артем</dc:creator>
  <dc:language>ru-RU</dc:language>
  <cp:keywords/>
  <dcterms:created xsi:type="dcterms:W3CDTF">2026-03-23T09:08:55Z</dcterms:created>
  <dcterms:modified xsi:type="dcterms:W3CDTF">2026-03-23T09:08:55Z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Учёт физических параметров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