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Start w:id="9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Xebe0acf8291c363ccfad1c3be518735eb1ed2e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маршрутизатора провайдера и NAT для сети «Донская»</w:t>
      </w:r>
    </w:p>
    <w:p>
      <w:pPr>
        <w:numPr>
          <w:ilvl w:val="0"/>
          <w:numId w:val="1001"/>
        </w:numPr>
      </w:pPr>
      <w:r>
        <w:t xml:space="preserve">Открыт проект в Cisco Packet Tracer.</w:t>
      </w:r>
      <w:r>
        <w:br/>
      </w:r>
      <w:r>
        <w:t xml:space="preserve">В рабочей области представлена сеть организации с подключением к провайдеру, включающая маршрутизаторы, коммутаторы, серверы и рабочие станции.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246448"/>
            <wp:effectExtent b="0" l="0" r="0" t="0"/>
            <wp:docPr descr="Рис. 1: Общая топология сети организации и провайде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топология сети организации и провайдера</w:t>
      </w:r>
    </w:p>
    <w:p>
      <w:pPr>
        <w:numPr>
          <w:ilvl w:val="0"/>
          <w:numId w:val="1001"/>
        </w:numPr>
      </w:pPr>
      <w:r>
        <w:t xml:space="preserve">Выполнена первоначальная настройка маршрутизатора провайдера</w:t>
      </w:r>
      <w:r>
        <w:t xml:space="preserve"> </w:t>
      </w:r>
      <w:r>
        <w:rPr>
          <w:rStyle w:val="VerbatimChar"/>
        </w:rPr>
        <w:t xml:space="preserve">provider-gw-1</w:t>
      </w:r>
      <w:r>
        <w:t xml:space="preserve">.</w:t>
      </w:r>
      <w:r>
        <w:br/>
      </w:r>
      <w:r>
        <w:t xml:space="preserve">Задано имя устройства, настроен защищённый доступ (enable secret), включено шифрование паролей и создан пользователь с привилегиями администратора.</w:t>
      </w:r>
      <w:r>
        <w:br/>
      </w:r>
      <w:r>
        <w:t xml:space="preserve">Также активирован интерфейс FastEthernet0/0.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323364"/>
            <wp:effectExtent b="0" l="0" r="0" t="0"/>
            <wp:docPr descr="Рис. 2: Первоначальная настройка маршрутизато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Первоначальная настройка маршрутизатора</w:t>
      </w:r>
    </w:p>
    <w:p>
      <w:pPr>
        <w:numPr>
          <w:ilvl w:val="0"/>
          <w:numId w:val="1001"/>
        </w:numPr>
      </w:pPr>
      <w:r>
        <w:t xml:space="preserve">Настроен коммутатор провайдера</w:t>
      </w:r>
      <w:r>
        <w:t xml:space="preserve"> </w:t>
      </w:r>
      <w:r>
        <w:rPr>
          <w:rStyle w:val="VerbatimChar"/>
        </w:rPr>
        <w:t xml:space="preserve">provider-sw-1</w:t>
      </w:r>
      <w:r>
        <w:t xml:space="preserve">.</w:t>
      </w:r>
      <w:r>
        <w:br/>
      </w:r>
      <w:r>
        <w:t xml:space="preserve">Выполнена базовая настройка (имя, пароли), после чего интерфейсы FastEthernet0/1 и FastEthernet0/24 переведены в режим trunk.</w:t>
      </w:r>
      <w:r>
        <w:br/>
      </w:r>
      <w:r>
        <w:t xml:space="preserve">Создан VLAN 4 с именем nat для передачи трафика сети «Донская».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452374"/>
            <wp:effectExtent b="0" l="0" r="0" t="0"/>
            <wp:docPr descr="Рис. 3: Настройка коммутатора и VLAN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коммутатора и VLAN</w:t>
      </w:r>
    </w:p>
    <w:p>
      <w:pPr>
        <w:numPr>
          <w:ilvl w:val="0"/>
          <w:numId w:val="1001"/>
        </w:numPr>
      </w:pPr>
      <w:r>
        <w:t xml:space="preserve">Настроено подключение сети «Донская» к провайдеру на маршрутизаторе</w:t>
      </w:r>
      <w:r>
        <w:t xml:space="preserve"> </w:t>
      </w:r>
      <w:r>
        <w:rPr>
          <w:rStyle w:val="VerbatimChar"/>
        </w:rPr>
        <w:t xml:space="preserve">msk-donskaya-aakabrikosov-gw-1</w:t>
      </w:r>
      <w:r>
        <w:t xml:space="preserve">.</w:t>
      </w:r>
      <w:r>
        <w:br/>
      </w:r>
      <w:r>
        <w:t xml:space="preserve">Включён физический интерфейс FastEthernet0/1 и создан подинтерфейс FastEthernet0/1.4 с инкапсуляцией dot1q 4.</w:t>
      </w:r>
      <w:r>
        <w:br/>
      </w:r>
      <w:r>
        <w:t xml:space="preserve">Назначен IP-адрес 198.51.100.2/28 и добавлен маршрут по умолчанию через шлюз провайдера 198.51.100.1.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064565"/>
            <wp:effectExtent b="0" l="0" r="0" t="0"/>
            <wp:docPr descr="Рис. 4: Настройка интерфейса подключения к провайдеру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интерфейса подключения к провайдеру</w:t>
      </w:r>
    </w:p>
    <w:p>
      <w:pPr>
        <w:numPr>
          <w:ilvl w:val="0"/>
          <w:numId w:val="1001"/>
        </w:numPr>
      </w:pPr>
      <w:r>
        <w:t xml:space="preserve">Настроен список доступа nat-inet для определения трафика, подлежащего трансляции.</w:t>
      </w:r>
      <w:r>
        <w:br/>
      </w:r>
      <w:r>
        <w:t xml:space="preserve">В ACL включены разрешения для внутренних подсетей и отдельных узлов организации.</w:t>
      </w:r>
      <w:r>
        <w:br/>
      </w:r>
      <w:r>
        <w:t xml:space="preserve">После исправления ошибки команда NAT была успешно применена с использованием перегрузки (PAT).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571601"/>
            <wp:effectExtent b="0" l="0" r="0" t="0"/>
            <wp:docPr descr="Рис. 5: Настройка ACL и NAT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ACL и NAT</w:t>
      </w:r>
    </w:p>
    <w:p>
      <w:pPr>
        <w:numPr>
          <w:ilvl w:val="0"/>
          <w:numId w:val="1001"/>
        </w:numPr>
      </w:pPr>
      <w:r>
        <w:t xml:space="preserve">Назначены интерфейсы NAT на маршрутизаторе сети «Донская».</w:t>
      </w:r>
      <w:r>
        <w:br/>
      </w:r>
      <w:r>
        <w:t xml:space="preserve">Внутренними интерфейсами определены подинтерфейсы локальных VLAN, а внешним — интерфейс FastEthernet0/1.4, направленный к провайдеру.</w:t>
      </w:r>
      <w:r>
        <w:br/>
      </w:r>
      <w:r>
        <w:t xml:space="preserve">Это обеспечивает корректную трансляцию адресов при выходе во внешнюю сеть.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252644"/>
            <wp:effectExtent b="0" l="0" r="0" t="0"/>
            <wp:docPr descr="Рис. 6: Назначение интерфейсов NAT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Назначение интерфейсов NAT</w:t>
      </w:r>
    </w:p>
    <w:bookmarkEnd w:id="45"/>
    <w:bookmarkStart w:id="74" w:name="проверка-работоспособности-настроек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работоспособности настроек</w:t>
      </w:r>
    </w:p>
    <w:p>
      <w:pPr>
        <w:numPr>
          <w:ilvl w:val="0"/>
          <w:numId w:val="1002"/>
        </w:numPr>
      </w:pPr>
      <w:r>
        <w:t xml:space="preserve">Проверен доступ из сети дисплейных классов.</w:t>
      </w:r>
      <w:r>
        <w:br/>
      </w:r>
      <w:r>
        <w:t xml:space="preserve">Пользователям разрешён доступ только к образовательным ресурсам.</w:t>
      </w:r>
    </w:p>
    <w:p>
      <w:pPr>
        <w:numPr>
          <w:ilvl w:val="0"/>
          <w:numId w:val="1000"/>
        </w:numPr>
      </w:pPr>
      <w:r>
        <w:t xml:space="preserve">При обращении к сайту www.yandex.ru страница успешно загружается, что подтверждает корректную работу NAT и правил доступа.</w:t>
      </w:r>
    </w:p>
    <w:p>
      <w:pPr>
        <w:numPr>
          <w:ilvl w:val="0"/>
          <w:numId w:val="1000"/>
        </w:numPr>
        <w:pStyle w:val="CaptionedFigure"/>
      </w:pPr>
      <w:bookmarkStart w:id="49" w:name="fig:010"/>
      <w:r>
        <w:drawing>
          <wp:inline>
            <wp:extent cx="4812631" cy="3975233"/>
            <wp:effectExtent b="0" l="0" r="0" t="0"/>
            <wp:docPr descr="Рис. 7: Доступ к www.yandex.ru из сети дисплейных классов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1" cy="397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Доступ к www.yandex.ru из сети дисплейных классов</w:t>
      </w:r>
    </w:p>
    <w:p>
      <w:pPr>
        <w:numPr>
          <w:ilvl w:val="0"/>
          <w:numId w:val="1002"/>
        </w:numPr>
      </w:pPr>
      <w:r>
        <w:t xml:space="preserve">Также из сети дисплейных классов выполнена проверка доступа к сайту stud.rudn.university.</w:t>
      </w:r>
      <w:r>
        <w:br/>
      </w:r>
      <w:r>
        <w:t xml:space="preserve">Доступ разрешён, страница успешно открывается.</w:t>
      </w:r>
    </w:p>
    <w:p>
      <w:pPr>
        <w:numPr>
          <w:ilvl w:val="0"/>
          <w:numId w:val="1000"/>
        </w:numPr>
        <w:pStyle w:val="CaptionedFigure"/>
      </w:pPr>
      <w:bookmarkStart w:id="53" w:name="fig:011"/>
      <w:r>
        <w:drawing>
          <wp:inline>
            <wp:extent cx="5334000" cy="2822834"/>
            <wp:effectExtent b="0" l="0" r="0" t="0"/>
            <wp:docPr descr="Рис. 8: Доступ к stud.rudn.university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2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Доступ к stud.rudn.university</w:t>
      </w:r>
    </w:p>
    <w:p>
      <w:pPr>
        <w:numPr>
          <w:ilvl w:val="0"/>
          <w:numId w:val="1002"/>
        </w:numPr>
      </w:pPr>
      <w:r>
        <w:t xml:space="preserve">Попытка доступа к другим сайтам (например, www.rudn.ru) из сети дисплейных классов завершилась ошибкой (Request Timeout), что подтверждает корректную фильтрацию трафика.</w:t>
      </w:r>
    </w:p>
    <w:p>
      <w:pPr>
        <w:numPr>
          <w:ilvl w:val="0"/>
          <w:numId w:val="1000"/>
        </w:numPr>
        <w:pStyle w:val="CaptionedFigure"/>
      </w:pPr>
      <w:bookmarkStart w:id="57" w:name="fig:012"/>
      <w:r>
        <w:drawing>
          <wp:inline>
            <wp:extent cx="5334000" cy="3368371"/>
            <wp:effectExtent b="0" l="0" r="0" t="0"/>
            <wp:docPr descr="Рис. 9: Запрет доступа к сторонним сайтам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Запрет доступа к сторонним сайтам</w:t>
      </w:r>
    </w:p>
    <w:p>
      <w:pPr>
        <w:numPr>
          <w:ilvl w:val="0"/>
          <w:numId w:val="1002"/>
        </w:numPr>
      </w:pPr>
      <w:r>
        <w:t xml:space="preserve">Проверен доступ из сети кафедр.</w:t>
      </w:r>
      <w:r>
        <w:br/>
      </w:r>
      <w:r>
        <w:t xml:space="preserve">Пользователям разрешён доступ только к образовательной системе esystem.pfur.ru.</w:t>
      </w:r>
      <w:r>
        <w:br/>
      </w:r>
      <w:r>
        <w:t xml:space="preserve">При обращении к данному ресурсу страница успешно загружается.</w:t>
      </w:r>
    </w:p>
    <w:p>
      <w:pPr>
        <w:numPr>
          <w:ilvl w:val="0"/>
          <w:numId w:val="1000"/>
        </w:numPr>
        <w:pStyle w:val="CaptionedFigure"/>
      </w:pPr>
      <w:bookmarkStart w:id="61" w:name="fig:013"/>
      <w:r>
        <w:drawing>
          <wp:inline>
            <wp:extent cx="5334000" cy="3354828"/>
            <wp:effectExtent b="0" l="0" r="0" t="0"/>
            <wp:docPr descr="Рис. 10: Доступ к esystem.pfur.ru из сети кафедр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Доступ к esystem.pfur.ru из сети кафедр</w:t>
      </w:r>
    </w:p>
    <w:p>
      <w:pPr>
        <w:numPr>
          <w:ilvl w:val="0"/>
          <w:numId w:val="1002"/>
        </w:numPr>
      </w:pPr>
      <w:r>
        <w:t xml:space="preserve">Проверен доступ из сети администрации.</w:t>
      </w:r>
      <w:r>
        <w:br/>
      </w:r>
      <w:r>
        <w:t xml:space="preserve">Пользователям разрешён доступ только к сайту университета www.rudn.ru.</w:t>
      </w:r>
      <w:r>
        <w:br/>
      </w:r>
      <w:r>
        <w:t xml:space="preserve">Доступ к ресурсу успешно осуществляется.</w:t>
      </w:r>
    </w:p>
    <w:p>
      <w:pPr>
        <w:numPr>
          <w:ilvl w:val="0"/>
          <w:numId w:val="1000"/>
        </w:numPr>
        <w:pStyle w:val="CaptionedFigure"/>
      </w:pPr>
      <w:bookmarkStart w:id="65" w:name="fig:014"/>
      <w:r>
        <w:drawing>
          <wp:inline>
            <wp:extent cx="5334000" cy="3323698"/>
            <wp:effectExtent b="0" l="0" r="0" t="0"/>
            <wp:docPr descr="Рис. 11: Доступ к www.rudn.ru из сети администрации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3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Доступ к www.rudn.ru из сети администрации</w:t>
      </w:r>
    </w:p>
    <w:p>
      <w:pPr>
        <w:numPr>
          <w:ilvl w:val="0"/>
          <w:numId w:val="1002"/>
        </w:numPr>
      </w:pPr>
      <w:r>
        <w:t xml:space="preserve">Проверка сети прочих пользователей показала, что доступ в Интернет для них ограничен.</w:t>
      </w:r>
      <w:r>
        <w:br/>
      </w:r>
      <w:r>
        <w:t xml:space="preserve">При попытке открыть сайт возникает ошибка разрешения имени (Host Name Unresolved), что указывает на отсутствие выхода во внешнюю сеть.</w:t>
      </w:r>
    </w:p>
    <w:p>
      <w:pPr>
        <w:numPr>
          <w:ilvl w:val="0"/>
          <w:numId w:val="1000"/>
        </w:numPr>
        <w:pStyle w:val="CaptionedFigure"/>
      </w:pPr>
      <w:bookmarkStart w:id="69" w:name="fig:015"/>
      <w:r>
        <w:drawing>
          <wp:inline>
            <wp:extent cx="5334000" cy="2269407"/>
            <wp:effectExtent b="0" l="0" r="0" t="0"/>
            <wp:docPr descr="Рис. 12: Отсутствие доступа в Интернет у прочих пользователей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9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Отсутствие доступа в Интернет у прочих пользователей</w:t>
      </w:r>
    </w:p>
    <w:p>
      <w:pPr>
        <w:numPr>
          <w:ilvl w:val="0"/>
          <w:numId w:val="1002"/>
        </w:numPr>
      </w:pPr>
      <w:r>
        <w:t xml:space="preserve">Проверен доступ для компьютера администратора.</w:t>
      </w:r>
      <w:r>
        <w:br/>
      </w:r>
      <w:r>
        <w:t xml:space="preserve">Устройство имеет полный доступ во внешнюю сеть, что подтверждается успешной загрузкой сайта www.rudn.ru.</w:t>
      </w:r>
    </w:p>
    <w:p>
      <w:pPr>
        <w:numPr>
          <w:ilvl w:val="0"/>
          <w:numId w:val="1000"/>
        </w:numPr>
        <w:pStyle w:val="CaptionedFigure"/>
      </w:pPr>
      <w:bookmarkStart w:id="73" w:name="fig:016"/>
      <w:r>
        <w:drawing>
          <wp:inline>
            <wp:extent cx="5334000" cy="3221700"/>
            <wp:effectExtent b="0" l="0" r="0" t="0"/>
            <wp:docPr descr="Рис. 13: Полный доступ администратора к сети Интернет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Полный доступ администратора к сети Интернет</w:t>
      </w:r>
    </w:p>
    <w:bookmarkEnd w:id="74"/>
    <w:bookmarkStart w:id="95" w:name="Xf7517e4b6ef2d6f3277ef4eda8e9ddfe28a1ec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доступности серверов из внешней сети</w:t>
      </w:r>
    </w:p>
    <w:p>
      <w:pPr>
        <w:numPr>
          <w:ilvl w:val="0"/>
          <w:numId w:val="1003"/>
        </w:numPr>
      </w:pPr>
      <w:r>
        <w:t xml:space="preserve">Проверена сетевая связность внешнего клиента с сетью провайдера.</w:t>
      </w:r>
      <w:r>
        <w:br/>
      </w:r>
      <w:r>
        <w:t xml:space="preserve">Узел получил IP-адрес из внешней сети и настроенный шлюз, что позволяет выполнять обращения к опубликованным сервисам.</w:t>
      </w:r>
    </w:p>
    <w:p>
      <w:pPr>
        <w:numPr>
          <w:ilvl w:val="0"/>
          <w:numId w:val="1000"/>
        </w:numPr>
        <w:pStyle w:val="CaptionedFigure"/>
      </w:pPr>
      <w:bookmarkStart w:id="78" w:name="fig:017"/>
      <w:r>
        <w:drawing>
          <wp:inline>
            <wp:extent cx="5334000" cy="3009635"/>
            <wp:effectExtent b="0" l="0" r="0" t="0"/>
            <wp:docPr descr="Рис. 14: Параметры внешнего клиента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Параметры внешнего клиента</w:t>
      </w:r>
    </w:p>
    <w:p>
      <w:pPr>
        <w:numPr>
          <w:ilvl w:val="0"/>
          <w:numId w:val="1003"/>
        </w:numPr>
      </w:pPr>
      <w:r>
        <w:t xml:space="preserve">Проверена доступность WEB-сервера по протоколу HTTP (порт 80).</w:t>
      </w:r>
      <w:r>
        <w:br/>
      </w:r>
      <w:r>
        <w:t xml:space="preserve">При обращении по внешнему IP-адресу 198.51.100.2 страница успешно загружается, что подтверждает корректную настройку статического NAT для веб-сервиса.</w:t>
      </w:r>
    </w:p>
    <w:p>
      <w:pPr>
        <w:numPr>
          <w:ilvl w:val="0"/>
          <w:numId w:val="1000"/>
        </w:numPr>
        <w:pStyle w:val="CaptionedFigure"/>
      </w:pPr>
      <w:bookmarkStart w:id="82" w:name="fig:018"/>
      <w:r>
        <w:drawing>
          <wp:inline>
            <wp:extent cx="5334000" cy="3589149"/>
            <wp:effectExtent b="0" l="0" r="0" t="0"/>
            <wp:docPr descr="Рис. 15: Доступ к WEB-серверу по HTTP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Доступ к WEB-серверу по HTTP</w:t>
      </w:r>
    </w:p>
    <w:p>
      <w:pPr>
        <w:numPr>
          <w:ilvl w:val="0"/>
          <w:numId w:val="1003"/>
        </w:numPr>
      </w:pPr>
      <w:r>
        <w:t xml:space="preserve">Проверена доступность файлового сервера по протоколу FTP (порты 20 и 21).</w:t>
      </w:r>
      <w:r>
        <w:br/>
      </w:r>
      <w:r>
        <w:t xml:space="preserve">Установлено соединение с сервером 198.51.100.3, выполнена аутентификация пользователя, что подтверждает корректную работу проброса портов FTP.</w:t>
      </w:r>
    </w:p>
    <w:p>
      <w:pPr>
        <w:numPr>
          <w:ilvl w:val="0"/>
          <w:numId w:val="1000"/>
        </w:numPr>
        <w:pStyle w:val="CaptionedFigure"/>
      </w:pPr>
      <w:bookmarkStart w:id="86" w:name="fig:019"/>
      <w:r>
        <w:drawing>
          <wp:inline>
            <wp:extent cx="4706753" cy="2444816"/>
            <wp:effectExtent b="0" l="0" r="0" t="0"/>
            <wp:docPr descr="Рис. 16: Подключение к FTP-серверу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53" cy="244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Подключение к FTP-серверу</w:t>
      </w:r>
    </w:p>
    <w:p>
      <w:pPr>
        <w:numPr>
          <w:ilvl w:val="0"/>
          <w:numId w:val="1003"/>
        </w:numPr>
      </w:pPr>
      <w:r>
        <w:t xml:space="preserve">Проверена настройка почтового клиента для взаимодействия с почтовым сервером.</w:t>
      </w:r>
      <w:r>
        <w:br/>
      </w:r>
      <w:r>
        <w:t xml:space="preserve">В качестве входящего и исходящего сервера указан адрес 198.51.100.4, что соответствует настройкам NAT.</w:t>
      </w:r>
    </w:p>
    <w:p>
      <w:pPr>
        <w:numPr>
          <w:ilvl w:val="0"/>
          <w:numId w:val="1000"/>
        </w:numPr>
        <w:pStyle w:val="CaptionedFigure"/>
      </w:pPr>
      <w:bookmarkStart w:id="90" w:name="fig:020"/>
      <w:r>
        <w:drawing>
          <wp:inline>
            <wp:extent cx="5334000" cy="3988904"/>
            <wp:effectExtent b="0" l="0" r="0" t="0"/>
            <wp:docPr descr="Рис. 17: Настройка почтового клиента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Настройка почтового клиента</w:t>
      </w:r>
    </w:p>
    <w:p>
      <w:pPr>
        <w:numPr>
          <w:ilvl w:val="0"/>
          <w:numId w:val="1003"/>
        </w:numPr>
      </w:pPr>
      <w:r>
        <w:t xml:space="preserve">Проверена работа почтового сервера по протоколам SMTP (порт 25) и POP3 (порт 110).</w:t>
      </w:r>
      <w:r>
        <w:br/>
      </w:r>
      <w:r>
        <w:t xml:space="preserve">Выполнено получение почты, сообщение успешно доставлено, что подтверждает доступность почтового сервера из внешней сети.</w:t>
      </w:r>
    </w:p>
    <w:p>
      <w:pPr>
        <w:numPr>
          <w:ilvl w:val="0"/>
          <w:numId w:val="1000"/>
        </w:numPr>
        <w:pStyle w:val="CaptionedFigure"/>
      </w:pPr>
      <w:bookmarkStart w:id="94" w:name="fig:021"/>
      <w:r>
        <w:drawing>
          <wp:inline>
            <wp:extent cx="5334000" cy="5633867"/>
            <wp:effectExtent b="0" l="0" r="0" t="0"/>
            <wp:docPr descr="Рис. 18: Получение почты с сервера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3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numPr>
          <w:ilvl w:val="0"/>
          <w:numId w:val="1000"/>
        </w:numPr>
        <w:pStyle w:val="ImageCaption"/>
      </w:pPr>
      <w:r>
        <w:t xml:space="preserve">Рис. 18: Получение почты с сервера</w:t>
      </w:r>
    </w:p>
    <w:bookmarkEnd w:id="95"/>
    <w:bookmarkEnd w:id="96"/>
    <w:bookmarkStart w:id="9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сеть организации с подключением к провайдеру и реализована трансляция сетевых адресов (NAT) на маршрутизаторе.</w:t>
      </w:r>
      <w:r>
        <w:br/>
      </w:r>
      <w:r>
        <w:t xml:space="preserve">Настроены интерфейсы оборудования, маршрутизация и правила доступа, обеспечивающие взаимодействие локальной сети с внешней сетью.</w:t>
      </w:r>
    </w:p>
    <w:p>
      <w:pPr>
        <w:pStyle w:val="BodyText"/>
      </w:pPr>
      <w:r>
        <w:t xml:space="preserve">Реализована динамическая трансляция адресов (PAT), позволяющая нескольким внутренним узлам использовать ограниченное количество внешних IP-адресов. Также настроены статические преобразования для публикации внутренних серверов во внешнюю сеть.</w:t>
      </w:r>
    </w:p>
    <w:p>
      <w:pPr>
        <w:pStyle w:val="BodyText"/>
      </w:pPr>
      <w:r>
        <w:t xml:space="preserve">Проведена настройка списков доступа (ACL), ограничивающих доступ пользователей к внешним ресурсам в соответствии с заданной политикой безопасности. Установлено, что:</w:t>
      </w:r>
      <w:r>
        <w:t xml:space="preserve"> </w:t>
      </w:r>
      <w:r>
        <w:t xml:space="preserve">- пользователи различных подсетей имеют доступ только к разрешённым ресурсам;</w:t>
      </w:r>
      <w:r>
        <w:t xml:space="preserve"> </w:t>
      </w:r>
      <w:r>
        <w:t xml:space="preserve">- запрещённые соединения блокируются;</w:t>
      </w:r>
      <w:r>
        <w:t xml:space="preserve"> </w:t>
      </w:r>
      <w:r>
        <w:t xml:space="preserve">- серверы организации доступны извне только по заданным портам.</w:t>
      </w:r>
    </w:p>
    <w:p>
      <w:pPr>
        <w:pStyle w:val="BodyText"/>
      </w:pPr>
      <w:r>
        <w:t xml:space="preserve">Проверка показала корректную работу NAT, маршрутизации и механизмов фильтрации трафика.</w:t>
      </w:r>
    </w:p>
    <w:bookmarkEnd w:id="97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В чём состоит основной принцип работы NAT (что даёт наличие NAT в сети организации)?</w:t>
      </w:r>
      <w:r>
        <w:br/>
      </w:r>
      <w:r>
        <w:t xml:space="preserve">NAT (Network Address Translation) — это механизм преобразования IP-адресов, при котором внутренние (частные) адреса сети заменяются на внешние (публичные) при выходе в Интернет.</w:t>
      </w:r>
      <w:r>
        <w:br/>
      </w:r>
      <w:r>
        <w:t xml:space="preserve">Это позволяет:</w:t>
      </w:r>
    </w:p>
    <w:p>
      <w:pPr>
        <w:numPr>
          <w:ilvl w:val="1"/>
          <w:numId w:val="1005"/>
        </w:numPr>
        <w:pStyle w:val="Compact"/>
      </w:pPr>
      <w:r>
        <w:t xml:space="preserve">экономить публичные IP-адреса;</w:t>
      </w:r>
    </w:p>
    <w:p>
      <w:pPr>
        <w:numPr>
          <w:ilvl w:val="1"/>
          <w:numId w:val="1005"/>
        </w:numPr>
        <w:pStyle w:val="Compact"/>
      </w:pPr>
      <w:r>
        <w:t xml:space="preserve">скрывать внутреннюю структуру сети;</w:t>
      </w:r>
    </w:p>
    <w:p>
      <w:pPr>
        <w:numPr>
          <w:ilvl w:val="1"/>
          <w:numId w:val="1005"/>
        </w:numPr>
        <w:pStyle w:val="Compact"/>
      </w:pPr>
      <w:r>
        <w:t xml:space="preserve">обеспечивать дополнительный уровень безопасности за счёт недоступности внутренних узлов напрямую.</w:t>
      </w:r>
    </w:p>
    <w:p>
      <w:pPr>
        <w:numPr>
          <w:ilvl w:val="0"/>
          <w:numId w:val="1004"/>
        </w:numPr>
      </w:pPr>
      <w:r>
        <w:t xml:space="preserve">В чём состоит принцип настройки NAT (на каком оборудовании и что нужно настроить для выхода из локальной сети во внешнюю сеть через NAT)?</w:t>
      </w:r>
      <w:r>
        <w:br/>
      </w:r>
      <w:r>
        <w:t xml:space="preserve">NAT настраивается на маршрутизаторе, который соединяет локальную и внешнюю сеть.</w:t>
      </w:r>
      <w:r>
        <w:br/>
      </w:r>
      <w:r>
        <w:t xml:space="preserve">Для настройки необходимо:</w:t>
      </w:r>
    </w:p>
    <w:p>
      <w:pPr>
        <w:numPr>
          <w:ilvl w:val="1"/>
          <w:numId w:val="1006"/>
        </w:numPr>
        <w:pStyle w:val="Compact"/>
      </w:pPr>
      <w:r>
        <w:t xml:space="preserve">определить внутренние (inside) и внешние (outside) интерфейсы;</w:t>
      </w:r>
    </w:p>
    <w:p>
      <w:pPr>
        <w:numPr>
          <w:ilvl w:val="1"/>
          <w:numId w:val="1006"/>
        </w:numPr>
        <w:pStyle w:val="Compact"/>
      </w:pPr>
      <w:r>
        <w:t xml:space="preserve">создать список доступа (ACL), определяющий трафик для трансляции;</w:t>
      </w:r>
    </w:p>
    <w:p>
      <w:pPr>
        <w:numPr>
          <w:ilvl w:val="1"/>
          <w:numId w:val="1006"/>
        </w:numPr>
        <w:pStyle w:val="Compact"/>
      </w:pPr>
      <w:r>
        <w:t xml:space="preserve">настроить правило NAT (статическое или динамическое);</w:t>
      </w:r>
    </w:p>
    <w:p>
      <w:pPr>
        <w:numPr>
          <w:ilvl w:val="1"/>
          <w:numId w:val="1006"/>
        </w:numPr>
        <w:pStyle w:val="Compact"/>
      </w:pPr>
      <w:r>
        <w:t xml:space="preserve">при необходимости задать пул внешних IP-адресов или использовать перегрузку (PAT).</w:t>
      </w:r>
    </w:p>
    <w:p>
      <w:pPr>
        <w:numPr>
          <w:ilvl w:val="0"/>
          <w:numId w:val="1004"/>
        </w:numPr>
      </w:pPr>
      <w:r>
        <w:t xml:space="preserve">Можно ли применить Cisco IOS NAT к субинтерфейсам?</w:t>
      </w:r>
      <w:r>
        <w:br/>
      </w:r>
      <w:r>
        <w:t xml:space="preserve">Да, NAT в Cisco IOS можно применять к субинтерфейсам.</w:t>
      </w:r>
      <w:r>
        <w:br/>
      </w:r>
      <w:r>
        <w:t xml:space="preserve">Это позволяет использовать NAT в сетях с VLAN (например, при использовании router-on-a-stick), где каждый VLAN представлен отдельным подинтерфейсом.</w:t>
      </w:r>
    </w:p>
    <w:p>
      <w:pPr>
        <w:numPr>
          <w:ilvl w:val="0"/>
          <w:numId w:val="1004"/>
        </w:numPr>
      </w:pPr>
      <w:r>
        <w:t xml:space="preserve">Что такое пулы IP NAT?</w:t>
      </w:r>
      <w:r>
        <w:br/>
      </w:r>
      <w:r>
        <w:t xml:space="preserve">Пул IP NAT — это диапазон публичных IP-адресов, который используется для динамической трансляции внутренних адресов.</w:t>
      </w:r>
      <w:r>
        <w:br/>
      </w:r>
      <w:r>
        <w:t xml:space="preserve">При выходе во внешнюю сеть внутренним узлам временно назначается один из адресов из пула.</w:t>
      </w:r>
    </w:p>
    <w:p>
      <w:pPr>
        <w:numPr>
          <w:ilvl w:val="0"/>
          <w:numId w:val="1004"/>
        </w:numPr>
      </w:pPr>
      <w:r>
        <w:t xml:space="preserve">Что такое статические преобразования NAT?</w:t>
      </w:r>
      <w:r>
        <w:br/>
      </w:r>
      <w:r>
        <w:t xml:space="preserve">Статическое преобразование NAT — это постоянное сопоставление внутреннего IP-адреса с внешним IP-адресом (или портом).</w:t>
      </w:r>
      <w:r>
        <w:br/>
      </w:r>
      <w:r>
        <w:t xml:space="preserve">Используется для публикации серверов во внешнюю сеть, обеспечивая доступ к ним извне по фиксированному адресу или порту.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Абрикосов Артем</dc:creator>
  <dc:language>ru-RU</dc:language>
  <cp:keywords/>
  <dcterms:created xsi:type="dcterms:W3CDTF">2026-04-27T09:01:19Z</dcterms:created>
  <dcterms:modified xsi:type="dcterms:W3CDTF">2026-04-27T09:01:19Z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