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58.png" ContentType="image/png"/>
  <Override PartName="/word/media/rId62.png" ContentType="image/png"/>
  <Override PartName="/word/media/rId25.png" ContentType="image/png"/>
  <Override PartName="/word/media/rId29.png" ContentType="image/png"/>
  <Override PartName="/word/media/rId33.png" ContentType="image/png"/>
  <Override PartName="/word/media/rId37.png" ContentType="image/png"/>
  <Override PartName="/word/media/rId42.png" ContentType="image/png"/>
  <Override PartName="/word/media/rId46.png" ContentType="image/png"/>
  <Override PartName="/word/media/rId50.png" ContentType="image/png"/>
  <Override PartName="/word/media/rId5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</w:t>
      </w:r>
      <w:r>
        <w:t xml:space="preserve"> </w:t>
      </w:r>
      <w:r>
        <w:t xml:space="preserve">по</w:t>
      </w:r>
      <w:r>
        <w:t xml:space="preserve"> </w:t>
      </w:r>
      <w:r>
        <w:t xml:space="preserve">лабораторной</w:t>
      </w:r>
      <w:r>
        <w:t xml:space="preserve"> </w:t>
      </w:r>
      <w:r>
        <w:t xml:space="preserve">работе</w:t>
      </w:r>
      <w:r>
        <w:t xml:space="preserve"> </w:t>
      </w:r>
      <w:r>
        <w:t xml:space="preserve">13</w:t>
      </w:r>
    </w:p>
    <w:p>
      <w:pPr>
        <w:pStyle w:val="Subtitle"/>
      </w:pPr>
      <w:r>
        <w:t xml:space="preserve">Статическая</w:t>
      </w:r>
      <w:r>
        <w:t xml:space="preserve"> </w:t>
      </w:r>
      <w:r>
        <w:t xml:space="preserve">маршрутизация</w:t>
      </w:r>
      <w:r>
        <w:t xml:space="preserve"> </w:t>
      </w:r>
      <w:r>
        <w:t xml:space="preserve">в</w:t>
      </w:r>
      <w:r>
        <w:t xml:space="preserve"> </w:t>
      </w:r>
      <w:r>
        <w:t xml:space="preserve">Интернете.</w:t>
      </w:r>
      <w:r>
        <w:t xml:space="preserve"> </w:t>
      </w:r>
      <w:r>
        <w:t xml:space="preserve">Планирование</w:t>
      </w:r>
    </w:p>
    <w:p>
      <w:pPr>
        <w:pStyle w:val="Author"/>
      </w:pPr>
      <w:r>
        <w:t xml:space="preserve">Абрикосов</w:t>
      </w:r>
      <w:r>
        <w:t xml:space="preserve"> </w:t>
      </w:r>
      <w:r>
        <w:t xml:space="preserve">Артем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Провести подготовительные мероприятия по организации взаимодействия через сеть провайдера посредством статической маршрутизации локальной сети с сетью основного здания, расположенного в 42-м квартале в Москве, и сетью филиала, расположенного в г. Сочи.</w:t>
      </w:r>
    </w:p>
    <w:bookmarkEnd w:id="20"/>
    <w:bookmarkStart w:id="71" w:name="выполнение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Выполнение</w:t>
      </w:r>
    </w:p>
    <w:bookmarkStart w:id="41" w:name="дополнение-схемы-проекта"/>
    <w:p>
      <w:pPr>
        <w:pStyle w:val="Heading2"/>
      </w:pPr>
      <w:r>
        <w:rPr>
          <w:rStyle w:val="SectionNumber"/>
        </w:rPr>
        <w:t xml:space="preserve">2.1</w:t>
      </w:r>
      <w:r>
        <w:tab/>
      </w:r>
      <w:r>
        <w:t xml:space="preserve">Дополнение схемы проекта</w:t>
      </w:r>
    </w:p>
    <w:p>
      <w:pPr>
        <w:numPr>
          <w:ilvl w:val="0"/>
          <w:numId w:val="1001"/>
        </w:numPr>
      </w:pPr>
      <w:r>
        <w:t xml:space="preserve">Открыт ранее созданный проект Cisco Packet Tracer и выполнено дополнение общей схемы сети.</w:t>
      </w:r>
      <w:r>
        <w:br/>
      </w:r>
      <w:r>
        <w:t xml:space="preserve">В состав проекта добавлены подсеть основной территории организации 42-го квартала в Москве и подсеть филиала в г. Сочи.</w:t>
      </w:r>
      <w:r>
        <w:br/>
      </w:r>
      <w:r>
        <w:t xml:space="preserve">После расширения топологии в проекте представлены маршрутизаторы, коммутаторы, рабочие станции, серверы и линии связи между отдельными сегментами сети.</w:t>
      </w:r>
    </w:p>
    <w:p>
      <w:pPr>
        <w:numPr>
          <w:ilvl w:val="0"/>
          <w:numId w:val="1000"/>
        </w:numPr>
        <w:pStyle w:val="CaptionedFigure"/>
      </w:pPr>
      <w:bookmarkStart w:id="24" w:name="fig:001"/>
      <w:r>
        <w:drawing>
          <wp:inline>
            <wp:extent cx="5334000" cy="3449377"/>
            <wp:effectExtent b="0" l="0" r="0" t="0"/>
            <wp:docPr descr="Рис. 1: Общая схема проекта после добавления новых подсетей" title="" id="22" name="Picture"/>
            <a:graphic>
              <a:graphicData uri="http://schemas.openxmlformats.org/drawingml/2006/picture">
                <pic:pic>
                  <pic:nvPicPr>
                    <pic:cNvPr descr="Screenshot_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44937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24"/>
    </w:p>
    <w:p>
      <w:pPr>
        <w:numPr>
          <w:ilvl w:val="0"/>
          <w:numId w:val="1000"/>
        </w:numPr>
        <w:pStyle w:val="ImageCaption"/>
      </w:pPr>
      <w:r>
        <w:t xml:space="preserve">Рис. 1: Общая схема проекта после добавления новых подсетей</w:t>
      </w:r>
    </w:p>
    <w:p>
      <w:pPr>
        <w:numPr>
          <w:ilvl w:val="0"/>
          <w:numId w:val="1001"/>
        </w:numPr>
      </w:pPr>
      <w:r>
        <w:t xml:space="preserve">В физическом режиме выполнено размещение двух территориально распределенных площадок: основной территории организации в Москве и филиала в г. Сочи.</w:t>
      </w:r>
      <w:r>
        <w:br/>
      </w:r>
      <w:r>
        <w:t xml:space="preserve">Между площадками организован канал связи, обеспечивающий их включение в единую корпоративную сеть.</w:t>
      </w:r>
    </w:p>
    <w:p>
      <w:pPr>
        <w:numPr>
          <w:ilvl w:val="0"/>
          <w:numId w:val="1000"/>
        </w:numPr>
        <w:pStyle w:val="CaptionedFigure"/>
      </w:pPr>
      <w:bookmarkStart w:id="28" w:name="fig:002"/>
      <w:r>
        <w:drawing>
          <wp:inline>
            <wp:extent cx="4957010" cy="3513221"/>
            <wp:effectExtent b="0" l="0" r="0" t="0"/>
            <wp:docPr descr="Рис. 2: Физическое размещение основной площадки в Москве и филиала в Сочи" title="" id="26" name="Picture"/>
            <a:graphic>
              <a:graphicData uri="http://schemas.openxmlformats.org/drawingml/2006/picture">
                <pic:pic>
                  <pic:nvPicPr>
                    <pic:cNvPr descr="Screenshot_2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7010" cy="351322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28"/>
    </w:p>
    <w:p>
      <w:pPr>
        <w:numPr>
          <w:ilvl w:val="0"/>
          <w:numId w:val="1000"/>
        </w:numPr>
        <w:pStyle w:val="ImageCaption"/>
      </w:pPr>
      <w:r>
        <w:t xml:space="preserve">Рис. 2: Физическое размещение основной площадки в Москве и филиала в Сочи</w:t>
      </w:r>
    </w:p>
    <w:p>
      <w:pPr>
        <w:numPr>
          <w:ilvl w:val="0"/>
          <w:numId w:val="1001"/>
        </w:numPr>
      </w:pPr>
      <w:r>
        <w:t xml:space="preserve">Для основной территории организации 42-го квартала в Москве построена физическая структура подсети.</w:t>
      </w:r>
      <w:r>
        <w:br/>
      </w:r>
      <w:r>
        <w:t xml:space="preserve">На схеме размещены отдельные объекты квартала, между которыми организованы соединения, что позволило сформировать распределенную локальную сеть основной территории.</w:t>
      </w:r>
    </w:p>
    <w:p>
      <w:pPr>
        <w:numPr>
          <w:ilvl w:val="0"/>
          <w:numId w:val="1000"/>
        </w:numPr>
        <w:pStyle w:val="CaptionedFigure"/>
      </w:pPr>
      <w:bookmarkStart w:id="32" w:name="fig:003"/>
      <w:r>
        <w:drawing>
          <wp:inline>
            <wp:extent cx="4899258" cy="3561347"/>
            <wp:effectExtent b="0" l="0" r="0" t="0"/>
            <wp:docPr descr="Рис. 3: Физическая схема подсети основной территории организации 42-го квартала в Москве" title="" id="30" name="Picture"/>
            <a:graphic>
              <a:graphicData uri="http://schemas.openxmlformats.org/drawingml/2006/picture">
                <pic:pic>
                  <pic:nvPicPr>
                    <pic:cNvPr descr="Screenshot_3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99258" cy="356134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32"/>
    </w:p>
    <w:p>
      <w:pPr>
        <w:numPr>
          <w:ilvl w:val="0"/>
          <w:numId w:val="1000"/>
        </w:numPr>
        <w:pStyle w:val="ImageCaption"/>
      </w:pPr>
      <w:r>
        <w:t xml:space="preserve">Рис. 3: Физическая схема подсети основной территории организации 42-го квартала в Москве</w:t>
      </w:r>
    </w:p>
    <w:p>
      <w:pPr>
        <w:numPr>
          <w:ilvl w:val="0"/>
          <w:numId w:val="1001"/>
        </w:numPr>
      </w:pPr>
      <w:r>
        <w:t xml:space="preserve">Выполнено построение локального сегмента сети основной территории.</w:t>
      </w:r>
      <w:r>
        <w:br/>
      </w:r>
      <w:r>
        <w:t xml:space="preserve">В схему добавлены маршрутизатор, коммутатор и оконечные устройства, соединенные в единую подсеть.</w:t>
      </w:r>
      <w:r>
        <w:br/>
      </w:r>
      <w:r>
        <w:t xml:space="preserve">Для устройств настроены параметры подключения и адресация в соответствии с исходными данными раздела 13.4.1.</w:t>
      </w:r>
    </w:p>
    <w:p>
      <w:pPr>
        <w:numPr>
          <w:ilvl w:val="0"/>
          <w:numId w:val="1000"/>
        </w:numPr>
        <w:pStyle w:val="CaptionedFigure"/>
      </w:pPr>
      <w:bookmarkStart w:id="36" w:name="fig:004"/>
      <w:r>
        <w:drawing>
          <wp:inline>
            <wp:extent cx="5334000" cy="3433980"/>
            <wp:effectExtent b="0" l="0" r="0" t="0"/>
            <wp:docPr descr="Рис. 4: Подсеть основной территории организации" title="" id="34" name="Picture"/>
            <a:graphic>
              <a:graphicData uri="http://schemas.openxmlformats.org/drawingml/2006/picture">
                <pic:pic>
                  <pic:nvPicPr>
                    <pic:cNvPr descr="Screenshot_4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43398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36"/>
    </w:p>
    <w:p>
      <w:pPr>
        <w:numPr>
          <w:ilvl w:val="0"/>
          <w:numId w:val="1000"/>
        </w:numPr>
        <w:pStyle w:val="ImageCaption"/>
      </w:pPr>
      <w:r>
        <w:t xml:space="preserve">Рис. 4: Подсеть основной территории организации</w:t>
      </w:r>
    </w:p>
    <w:p>
      <w:pPr>
        <w:numPr>
          <w:ilvl w:val="0"/>
          <w:numId w:val="1001"/>
        </w:numPr>
      </w:pPr>
      <w:r>
        <w:t xml:space="preserve">Аналогичным образом добавлена подсеть филиала в г. Сочи.</w:t>
      </w:r>
      <w:r>
        <w:br/>
      </w:r>
      <w:r>
        <w:t xml:space="preserve">В состав подсети включены сетевые устройства и рабочая станция, подключенные через коммутатор и маршрутизатор.</w:t>
      </w:r>
      <w:r>
        <w:br/>
      </w:r>
      <w:r>
        <w:t xml:space="preserve">Для узлов филиала заданы необходимые сетевые параметры, обеспечивающие их взаимодействие с общей сетью проекта.</w:t>
      </w:r>
    </w:p>
    <w:p>
      <w:pPr>
        <w:numPr>
          <w:ilvl w:val="0"/>
          <w:numId w:val="1000"/>
        </w:numPr>
        <w:pStyle w:val="CaptionedFigure"/>
      </w:pPr>
      <w:bookmarkStart w:id="40" w:name="fig:005"/>
      <w:r>
        <w:drawing>
          <wp:inline>
            <wp:extent cx="5334000" cy="2141681"/>
            <wp:effectExtent b="0" l="0" r="0" t="0"/>
            <wp:docPr descr="Рис. 5: Подсеть филиала организации в г. Сочи" title="" id="38" name="Picture"/>
            <a:graphic>
              <a:graphicData uri="http://schemas.openxmlformats.org/drawingml/2006/picture">
                <pic:pic>
                  <pic:nvPicPr>
                    <pic:cNvPr descr="Screenshot_5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14168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40"/>
    </w:p>
    <w:p>
      <w:pPr>
        <w:numPr>
          <w:ilvl w:val="0"/>
          <w:numId w:val="1000"/>
        </w:numPr>
        <w:pStyle w:val="ImageCaption"/>
      </w:pPr>
      <w:r>
        <w:t xml:space="preserve">Рис. 5: Подсеть филиала организации в г. Сочи</w:t>
      </w:r>
    </w:p>
    <w:bookmarkEnd w:id="41"/>
    <w:bookmarkStart w:id="66" w:name="X9d9c5abf20bd442ac539b79e4e5fa698be6d128"/>
    <w:p>
      <w:pPr>
        <w:pStyle w:val="Heading2"/>
      </w:pPr>
      <w:r>
        <w:rPr>
          <w:rStyle w:val="SectionNumber"/>
        </w:rPr>
        <w:t xml:space="preserve">2.2</w:t>
      </w:r>
      <w:r>
        <w:tab/>
      </w:r>
      <w:r>
        <w:t xml:space="preserve">Первоначальная настройка добавленного оборудования</w:t>
      </w:r>
    </w:p>
    <w:p>
      <w:pPr>
        <w:numPr>
          <w:ilvl w:val="0"/>
          <w:numId w:val="1002"/>
        </w:numPr>
      </w:pPr>
      <w:r>
        <w:t xml:space="preserve">Выполнена первоначальная настройка маршрутизатора msk-akabrikosov-gw-1, добавленного для подсети основной территории организации 42-го квартала в Москве.</w:t>
      </w:r>
      <w:r>
        <w:br/>
      </w:r>
      <w:r>
        <w:t xml:space="preserve">На устройстве задано имя msk-akabrikosov-gw-1, настроены пароли для консольного подключения и удаленного доступа по VTY-линиям.</w:t>
      </w:r>
      <w:r>
        <w:br/>
      </w:r>
      <w:r>
        <w:t xml:space="preserve">Также включен защищенный привилегированный режим с паролем cisco и выполнено шифрование паролей в конфигурации.</w:t>
      </w:r>
    </w:p>
    <w:p>
      <w:pPr>
        <w:numPr>
          <w:ilvl w:val="0"/>
          <w:numId w:val="1000"/>
        </w:numPr>
      </w:pPr>
      <w:r>
        <w:t xml:space="preserve">Дополнительно создан локальный пользователь admin с паролем cisco, задано доменное имя q42.run.edu и выполнена генерация RSA-ключей для последующего использования SSH-доступа.</w:t>
      </w:r>
      <w:r>
        <w:br/>
      </w:r>
      <w:r>
        <w:t xml:space="preserve">Для VTY-линий разрешен вход по SSH, после чего конфигурация сохранена командой write memory.</w:t>
      </w:r>
    </w:p>
    <w:p>
      <w:pPr>
        <w:numPr>
          <w:ilvl w:val="0"/>
          <w:numId w:val="1000"/>
        </w:numPr>
        <w:pStyle w:val="CaptionedFigure"/>
      </w:pPr>
      <w:bookmarkStart w:id="45" w:name="fig:006"/>
      <w:r>
        <w:drawing>
          <wp:inline>
            <wp:extent cx="5236143" cy="4639376"/>
            <wp:effectExtent b="0" l="0" r="0" t="0"/>
            <wp:docPr descr="Рис. 6: Первоначальная настройка маршрутизатора основной территории 42-го квартала" title="" id="43" name="Picture"/>
            <a:graphic>
              <a:graphicData uri="http://schemas.openxmlformats.org/drawingml/2006/picture">
                <pic:pic>
                  <pic:nvPicPr>
                    <pic:cNvPr descr="Screenshot_6.png" id="44" name="Picture"/>
                    <pic:cNvPicPr>
                      <a:picLocks noChangeArrowheads="1"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6143" cy="463937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45"/>
    </w:p>
    <w:p>
      <w:pPr>
        <w:numPr>
          <w:ilvl w:val="0"/>
          <w:numId w:val="1000"/>
        </w:numPr>
        <w:pStyle w:val="ImageCaption"/>
      </w:pPr>
      <w:r>
        <w:t xml:space="preserve">Рис. 6: Первоначальная настройка маршрутизатора основной территории 42-го квартала</w:t>
      </w:r>
    </w:p>
    <w:p>
      <w:pPr>
        <w:numPr>
          <w:ilvl w:val="0"/>
          <w:numId w:val="1002"/>
        </w:numPr>
      </w:pPr>
      <w:r>
        <w:t xml:space="preserve">Выполнена первоначальная настройка коммутатора msk-akabrikosov-sw-1, установленного в подсети основной территории организации.</w:t>
      </w:r>
      <w:r>
        <w:br/>
      </w:r>
      <w:r>
        <w:t xml:space="preserve">На коммутаторе задано имя устройства, настроены пароли для консоли и удаленного доступа, включен режим шифрования паролей и задан пароль привилегированного режима.</w:t>
      </w:r>
    </w:p>
    <w:p>
      <w:pPr>
        <w:numPr>
          <w:ilvl w:val="0"/>
          <w:numId w:val="1000"/>
        </w:numPr>
      </w:pPr>
      <w:r>
        <w:t xml:space="preserve">Для организации удаленного администрирования создан пользователь admin, указано доменное имя q42.run.edu и сгенерированы RSA-ключи.</w:t>
      </w:r>
      <w:r>
        <w:br/>
      </w:r>
      <w:r>
        <w:t xml:space="preserve">На VTY-линиях включен доступ только по SSH. После завершения настройки текущая конфигурация была сохранена в память устройства.</w:t>
      </w:r>
    </w:p>
    <w:p>
      <w:pPr>
        <w:numPr>
          <w:ilvl w:val="0"/>
          <w:numId w:val="1000"/>
        </w:numPr>
        <w:pStyle w:val="CaptionedFigure"/>
      </w:pPr>
      <w:bookmarkStart w:id="49" w:name="fig:007"/>
      <w:r>
        <w:drawing>
          <wp:inline>
            <wp:extent cx="5334000" cy="5159865"/>
            <wp:effectExtent b="0" l="0" r="0" t="0"/>
            <wp:docPr descr="Рис. 7: Первоначальная настройка коммутатора основной территории 42-го квартала" title="" id="47" name="Picture"/>
            <a:graphic>
              <a:graphicData uri="http://schemas.openxmlformats.org/drawingml/2006/picture">
                <pic:pic>
                  <pic:nvPicPr>
                    <pic:cNvPr descr="Screenshot_7.png" id="48" name="Picture"/>
                    <pic:cNvPicPr>
                      <a:picLocks noChangeArrowheads="1"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15986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49"/>
    </w:p>
    <w:p>
      <w:pPr>
        <w:numPr>
          <w:ilvl w:val="0"/>
          <w:numId w:val="1000"/>
        </w:numPr>
        <w:pStyle w:val="ImageCaption"/>
      </w:pPr>
      <w:r>
        <w:t xml:space="preserve">Рис. 7: Первоначальная настройка коммутатора основной территории 42-го квартала</w:t>
      </w:r>
    </w:p>
    <w:p>
      <w:pPr>
        <w:numPr>
          <w:ilvl w:val="0"/>
          <w:numId w:val="1002"/>
        </w:numPr>
      </w:pPr>
      <w:r>
        <w:t xml:space="preserve">Выполнена первоначальная настройка коммутатора msk-hostel-akabrikosov-sw-1, относящегося к дополнительному сегменту московской площадки.</w:t>
      </w:r>
      <w:r>
        <w:br/>
      </w:r>
      <w:r>
        <w:t xml:space="preserve">Устройству присвоено имя msk-hostel-akabrikosov-sw-1.</w:t>
      </w:r>
      <w:r>
        <w:br/>
      </w:r>
      <w:r>
        <w:t xml:space="preserve">Настроены пароль на консольный доступ, пароль на VTY-линии и пароль перехода в привилегированный режим.</w:t>
      </w:r>
    </w:p>
    <w:p>
      <w:pPr>
        <w:numPr>
          <w:ilvl w:val="0"/>
          <w:numId w:val="1000"/>
        </w:numPr>
      </w:pPr>
      <w:r>
        <w:t xml:space="preserve">Для повышения безопасности включено шифрование паролей, создан локальный пользователь admin и задано доменное имя hostel.run.edu.</w:t>
      </w:r>
      <w:r>
        <w:br/>
      </w:r>
      <w:r>
        <w:t xml:space="preserve">После генерации RSA-ключей для удаленного подключения на VTY-линиях разрешен протокол SSH.</w:t>
      </w:r>
      <w:r>
        <w:br/>
      </w:r>
      <w:r>
        <w:t xml:space="preserve">Выполнено сохранение конфигурации.</w:t>
      </w:r>
    </w:p>
    <w:p>
      <w:pPr>
        <w:numPr>
          <w:ilvl w:val="0"/>
          <w:numId w:val="1000"/>
        </w:numPr>
        <w:pStyle w:val="CaptionedFigure"/>
      </w:pPr>
      <w:bookmarkStart w:id="53" w:name="fig:008"/>
      <w:r>
        <w:drawing>
          <wp:inline>
            <wp:extent cx="5334000" cy="5123928"/>
            <wp:effectExtent b="0" l="0" r="0" t="0"/>
            <wp:docPr descr="Рис. 8: Первоначальная настройка коммутатора сегмента hostel" title="" id="51" name="Picture"/>
            <a:graphic>
              <a:graphicData uri="http://schemas.openxmlformats.org/drawingml/2006/picture">
                <pic:pic>
                  <pic:nvPicPr>
                    <pic:cNvPr descr="Screenshot_8.png" id="52" name="Picture"/>
                    <pic:cNvPicPr>
                      <a:picLocks noChangeArrowheads="1"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12392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53"/>
    </w:p>
    <w:p>
      <w:pPr>
        <w:numPr>
          <w:ilvl w:val="0"/>
          <w:numId w:val="1000"/>
        </w:numPr>
        <w:pStyle w:val="ImageCaption"/>
      </w:pPr>
      <w:r>
        <w:t xml:space="preserve">Рис. 8: Первоначальная настройка коммутатора сегмента hostel</w:t>
      </w:r>
    </w:p>
    <w:p>
      <w:pPr>
        <w:numPr>
          <w:ilvl w:val="0"/>
          <w:numId w:val="1002"/>
        </w:numPr>
      </w:pPr>
      <w:r>
        <w:t xml:space="preserve">Выполнена первоначальная настройка маршрутизатора msk-hostel-akabrikosov-gw-1.</w:t>
      </w:r>
      <w:r>
        <w:br/>
      </w:r>
      <w:r>
        <w:t xml:space="preserve">На маршрутизаторе задано имя устройства, настроены параметры локального и удаленного доступа, а также включен защищенный доступ к привилегированному режиму.</w:t>
      </w:r>
    </w:p>
    <w:p>
      <w:pPr>
        <w:numPr>
          <w:ilvl w:val="0"/>
          <w:numId w:val="1000"/>
        </w:numPr>
      </w:pPr>
      <w:r>
        <w:t xml:space="preserve">На устройстве включено шифрование паролей, создан пользователь admin с заданным секретным паролем, указано доменное имя hostel.run.edu и выполнена генерация RSA-ключей.</w:t>
      </w:r>
      <w:r>
        <w:br/>
      </w:r>
      <w:r>
        <w:t xml:space="preserve">Для удаленного управления через VTY-линии разрешено подключение по SSH.</w:t>
      </w:r>
      <w:r>
        <w:br/>
      </w:r>
      <w:r>
        <w:t xml:space="preserve">После завершения настройки конфигурация сохранена в энергонезависимую память.</w:t>
      </w:r>
    </w:p>
    <w:p>
      <w:pPr>
        <w:numPr>
          <w:ilvl w:val="0"/>
          <w:numId w:val="1000"/>
        </w:numPr>
        <w:pStyle w:val="CaptionedFigure"/>
      </w:pPr>
      <w:bookmarkStart w:id="57" w:name="fig:009"/>
      <w:r>
        <w:drawing>
          <wp:inline>
            <wp:extent cx="5334000" cy="5389370"/>
            <wp:effectExtent b="0" l="0" r="0" t="0"/>
            <wp:docPr descr="Рис. 9: Первоначальная настройка маршрутизатора сегмента hostel" title="" id="55" name="Picture"/>
            <a:graphic>
              <a:graphicData uri="http://schemas.openxmlformats.org/drawingml/2006/picture">
                <pic:pic>
                  <pic:nvPicPr>
                    <pic:cNvPr descr="Screenshot_9.png" id="56" name="Picture"/>
                    <pic:cNvPicPr>
                      <a:picLocks noChangeArrowheads="1"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38937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57"/>
    </w:p>
    <w:p>
      <w:pPr>
        <w:numPr>
          <w:ilvl w:val="0"/>
          <w:numId w:val="1000"/>
        </w:numPr>
        <w:pStyle w:val="ImageCaption"/>
      </w:pPr>
      <w:r>
        <w:t xml:space="preserve">Рис. 9: Первоначальная настройка маршрутизатора сегмента hostel</w:t>
      </w:r>
    </w:p>
    <w:p>
      <w:pPr>
        <w:numPr>
          <w:ilvl w:val="0"/>
          <w:numId w:val="1002"/>
        </w:numPr>
      </w:pPr>
      <w:r>
        <w:t xml:space="preserve">Выполнена первоначальная настройка коммутатора sch-sochi-akabrikosov-sw-1, добавленного в подсеть филиала организации в г. Сочи.</w:t>
      </w:r>
      <w:r>
        <w:br/>
      </w:r>
      <w:r>
        <w:t xml:space="preserve">Устройству присвоено имя sch-sochi-akabrikosov-sw-1.</w:t>
      </w:r>
      <w:r>
        <w:br/>
      </w:r>
      <w:r>
        <w:t xml:space="preserve">На коммутаторе настроены пароли для консольного подключения и VTY-линий, включен пароль привилегированного режима и шифрование паролей.</w:t>
      </w:r>
    </w:p>
    <w:p>
      <w:pPr>
        <w:numPr>
          <w:ilvl w:val="0"/>
          <w:numId w:val="1000"/>
        </w:numPr>
      </w:pPr>
      <w:r>
        <w:t xml:space="preserve">Для удаленного администрирования создан пользователь admin, задано доменное имя sochi.run.edu и выполнена генерация RSA-ключей.</w:t>
      </w:r>
      <w:r>
        <w:br/>
      </w:r>
      <w:r>
        <w:t xml:space="preserve">На VTY-линиях разрешено подключение по SSH, после чего конфигурация устройства была сохранена.</w:t>
      </w:r>
    </w:p>
    <w:p>
      <w:pPr>
        <w:numPr>
          <w:ilvl w:val="0"/>
          <w:numId w:val="1000"/>
        </w:numPr>
        <w:pStyle w:val="CaptionedFigure"/>
      </w:pPr>
      <w:bookmarkStart w:id="61" w:name="fig:010"/>
      <w:r>
        <w:drawing>
          <wp:inline>
            <wp:extent cx="5334000" cy="5361122"/>
            <wp:effectExtent b="0" l="0" r="0" t="0"/>
            <wp:docPr descr="Рис. 10: Первоначальная настройка коммутатора филиала в Сочи" title="" id="59" name="Picture"/>
            <a:graphic>
              <a:graphicData uri="http://schemas.openxmlformats.org/drawingml/2006/picture">
                <pic:pic>
                  <pic:nvPicPr>
                    <pic:cNvPr descr="Screenshot_10.png" id="60" name="Picture"/>
                    <pic:cNvPicPr>
                      <a:picLocks noChangeArrowheads="1" noChangeAspect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36112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61"/>
    </w:p>
    <w:p>
      <w:pPr>
        <w:numPr>
          <w:ilvl w:val="0"/>
          <w:numId w:val="1000"/>
        </w:numPr>
        <w:pStyle w:val="ImageCaption"/>
      </w:pPr>
      <w:r>
        <w:t xml:space="preserve">Рис. 10: Первоначальная настройка коммутатора филиала в Сочи</w:t>
      </w:r>
    </w:p>
    <w:p>
      <w:pPr>
        <w:numPr>
          <w:ilvl w:val="0"/>
          <w:numId w:val="1002"/>
        </w:numPr>
      </w:pPr>
      <w:r>
        <w:t xml:space="preserve">Выполнена первоначальная настройка маршрутизатора sch-sochi-akabrikosov-gw-1, используемого в подсети филиала в г. Сочи.</w:t>
      </w:r>
      <w:r>
        <w:br/>
      </w:r>
      <w:r>
        <w:t xml:space="preserve">На маршрутизаторе задано имя sch-sochi-akabrikosov-gw-1, настроены пароли для консоли и удаленного доступа, включен защищенный привилегированный режим и шифрование паролей.</w:t>
      </w:r>
    </w:p>
    <w:p>
      <w:pPr>
        <w:numPr>
          <w:ilvl w:val="0"/>
          <w:numId w:val="1000"/>
        </w:numPr>
      </w:pPr>
      <w:r>
        <w:t xml:space="preserve">Также создан локальный пользователь admin, указано доменное имя sochi.run.edu и выполнена генерация RSA-ключей.</w:t>
      </w:r>
      <w:r>
        <w:br/>
      </w:r>
      <w:r>
        <w:t xml:space="preserve">Для VTY-линий настроено использование SSH-доступа.</w:t>
      </w:r>
      <w:r>
        <w:br/>
      </w:r>
      <w:r>
        <w:t xml:space="preserve">По завершении настройки конфигурация сохранена командой write memory.</w:t>
      </w:r>
    </w:p>
    <w:p>
      <w:pPr>
        <w:numPr>
          <w:ilvl w:val="0"/>
          <w:numId w:val="1000"/>
        </w:numPr>
        <w:pStyle w:val="CaptionedFigure"/>
      </w:pPr>
      <w:bookmarkStart w:id="65" w:name="fig:011"/>
      <w:r>
        <w:drawing>
          <wp:inline>
            <wp:extent cx="5334000" cy="5523532"/>
            <wp:effectExtent b="0" l="0" r="0" t="0"/>
            <wp:docPr descr="Рис. 11: Первоначальная настройка маршрутизатора филиала в Сочи" title="" id="63" name="Picture"/>
            <a:graphic>
              <a:graphicData uri="http://schemas.openxmlformats.org/drawingml/2006/picture">
                <pic:pic>
                  <pic:nvPicPr>
                    <pic:cNvPr descr="Screenshot_11.png" id="64" name="Picture"/>
                    <pic:cNvPicPr>
                      <a:picLocks noChangeArrowheads="1" noChangeAspect="1"/>
                    </pic:cNvPicPr>
                  </pic:nvPicPr>
                  <pic:blipFill>
                    <a:blip r:embed="rId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52353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65"/>
    </w:p>
    <w:p>
      <w:pPr>
        <w:numPr>
          <w:ilvl w:val="0"/>
          <w:numId w:val="1000"/>
        </w:numPr>
        <w:pStyle w:val="ImageCaption"/>
      </w:pPr>
      <w:r>
        <w:t xml:space="preserve">Рис. 11: Первоначальная настройка маршрутизатора филиала в Сочи</w:t>
      </w:r>
    </w:p>
    <w:bookmarkEnd w:id="66"/>
    <w:bookmarkStart w:id="70" w:name="схемы-l1-l2-и-l3"/>
    <w:p>
      <w:pPr>
        <w:pStyle w:val="Heading2"/>
      </w:pPr>
      <w:r>
        <w:rPr>
          <w:rStyle w:val="SectionNumber"/>
        </w:rPr>
        <w:t xml:space="preserve">2.3</w:t>
      </w:r>
      <w:r>
        <w:tab/>
      </w:r>
      <w:r>
        <w:t xml:space="preserve">Схемы L1, L2 и L3</w:t>
      </w:r>
    </w:p>
    <w:p>
      <w:pPr>
        <w:numPr>
          <w:ilvl w:val="0"/>
          <w:numId w:val="1003"/>
        </w:numPr>
      </w:pPr>
      <w:r>
        <w:t xml:space="preserve">В отчет включена схема L1, отражающая физический уровень сети.</w:t>
      </w:r>
      <w:r>
        <w:br/>
      </w:r>
      <w:r>
        <w:t xml:space="preserve">На схеме показаны маршрутизаторы, коммутаторы, серверы, пользовательские рабочие станции и физические соединения между ними.</w:t>
      </w:r>
      <w:r>
        <w:br/>
      </w:r>
      <w:r>
        <w:t xml:space="preserve">В L1-схему добавлены устройства сети основной территории организации 42-го квартала в Москве, а также устройства сети филиала в г. Сочи.</w:t>
      </w:r>
      <w:r>
        <w:br/>
      </w:r>
      <w:r>
        <w:t xml:space="preserve">Кроме состава оборудования, на схеме отображены используемые интерфейсы и точки подключения новых узлов к общей сети проекта.</w:t>
      </w:r>
    </w:p>
    <w:p>
      <w:pPr>
        <w:numPr>
          <w:ilvl w:val="0"/>
          <w:numId w:val="1000"/>
        </w:numPr>
      </w:pPr>
      <w:bookmarkStart w:id="67" w:name="fig:012"/>
      <w:r>
        <w:t xml:space="preserve">Рис. 12: Схема L1 сети с добавлением основной территории 42-го квартала и филиала в г. Сочи</w:t>
      </w:r>
      <w:bookmarkEnd w:id="67"/>
    </w:p>
    <w:p>
      <w:pPr>
        <w:numPr>
          <w:ilvl w:val="0"/>
          <w:numId w:val="1003"/>
        </w:numPr>
      </w:pPr>
      <w:r>
        <w:t xml:space="preserve">В отчет включена схема L2, отражающая логическую структуру сети на канальном уровне.</w:t>
      </w:r>
      <w:r>
        <w:br/>
      </w:r>
      <w:r>
        <w:t xml:space="preserve">На схеме показано распределение сегментов сети между коммутаторами и маршрутизаторами, а также логическое объединение устройств в пределах отдельных подсетей.</w:t>
      </w:r>
      <w:r>
        <w:br/>
      </w:r>
      <w:r>
        <w:t xml:space="preserve">Для добавленных участков сети отражены логические сегменты основной территории 42-го квартала в Москве и филиала в г. Сочи.</w:t>
      </w:r>
      <w:r>
        <w:br/>
      </w:r>
      <w:r>
        <w:t xml:space="preserve">В частности, в схеме учтены новые сегменты, относящиеся к московской площадке и филиалу, а также связи этих сегментов с центральной частью сети.</w:t>
      </w:r>
    </w:p>
    <w:p>
      <w:pPr>
        <w:numPr>
          <w:ilvl w:val="0"/>
          <w:numId w:val="1000"/>
        </w:numPr>
      </w:pPr>
      <w:bookmarkStart w:id="68" w:name="fig:013"/>
      <w:r>
        <w:t xml:space="preserve">Рис. 13: Схема L2 сети с логическими сегментами добавленных подсетей</w:t>
      </w:r>
      <w:bookmarkEnd w:id="68"/>
    </w:p>
    <w:p>
      <w:pPr>
        <w:numPr>
          <w:ilvl w:val="0"/>
          <w:numId w:val="1003"/>
        </w:numPr>
      </w:pPr>
      <w:r>
        <w:t xml:space="preserve">В отчет включена схема L3, отражающая сетевой уровень и структуру IP-адресации.</w:t>
      </w:r>
      <w:r>
        <w:br/>
      </w:r>
      <w:r>
        <w:t xml:space="preserve">На схеме показаны маршрутизируемые сети и каналы связи между узлами проекта.</w:t>
      </w:r>
      <w:r>
        <w:br/>
      </w:r>
      <w:r>
        <w:t xml:space="preserve">Для основной территории организации 42-го квартала в Москве на L3-схеме добавлены пользовательская подсеть 10.129.0.0/24 и служебная подсеть 10.129.1.0/24.</w:t>
      </w:r>
      <w:r>
        <w:br/>
      </w:r>
      <w:r>
        <w:t xml:space="preserve">Для филиала в г. Сочи добавлены пользовательская подсеть 10.130.0.0/24 и служебная подсеть 10.130.1.0/24.</w:t>
      </w:r>
      <w:r>
        <w:br/>
      </w:r>
      <w:r>
        <w:t xml:space="preserve">Также на схеме отражены межмаршрутизаторные соединения с центральной сетью: линк на 42-й квартал 10.128.255.0/30 и линк в Сочи 10.128.255.4/30.</w:t>
      </w:r>
      <w:r>
        <w:br/>
      </w:r>
      <w:r>
        <w:t xml:space="preserve">Дополнительно показаны сеть провайдера 198.51.100.0/24 и сеть Интернета 192.0.2.0/24, обеспечивающие внешнюю связность проекта.</w:t>
      </w:r>
    </w:p>
    <w:p>
      <w:pPr>
        <w:numPr>
          <w:ilvl w:val="0"/>
          <w:numId w:val="1000"/>
        </w:numPr>
      </w:pPr>
      <w:bookmarkStart w:id="69" w:name="fig:014"/>
      <w:r>
        <w:t xml:space="preserve">Рис. 14: Схема L3 сети с IP-подсетями основной территории 42-го квартала и филиала в г. Сочи</w:t>
      </w:r>
      <w:bookmarkEnd w:id="69"/>
    </w:p>
    <w:bookmarkEnd w:id="70"/>
    <w:bookmarkEnd w:id="71"/>
    <w:bookmarkStart w:id="72" w:name="вывод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Вывод</w:t>
      </w:r>
    </w:p>
    <w:p>
      <w:pPr>
        <w:pStyle w:val="FirstParagraph"/>
      </w:pPr>
      <w:r>
        <w:t xml:space="preserve">В ходе выполнения работы была дополнена схема проекта в Cisco Packet Tracer.</w:t>
      </w:r>
      <w:r>
        <w:br/>
      </w:r>
      <w:r>
        <w:t xml:space="preserve">В общую структуру сети добавлены подсеть основной территории организации 42-го квартала в Москве и подсеть филиала в г. Сочи.</w:t>
      </w:r>
    </w:p>
    <w:p>
      <w:pPr>
        <w:pStyle w:val="BodyText"/>
      </w:pPr>
      <w:r>
        <w:t xml:space="preserve">Для добавленного оборудования выполнена первоначальная настройка: заданы имена маршрутизаторов и коммутаторов, настроены пароли консольного и удаленного доступа, включено шифрование паролей, созданы локальные учетные записи администратора и подготовлен доступ по SSH.</w:t>
      </w:r>
    </w:p>
    <w:p>
      <w:pPr>
        <w:pStyle w:val="BodyText"/>
      </w:pPr>
      <w:r>
        <w:t xml:space="preserve">Также в отчет были включены схемы L1, L2 и L3, отражающие физическую, канальную и сетевую структуру проекта.</w:t>
      </w:r>
      <w:r>
        <w:br/>
      </w:r>
      <w:r>
        <w:t xml:space="preserve">На схемах показаны новые устройства, логические сегменты, VLAN и IP-подсети, относящиеся к основной территории организации и филиалу.</w:t>
      </w:r>
    </w:p>
    <w:p>
      <w:pPr>
        <w:pStyle w:val="BodyText"/>
      </w:pPr>
      <w:r>
        <w:t xml:space="preserve">В результате была сформирована расширенная модель корпоративной сети, включающая несколько территориально распределенных площадок.</w:t>
      </w:r>
      <w:r>
        <w:br/>
      </w:r>
      <w:r>
        <w:t xml:space="preserve">Сеть подготовлена к дальнейшей настройке маршрутизации, проверке связности между подсетями и организации обмена данными между центральной площадкой, филиалом и внешними сетями.</w:t>
      </w:r>
    </w:p>
    <w:bookmarkEnd w:id="72"/>
    <w:bookmarkStart w:id="73" w:name="контрольные-вопросы"/>
    <w:p>
      <w:pPr>
        <w:pStyle w:val="Heading1"/>
      </w:pPr>
      <w:r>
        <w:rPr>
          <w:rStyle w:val="SectionNumber"/>
        </w:rPr>
        <w:t xml:space="preserve">4</w:t>
      </w:r>
      <w:r>
        <w:tab/>
      </w:r>
      <w:r>
        <w:t xml:space="preserve">Контрольные вопросы</w:t>
      </w:r>
    </w:p>
    <w:p>
      <w:pPr>
        <w:numPr>
          <w:ilvl w:val="0"/>
          <w:numId w:val="1004"/>
        </w:numPr>
      </w:pPr>
      <w:r>
        <w:t xml:space="preserve">В каких случаях следует использовать статическую маршрутизацию? Приведите примеры.</w:t>
      </w:r>
      <w:r>
        <w:br/>
      </w:r>
      <w:r>
        <w:t xml:space="preserve">Статическую маршрутизацию следует использовать в тех случаях, когда структура сети достаточно проста, маршруты заранее известны и редко изменяются.</w:t>
      </w:r>
      <w:r>
        <w:br/>
      </w:r>
      <w:r>
        <w:t xml:space="preserve">При статической маршрутизации администратор вручную указывает маршруты до нужных сетей, а маршрутизатор использует эти записи для пересылки пакетов.</w:t>
      </w:r>
    </w:p>
    <w:p>
      <w:pPr>
        <w:numPr>
          <w:ilvl w:val="0"/>
          <w:numId w:val="1000"/>
        </w:numPr>
      </w:pPr>
      <w:r>
        <w:t xml:space="preserve">Статическая маршрутизация подходит для небольших сетей, где количество маршрутизаторов и подсетей ограничено.</w:t>
      </w:r>
      <w:r>
        <w:br/>
      </w:r>
      <w:r>
        <w:t xml:space="preserve">Например, если в организации есть центральная сеть и один филиал, можно вручную прописать маршрут из центрального офиса к сети филиала и обратный маршрут из филиала к центральной сети.</w:t>
      </w:r>
    </w:p>
    <w:p>
      <w:pPr>
        <w:numPr>
          <w:ilvl w:val="0"/>
          <w:numId w:val="1000"/>
        </w:numPr>
      </w:pPr>
      <w:r>
        <w:t xml:space="preserve">Также статическая маршрутизация используется для настройки маршрута по умолчанию.</w:t>
      </w:r>
      <w:r>
        <w:br/>
      </w:r>
      <w:r>
        <w:t xml:space="preserve">Например, маршрутизатор локальной сети может иметь статический маршрут</w:t>
      </w:r>
      <w:r>
        <w:t xml:space="preserve"> </w:t>
      </w:r>
      <w:r>
        <w:rPr>
          <w:rStyle w:val="VerbatimChar"/>
        </w:rPr>
        <w:t xml:space="preserve">0.0.0.0/0</w:t>
      </w:r>
      <w:r>
        <w:t xml:space="preserve">, указывающий на маршрутизатор провайдера.</w:t>
      </w:r>
      <w:r>
        <w:br/>
      </w:r>
      <w:r>
        <w:t xml:space="preserve">Такой маршрут применяется, если пакет направлен в сеть, для которой нет более точной записи в таблице маршрутизации.</w:t>
      </w:r>
    </w:p>
    <w:p>
      <w:pPr>
        <w:numPr>
          <w:ilvl w:val="0"/>
          <w:numId w:val="1000"/>
        </w:numPr>
      </w:pPr>
      <w:r>
        <w:t xml:space="preserve">Еще один пример использования статической маршрутизации — резервные маршруты.</w:t>
      </w:r>
      <w:r>
        <w:br/>
      </w:r>
      <w:r>
        <w:t xml:space="preserve">Администратор может создать дополнительный маршрут с увеличенной административной дистанцией, который будет использоваться только при отказе основного пути.</w:t>
      </w:r>
    </w:p>
    <w:p>
      <w:pPr>
        <w:numPr>
          <w:ilvl w:val="0"/>
          <w:numId w:val="1000"/>
        </w:numPr>
      </w:pPr>
      <w:r>
        <w:t xml:space="preserve">В рамках выполненной работы статическая маршрутизация может применяться для связи между центральной сетью, сетью основной территории 42-го квартала в Москве и сетью филиала в г. Сочи.</w:t>
      </w:r>
      <w:r>
        <w:br/>
      </w:r>
      <w:r>
        <w:t xml:space="preserve">Например, на центральном маршрутизаторе можно вручную указать маршруты к подсетям 10.129.0.0/24 и 10.130.0.0/24, а на маршрутизаторах удаленных площадок — маршруты обратно к сетям центральной части проекта.</w:t>
      </w:r>
    </w:p>
    <w:p>
      <w:pPr>
        <w:numPr>
          <w:ilvl w:val="0"/>
          <w:numId w:val="1004"/>
        </w:numPr>
      </w:pPr>
      <w:r>
        <w:t xml:space="preserve">Укажите основные принципы статической маршрутизации между VLANs.</w:t>
      </w:r>
      <w:r>
        <w:br/>
      </w:r>
      <w:r>
        <w:t xml:space="preserve">Статическая маршрутизация между VLANs применяется тогда, когда разные VLAN являются отдельными IP-подсетями и для обмена данными между ними требуется устройство третьего уровня.</w:t>
      </w:r>
      <w:r>
        <w:br/>
      </w:r>
      <w:r>
        <w:t xml:space="preserve">Обычно таким устройством выступает маршрутизатор или коммутатор третьего уровня.</w:t>
      </w:r>
    </w:p>
    <w:p>
      <w:pPr>
        <w:numPr>
          <w:ilvl w:val="0"/>
          <w:numId w:val="1000"/>
        </w:numPr>
      </w:pPr>
      <w:r>
        <w:t xml:space="preserve">Основной принцип заключается в том, что каждая VLAN должна иметь собственную IP-подсеть.</w:t>
      </w:r>
      <w:r>
        <w:br/>
      </w:r>
      <w:r>
        <w:t xml:space="preserve">Например, VLAN 101 может использовать сеть 10.128.3.0/24, VLAN 102 — сеть 10.128.4.0/24, а VLAN 103 — сеть 10.128.5.0/24.</w:t>
      </w:r>
      <w:r>
        <w:br/>
      </w:r>
      <w:r>
        <w:t xml:space="preserve">Устройства внутри одной VLAN взаимодействуют напрямую на канальном уровне, а обмен между разными VLAN выполняется через маршрутизатор или L3-коммутатор.</w:t>
      </w:r>
    </w:p>
    <w:p>
      <w:pPr>
        <w:numPr>
          <w:ilvl w:val="0"/>
          <w:numId w:val="1000"/>
        </w:numPr>
      </w:pPr>
      <w:r>
        <w:t xml:space="preserve">Для каждой VLAN должен быть настроен шлюз по умолчанию.</w:t>
      </w:r>
      <w:r>
        <w:br/>
      </w:r>
      <w:r>
        <w:t xml:space="preserve">В роли шлюза обычно используется IP-адрес интерфейса маршрутизатора, подинтерфейса маршрутизатора или SVI-интерфейса на коммутаторе третьего уровня.</w:t>
      </w:r>
      <w:r>
        <w:br/>
      </w:r>
      <w:r>
        <w:t xml:space="preserve">Все устройства внутри VLAN отправляют трафик в другие сети именно через этот шлюз.</w:t>
      </w:r>
    </w:p>
    <w:p>
      <w:pPr>
        <w:numPr>
          <w:ilvl w:val="0"/>
          <w:numId w:val="1000"/>
        </w:numPr>
      </w:pPr>
      <w:r>
        <w:t xml:space="preserve">Если используется схема router-on-a-stick, один физический интерфейс маршрутизатора разделяется на несколько подинтерфейсов.</w:t>
      </w:r>
      <w:r>
        <w:br/>
      </w:r>
      <w:r>
        <w:t xml:space="preserve">Каждый подинтерфейс соответствует отдельной VLAN, имеет собственный IP-адрес и использует инкапсуляцию 802.1Q.</w:t>
      </w:r>
      <w:r>
        <w:br/>
      </w:r>
      <w:r>
        <w:t xml:space="preserve">Порт коммутатора, соединенный с маршрутизатором, при этом настраивается как trunk-порт, чтобы передавать трафик нескольких VLAN.</w:t>
      </w:r>
    </w:p>
    <w:p>
      <w:pPr>
        <w:numPr>
          <w:ilvl w:val="0"/>
          <w:numId w:val="1000"/>
        </w:numPr>
      </w:pPr>
      <w:r>
        <w:t xml:space="preserve">Если используется коммутатор третьего уровня, для каждой VLAN создается SVI-интерфейс.</w:t>
      </w:r>
      <w:r>
        <w:br/>
      </w:r>
      <w:r>
        <w:t xml:space="preserve">На этих интерфейсах задаются IP-адреса шлюзов, после чего включается маршрутизация между VLANs.</w:t>
      </w:r>
      <w:r>
        <w:br/>
      </w:r>
      <w:r>
        <w:t xml:space="preserve">Такой способ обычно производительнее, чем router-on-a-stick, так как маршрутизация выполняется непосредственно на коммутаторе.</w:t>
      </w:r>
    </w:p>
    <w:p>
      <w:pPr>
        <w:numPr>
          <w:ilvl w:val="0"/>
          <w:numId w:val="1000"/>
        </w:numPr>
      </w:pPr>
      <w:r>
        <w:t xml:space="preserve">При использовании статической маршрутизации важно вручную прописать маршруты до всех удаленных VLAN-сетей, которые находятся за другими маршрутизаторами.</w:t>
      </w:r>
      <w:r>
        <w:br/>
      </w:r>
      <w:r>
        <w:t xml:space="preserve">Если маршрутизатор не знает путь к удаленной VLAN, он не сможет передать туда пакет.</w:t>
      </w:r>
      <w:r>
        <w:br/>
      </w:r>
      <w:r>
        <w:t xml:space="preserve">Поэтому статические маршруты должны быть настроены в обе стороны: от отправителя к получателю и от получателя обратно к отправителю.</w:t>
      </w:r>
    </w:p>
    <w:bookmarkEnd w:id="73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58" Target="media/rId58.png" /><Relationship Type="http://schemas.openxmlformats.org/officeDocument/2006/relationships/image" Id="rId62" Target="media/rId62.png" /><Relationship Type="http://schemas.openxmlformats.org/officeDocument/2006/relationships/image" Id="rId25" Target="media/rId25.png" /><Relationship Type="http://schemas.openxmlformats.org/officeDocument/2006/relationships/image" Id="rId29" Target="media/rId29.png" /><Relationship Type="http://schemas.openxmlformats.org/officeDocument/2006/relationships/image" Id="rId33" Target="media/rId33.png" /><Relationship Type="http://schemas.openxmlformats.org/officeDocument/2006/relationships/image" Id="rId37" Target="media/rId37.png" /><Relationship Type="http://schemas.openxmlformats.org/officeDocument/2006/relationships/image" Id="rId42" Target="media/rId42.png" /><Relationship Type="http://schemas.openxmlformats.org/officeDocument/2006/relationships/image" Id="rId46" Target="media/rId46.png" /><Relationship Type="http://schemas.openxmlformats.org/officeDocument/2006/relationships/image" Id="rId50" Target="media/rId50.png" /><Relationship Type="http://schemas.openxmlformats.org/officeDocument/2006/relationships/image" Id="rId54" Target="media/rId54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13</dc:title>
  <dc:creator>Абрикосов Артем</dc:creator>
  <dc:language>ru-RU</dc:language>
  <cp:keywords/>
  <dcterms:created xsi:type="dcterms:W3CDTF">2026-05-03T09:08:15Z</dcterms:created>
  <dcterms:modified xsi:type="dcterms:W3CDTF">2026-05-03T09:08:15Z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qLabels">
    <vt:lpwstr>arabic</vt:lpwstr>
  </property>
  <property fmtid="{D5CDD505-2E9C-101B-9397-08002B2CF9AE}" pid="22" name="eqnBlockInlineMath">
    <vt:lpwstr>False</vt:lpwstr>
  </property>
  <property fmtid="{D5CDD505-2E9C-101B-9397-08002B2CF9AE}" pid="23" name="eqnBlockTemplate">
    <vt:lpwstr>ti</vt:lpwstr>
  </property>
  <property fmtid="{D5CDD505-2E9C-101B-9397-08002B2CF9AE}" pid="24" name="eqnIndexTemplate">
    <vt:lpwstr>(i)</vt:lpwstr>
  </property>
  <property fmtid="{D5CDD505-2E9C-101B-9397-08002B2CF9AE}" pid="25" name="eqnInlineTemplate">
    <vt:lpwstr>eequationNumberTeX{i}</vt:lpwstr>
  </property>
  <property fmtid="{D5CDD505-2E9C-101B-9397-08002B2CF9AE}" pid="26" name="eqnPrefix">
    <vt:lpwstr/>
  </property>
  <property fmtid="{D5CDD505-2E9C-101B-9397-08002B2CF9AE}" pid="27" name="eqnPrefixTemplate">
    <vt:lpwstr>p i</vt:lpwstr>
  </property>
  <property fmtid="{D5CDD505-2E9C-101B-9397-08002B2CF9AE}" pid="28" name="equationNumberTeX">
    <vt:lpwstr>\qquad</vt:lpwstr>
  </property>
  <property fmtid="{D5CDD505-2E9C-101B-9397-08002B2CF9AE}" pid="29" name="figLabels">
    <vt:lpwstr>arabic</vt:lpwstr>
  </property>
  <property fmtid="{D5CDD505-2E9C-101B-9397-08002B2CF9AE}" pid="30" name="figPrefix">
    <vt:lpwstr/>
  </property>
  <property fmtid="{D5CDD505-2E9C-101B-9397-08002B2CF9AE}" pid="31" name="figPrefixTemplate">
    <vt:lpwstr>p i</vt:lpwstr>
  </property>
  <property fmtid="{D5CDD505-2E9C-101B-9397-08002B2CF9AE}" pid="32" name="figureTemplate">
    <vt:lpwstr>figureTitle ititleDelim t</vt:lpwstr>
  </property>
  <property fmtid="{D5CDD505-2E9C-101B-9397-08002B2CF9AE}" pid="33" name="figureTitle">
    <vt:lpwstr>Рис.</vt:lpwstr>
  </property>
  <property fmtid="{D5CDD505-2E9C-101B-9397-08002B2CF9AE}" pid="34" name="fontsize">
    <vt:lpwstr>12pt</vt:lpwstr>
  </property>
  <property fmtid="{D5CDD505-2E9C-101B-9397-08002B2CF9AE}" pid="35" name="header-includes">
    <vt:lpwstr/>
  </property>
  <property fmtid="{D5CDD505-2E9C-101B-9397-08002B2CF9AE}" pid="36" name="indent">
    <vt:lpwstr>True</vt:lpwstr>
  </property>
  <property fmtid="{D5CDD505-2E9C-101B-9397-08002B2CF9AE}" pid="37" name="lastDelim">
    <vt:lpwstr>, </vt:lpwstr>
  </property>
  <property fmtid="{D5CDD505-2E9C-101B-9397-08002B2CF9AE}" pid="38" name="linestretch">
    <vt:lpwstr>1.5</vt:lpwstr>
  </property>
  <property fmtid="{D5CDD505-2E9C-101B-9397-08002B2CF9AE}" pid="39" name="linkReferences">
    <vt:lpwstr>False</vt:lpwstr>
  </property>
  <property fmtid="{D5CDD505-2E9C-101B-9397-08002B2CF9AE}" pid="40" name="listingTemplate">
    <vt:lpwstr>listingTitle ititleDelim t</vt:lpwstr>
  </property>
  <property fmtid="{D5CDD505-2E9C-101B-9397-08002B2CF9AE}" pid="41" name="listingTitle">
    <vt:lpwstr>Листинг</vt:lpwstr>
  </property>
  <property fmtid="{D5CDD505-2E9C-101B-9397-08002B2CF9AE}" pid="42" name="listings">
    <vt:lpwstr>False</vt:lpwstr>
  </property>
  <property fmtid="{D5CDD505-2E9C-101B-9397-08002B2CF9AE}" pid="43" name="lof">
    <vt:lpwstr>True</vt:lpwstr>
  </property>
  <property fmtid="{D5CDD505-2E9C-101B-9397-08002B2CF9AE}" pid="44" name="lofTitle">
    <vt:lpwstr>Список иллюстраций</vt:lpwstr>
  </property>
  <property fmtid="{D5CDD505-2E9C-101B-9397-08002B2CF9AE}" pid="45" name="lolTitle">
    <vt:lpwstr>Листинги</vt:lpwstr>
  </property>
  <property fmtid="{D5CDD505-2E9C-101B-9397-08002B2CF9AE}" pid="46" name="lot">
    <vt:lpwstr>True</vt:lpwstr>
  </property>
  <property fmtid="{D5CDD505-2E9C-101B-9397-08002B2CF9AE}" pid="47" name="lotTitle">
    <vt:lpwstr>Список таблиц</vt:lpwstr>
  </property>
  <property fmtid="{D5CDD505-2E9C-101B-9397-08002B2CF9AE}" pid="48" name="lstLabels">
    <vt:lpwstr>arabic</vt:lpwstr>
  </property>
  <property fmtid="{D5CDD505-2E9C-101B-9397-08002B2CF9AE}" pid="49" name="lstPrefix">
    <vt:lpwstr/>
  </property>
  <property fmtid="{D5CDD505-2E9C-101B-9397-08002B2CF9AE}" pid="50" name="lstPrefixTemplate">
    <vt:lpwstr>p i</vt:lpwstr>
  </property>
  <property fmtid="{D5CDD505-2E9C-101B-9397-08002B2CF9AE}" pid="51" name="mainfont">
    <vt:lpwstr>IBM Plex Serif</vt:lpwstr>
  </property>
  <property fmtid="{D5CDD505-2E9C-101B-9397-08002B2CF9AE}" pid="52" name="mainfontoptions">
    <vt:lpwstr>Ligatures=Common,Ligatures=TeX,Scale=0.94</vt:lpwstr>
  </property>
  <property fmtid="{D5CDD505-2E9C-101B-9397-08002B2CF9AE}" pid="53" name="mathfont">
    <vt:lpwstr>STIX Two Math</vt:lpwstr>
  </property>
  <property fmtid="{D5CDD505-2E9C-101B-9397-08002B2CF9AE}" pid="54" name="mathfontoptions">
    <vt:lpwstr/>
  </property>
  <property fmtid="{D5CDD505-2E9C-101B-9397-08002B2CF9AE}" pid="55" name="monofont">
    <vt:lpwstr>IBM Plex Mono</vt:lpwstr>
  </property>
  <property fmtid="{D5CDD505-2E9C-101B-9397-08002B2CF9AE}" pid="56" name="monofontoptions">
    <vt:lpwstr>Scale=MatchLowercase,Scale=0.94,FakeStretch=0.9</vt:lpwstr>
  </property>
  <property fmtid="{D5CDD505-2E9C-101B-9397-08002B2CF9AE}" pid="57" name="nameInLink">
    <vt:lpwstr>False</vt:lpwstr>
  </property>
  <property fmtid="{D5CDD505-2E9C-101B-9397-08002B2CF9AE}" pid="58" name="numberSections">
    <vt:lpwstr>False</vt:lpwstr>
  </property>
  <property fmtid="{D5CDD505-2E9C-101B-9397-08002B2CF9AE}" pid="59" name="pairDelim">
    <vt:lpwstr>, </vt:lpwstr>
  </property>
  <property fmtid="{D5CDD505-2E9C-101B-9397-08002B2CF9AE}" pid="60" name="papersize">
    <vt:lpwstr>a</vt:lpwstr>
  </property>
  <property fmtid="{D5CDD505-2E9C-101B-9397-08002B2CF9AE}" pid="61" name="polyglossia-lang">
    <vt:lpwstr/>
  </property>
  <property fmtid="{D5CDD505-2E9C-101B-9397-08002B2CF9AE}" pid="62" name="polyglossia-otherlangs">
    <vt:lpwstr/>
  </property>
  <property fmtid="{D5CDD505-2E9C-101B-9397-08002B2CF9AE}" pid="63" name="rangeDelim">
    <vt:lpwstr>-</vt:lpwstr>
  </property>
  <property fmtid="{D5CDD505-2E9C-101B-9397-08002B2CF9AE}" pid="64" name="refDelim">
    <vt:lpwstr>, </vt:lpwstr>
  </property>
  <property fmtid="{D5CDD505-2E9C-101B-9397-08002B2CF9AE}" pid="65" name="refIndexTemplate">
    <vt:lpwstr>isuf</vt:lpwstr>
  </property>
  <property fmtid="{D5CDD505-2E9C-101B-9397-08002B2CF9AE}" pid="66" name="romanfont">
    <vt:lpwstr>IBM Plex Serif</vt:lpwstr>
  </property>
  <property fmtid="{D5CDD505-2E9C-101B-9397-08002B2CF9AE}" pid="67" name="romanfontoptions">
    <vt:lpwstr>Ligatures=Common,Ligatures=TeX,Scale=0.94</vt:lpwstr>
  </property>
  <property fmtid="{D5CDD505-2E9C-101B-9397-08002B2CF9AE}" pid="68" name="sansfont">
    <vt:lpwstr>IBM Plex Sans</vt:lpwstr>
  </property>
  <property fmtid="{D5CDD505-2E9C-101B-9397-08002B2CF9AE}" pid="69" name="sansfontoptions">
    <vt:lpwstr>Ligatures=Common,Ligatures=TeX,Scale=MatchLowercase,Scale=0.94</vt:lpwstr>
  </property>
  <property fmtid="{D5CDD505-2E9C-101B-9397-08002B2CF9AE}" pid="70" name="secHeaderDelim">
    <vt:lpwstr> </vt:lpwstr>
  </property>
  <property fmtid="{D5CDD505-2E9C-101B-9397-08002B2CF9AE}" pid="71" name="secHeaderTemplate">
    <vt:lpwstr>isecHeaderDelim[n]t</vt:lpwstr>
  </property>
  <property fmtid="{D5CDD505-2E9C-101B-9397-08002B2CF9AE}" pid="72" name="secLabels">
    <vt:lpwstr>arabic</vt:lpwstr>
  </property>
  <property fmtid="{D5CDD505-2E9C-101B-9397-08002B2CF9AE}" pid="73" name="secPrefix">
    <vt:lpwstr/>
  </property>
  <property fmtid="{D5CDD505-2E9C-101B-9397-08002B2CF9AE}" pid="74" name="secPrefixTemplate">
    <vt:lpwstr>p i</vt:lpwstr>
  </property>
  <property fmtid="{D5CDD505-2E9C-101B-9397-08002B2CF9AE}" pid="75" name="sectionsDepth">
    <vt:lpwstr>0</vt:lpwstr>
  </property>
  <property fmtid="{D5CDD505-2E9C-101B-9397-08002B2CF9AE}" pid="76" name="subfigGrid">
    <vt:lpwstr>False</vt:lpwstr>
  </property>
  <property fmtid="{D5CDD505-2E9C-101B-9397-08002B2CF9AE}" pid="77" name="subfigLabels">
    <vt:lpwstr>alpha a</vt:lpwstr>
  </property>
  <property fmtid="{D5CDD505-2E9C-101B-9397-08002B2CF9AE}" pid="78" name="subfigureChildTemplate">
    <vt:lpwstr>i</vt:lpwstr>
  </property>
  <property fmtid="{D5CDD505-2E9C-101B-9397-08002B2CF9AE}" pid="79" name="subfigureRefIndexTemplate">
    <vt:lpwstr>isuf (s)</vt:lpwstr>
  </property>
  <property fmtid="{D5CDD505-2E9C-101B-9397-08002B2CF9AE}" pid="80" name="subfigureTemplate">
    <vt:lpwstr>figureTitle ititleDelim t. ccs</vt:lpwstr>
  </property>
  <property fmtid="{D5CDD505-2E9C-101B-9397-08002B2CF9AE}" pid="81" name="subtitle">
    <vt:lpwstr>Статическая маршрутизация в Интернете. Планирование</vt:lpwstr>
  </property>
  <property fmtid="{D5CDD505-2E9C-101B-9397-08002B2CF9AE}" pid="82" name="tableEqns">
    <vt:lpwstr>False</vt:lpwstr>
  </property>
  <property fmtid="{D5CDD505-2E9C-101B-9397-08002B2CF9AE}" pid="83" name="tableTemplate">
    <vt:lpwstr>tableTitle ititleDelim t</vt:lpwstr>
  </property>
  <property fmtid="{D5CDD505-2E9C-101B-9397-08002B2CF9AE}" pid="84" name="tableTitle">
    <vt:lpwstr>Таблица</vt:lpwstr>
  </property>
  <property fmtid="{D5CDD505-2E9C-101B-9397-08002B2CF9AE}" pid="85" name="tblLabels">
    <vt:lpwstr>arabic</vt:lpwstr>
  </property>
  <property fmtid="{D5CDD505-2E9C-101B-9397-08002B2CF9AE}" pid="86" name="tblPrefix">
    <vt:lpwstr/>
  </property>
  <property fmtid="{D5CDD505-2E9C-101B-9397-08002B2CF9AE}" pid="87" name="tblPrefixTemplate">
    <vt:lpwstr>p i</vt:lpwstr>
  </property>
  <property fmtid="{D5CDD505-2E9C-101B-9397-08002B2CF9AE}" pid="88" name="titleDelim">
    <vt:lpwstr>:</vt:lpwstr>
  </property>
  <property fmtid="{D5CDD505-2E9C-101B-9397-08002B2CF9AE}" pid="89" name="toc">
    <vt:lpwstr>True</vt:lpwstr>
  </property>
  <property fmtid="{D5CDD505-2E9C-101B-9397-08002B2CF9AE}" pid="90" name="toc-depth">
    <vt:lpwstr>2</vt:lpwstr>
  </property>
  <property fmtid="{D5CDD505-2E9C-101B-9397-08002B2CF9AE}" pid="91" name="toc-title">
    <vt:lpwstr>Содержание</vt:lpwstr>
  </property>
</Properties>
</file>