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7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настройка-списков-контроля-доступа-ac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списков контроля доступа (ACL)</w:t>
      </w:r>
    </w:p>
    <w:p>
      <w:pPr>
        <w:numPr>
          <w:ilvl w:val="0"/>
          <w:numId w:val="1001"/>
        </w:numPr>
      </w:pPr>
      <w:r>
        <w:t xml:space="preserve">В Cisco Packet Tracer построена сеть, включающая маршрутизатор, коммутаторы, пользовательские ПК и серверы (web, file, mail, DNS).</w:t>
      </w:r>
    </w:p>
    <w:p>
      <w:pPr>
        <w:numPr>
          <w:ilvl w:val="0"/>
          <w:numId w:val="1000"/>
        </w:numPr>
        <w:pStyle w:val="CaptionedFigure"/>
      </w:pPr>
      <w:bookmarkStart w:id="24" w:name="fig:007"/>
      <w:r>
        <w:drawing>
          <wp:inline>
            <wp:extent cx="5334000" cy="3004457"/>
            <wp:effectExtent b="0" l="0" r="0" t="0"/>
            <wp:docPr descr="Рис. 1: Топология сети с серверами и клиентскими узла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серверами и клиентскими узлами</w:t>
      </w:r>
    </w:p>
    <w:p>
      <w:pPr>
        <w:numPr>
          <w:ilvl w:val="0"/>
          <w:numId w:val="1001"/>
        </w:numPr>
      </w:pPr>
      <w:r>
        <w:t xml:space="preserve">На маршрутизаторе создан расширенный список контроля доступа</w:t>
      </w:r>
      <w:r>
        <w:t xml:space="preserve"> </w:t>
      </w:r>
      <w:r>
        <w:rPr>
          <w:rStyle w:val="VerbatimChar"/>
        </w:rPr>
        <w:t xml:space="preserve">servers-out</w:t>
      </w:r>
      <w:r>
        <w:t xml:space="preserve">, предназначенный для фильтрации трафика к серверам.</w:t>
      </w:r>
    </w:p>
    <w:p>
      <w:pPr>
        <w:numPr>
          <w:ilvl w:val="0"/>
          <w:numId w:val="1000"/>
        </w:numPr>
      </w:pPr>
      <w:r>
        <w:t xml:space="preserve">В соответствии с заданием настроены следующие правила:</w:t>
      </w:r>
    </w:p>
    <w:p>
      <w:pPr>
        <w:numPr>
          <w:ilvl w:val="1"/>
          <w:numId w:val="1002"/>
        </w:numPr>
        <w:pStyle w:val="Compact"/>
      </w:pPr>
      <w:r>
        <w:t xml:space="preserve">разрешён доступ к web-серверу по протоколу HTTP (TCP порт 80) для всех пользователей;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 администратора дополнительно разрешены протоколы Telnet и FTP;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 файлового сервера разрешён доступ по FTP с внешней сети и доступ к общим ресурсам из внутренней сети;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 почтового сервера разрешены протоколы SMTP (порт 25) и POP3 (порт 110);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 администратора также разрешены Telnet и FTP;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 DNS-сервера разрешён доступ по UDP порту 53 из внутренней сети;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разрешены ICMP-сообщения, направленные в сеть серверов.</w:t>
      </w:r>
    </w:p>
    <w:p>
      <w:pPr>
        <w:numPr>
          <w:ilvl w:val="0"/>
          <w:numId w:val="1000"/>
        </w:numPr>
        <w:pStyle w:val="CaptionedFigure"/>
      </w:pPr>
      <w:bookmarkStart w:id="28" w:name="fig:008"/>
      <w:r>
        <w:drawing>
          <wp:inline>
            <wp:extent cx="5334000" cy="3854091"/>
            <wp:effectExtent b="0" l="0" r="0" t="0"/>
            <wp:docPr descr="Рис. 2: Процесс настройки расширенного ACL на маршрутизатор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4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Процесс настройки расширенного ACL на маршрутизаторе</w:t>
      </w:r>
    </w:p>
    <w:p>
      <w:pPr>
        <w:numPr>
          <w:ilvl w:val="0"/>
          <w:numId w:val="1001"/>
        </w:numPr>
      </w:pPr>
      <w:r>
        <w:t xml:space="preserve">Дополнительно создан список доступа</w:t>
      </w:r>
      <w:r>
        <w:t xml:space="preserve"> </w:t>
      </w:r>
      <w:r>
        <w:rPr>
          <w:rStyle w:val="VerbatimChar"/>
        </w:rPr>
        <w:t xml:space="preserve">other-in</w:t>
      </w:r>
      <w:r>
        <w:t xml:space="preserve">, ограничивающий сеть Other.</w:t>
      </w:r>
    </w:p>
    <w:p>
      <w:pPr>
        <w:numPr>
          <w:ilvl w:val="0"/>
          <w:numId w:val="1000"/>
        </w:numPr>
      </w:pPr>
      <w:r>
        <w:t xml:space="preserve">В рамках настройки:</w:t>
      </w:r>
    </w:p>
    <w:p>
      <w:pPr>
        <w:numPr>
          <w:ilvl w:val="1"/>
          <w:numId w:val="1003"/>
        </w:numPr>
        <w:pStyle w:val="Compact"/>
      </w:pPr>
      <w:r>
        <w:t xml:space="preserve">запрещены любые обращения пользователей сети Other за пределы своей сети;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разрешён доступ только для администратора;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настроен список</w:t>
      </w:r>
      <w:r>
        <w:t xml:space="preserve"> </w:t>
      </w:r>
      <w:r>
        <w:rPr>
          <w:rStyle w:val="VerbatimChar"/>
        </w:rPr>
        <w:t xml:space="preserve">management-out</w:t>
      </w:r>
      <w:r>
        <w:t xml:space="preserve">, разрешающий доступ к сети управления только с административных узлов.</w:t>
      </w:r>
    </w:p>
    <w:p>
      <w:pPr>
        <w:numPr>
          <w:ilvl w:val="0"/>
          <w:numId w:val="1001"/>
        </w:numPr>
      </w:pPr>
      <w:r>
        <w:t xml:space="preserve">Списки контроля доступа применены к соответствующим интерфейсам маршрутизатора в нужном направлении (in/out).</w:t>
      </w:r>
    </w:p>
    <w:p>
      <w:pPr>
        <w:numPr>
          <w:ilvl w:val="0"/>
          <w:numId w:val="1000"/>
        </w:numPr>
      </w:pPr>
      <w:r>
        <w:t xml:space="preserve">После применения ACL выполнена проверка их работы с помощью команды просмотра списков доступа.</w:t>
      </w:r>
    </w:p>
    <w:p>
      <w:pPr>
        <w:numPr>
          <w:ilvl w:val="0"/>
          <w:numId w:val="1000"/>
        </w:numPr>
        <w:pStyle w:val="CaptionedFigure"/>
      </w:pPr>
      <w:bookmarkStart w:id="32" w:name="fig:009"/>
      <w:r>
        <w:drawing>
          <wp:inline>
            <wp:extent cx="4957010" cy="2733574"/>
            <wp:effectExtent b="0" l="0" r="0" t="0"/>
            <wp:docPr descr="Рис. 3: Проверка настроенных списков доступ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настроенных списков доступа</w:t>
      </w:r>
    </w:p>
    <w:p>
      <w:pPr>
        <w:numPr>
          <w:ilvl w:val="0"/>
          <w:numId w:val="1001"/>
        </w:numPr>
      </w:pPr>
      <w:r>
        <w:t xml:space="preserve">В результате настройки обеспечено разграничение доступа к сетевым ресурсам:</w:t>
      </w:r>
    </w:p>
    <w:p>
      <w:pPr>
        <w:numPr>
          <w:ilvl w:val="1"/>
          <w:numId w:val="1004"/>
        </w:numPr>
        <w:pStyle w:val="Compact"/>
      </w:pPr>
      <w:r>
        <w:t xml:space="preserve">пользователи имеют доступ только к разрешённым сервисам;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администратор обладает расширенными правами (Telnet, FTP, управление сетью);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ограничен доступ из сети Other;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защищена сеть управления сетевым оборудованием.</w:t>
      </w:r>
    </w:p>
    <w:bookmarkEnd w:id="33"/>
    <w:bookmarkStart w:id="78" w:name="проверка-работы-списков-контроля-доступ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списков контроля доступа</w:t>
      </w:r>
    </w:p>
    <w:p>
      <w:pPr>
        <w:numPr>
          <w:ilvl w:val="0"/>
          <w:numId w:val="1005"/>
        </w:numPr>
      </w:pPr>
      <w:r>
        <w:t xml:space="preserve">Выполнена проверка доступа к web-серверу с пользовательского ПК.</w:t>
      </w:r>
      <w:r>
        <w:br/>
      </w:r>
      <w:r>
        <w:t xml:space="preserve">В веб-браузере успешно открыт сайт, что подтверждает корректную настройку доступа по протоколу HTTP (порт 80).</w:t>
      </w:r>
    </w:p>
    <w:p>
      <w:pPr>
        <w:numPr>
          <w:ilvl w:val="0"/>
          <w:numId w:val="1000"/>
        </w:numPr>
        <w:pStyle w:val="CaptionedFigure"/>
      </w:pPr>
      <w:bookmarkStart w:id="37" w:name="fig:010"/>
      <w:r>
        <w:drawing>
          <wp:inline>
            <wp:extent cx="5334000" cy="2835603"/>
            <wp:effectExtent b="0" l="0" r="0" t="0"/>
            <wp:docPr descr="Рис. 4: Проверка доступа к web-серверу через браузер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Проверка доступа к web-серверу через браузер</w:t>
      </w:r>
    </w:p>
    <w:p>
      <w:pPr>
        <w:numPr>
          <w:ilvl w:val="0"/>
          <w:numId w:val="1005"/>
        </w:numPr>
      </w:pPr>
      <w:r>
        <w:t xml:space="preserve">Выполнена попытка подключения к FTP-серверу с обычного пользовательского ПК.</w:t>
      </w:r>
      <w:r>
        <w:br/>
      </w:r>
      <w:r>
        <w:t xml:space="preserve">Соединение не установлено, получено сообщение об ошибке, что подтверждает запрет доступа для неадминистративных пользователей.</w:t>
      </w:r>
    </w:p>
    <w:p>
      <w:pPr>
        <w:numPr>
          <w:ilvl w:val="0"/>
          <w:numId w:val="1000"/>
        </w:numPr>
        <w:pStyle w:val="CaptionedFigure"/>
      </w:pPr>
      <w:bookmarkStart w:id="41" w:name="fig:011"/>
      <w:r>
        <w:drawing>
          <wp:inline>
            <wp:extent cx="4100362" cy="3185962"/>
            <wp:effectExtent b="0" l="0" r="0" t="0"/>
            <wp:docPr descr="Рис. 5: Запрет доступа к FTP для обычного пользовател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318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Запрет доступа к FTP для обычного пользователя</w:t>
      </w:r>
    </w:p>
    <w:p>
      <w:pPr>
        <w:numPr>
          <w:ilvl w:val="0"/>
          <w:numId w:val="1005"/>
        </w:numPr>
      </w:pPr>
      <w:r>
        <w:t xml:space="preserve">Выполнена проверка доступа к FTP-серверу с ПК администратора.</w:t>
      </w:r>
      <w:r>
        <w:br/>
      </w:r>
      <w:r>
        <w:t xml:space="preserve">Соединение успешно установлено, выполнена аутентификация, что подтверждает корректную настройку разрешений для администратора.</w:t>
      </w:r>
    </w:p>
    <w:p>
      <w:pPr>
        <w:numPr>
          <w:ilvl w:val="0"/>
          <w:numId w:val="1000"/>
        </w:numPr>
        <w:pStyle w:val="CaptionedFigure"/>
      </w:pPr>
      <w:bookmarkStart w:id="45" w:name="fig:012"/>
      <w:r>
        <w:drawing>
          <wp:inline>
            <wp:extent cx="5274644" cy="2791326"/>
            <wp:effectExtent b="0" l="0" r="0" t="0"/>
            <wp:docPr descr="Рис. 6: Успешное FTP-подключение администратор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Успешное FTP-подключение администратора</w:t>
      </w:r>
    </w:p>
    <w:p>
      <w:pPr>
        <w:numPr>
          <w:ilvl w:val="0"/>
          <w:numId w:val="1005"/>
        </w:numPr>
      </w:pPr>
      <w:r>
        <w:t xml:space="preserve">Аналогичная проверка выполнена с другого административного узла.</w:t>
      </w:r>
      <w:r>
        <w:br/>
      </w:r>
      <w:r>
        <w:t xml:space="preserve">Доступ к FTP-серверу также успешно установлен, что подтверждает корректность настроек для всех административных ПК.</w:t>
      </w:r>
    </w:p>
    <w:p>
      <w:pPr>
        <w:numPr>
          <w:ilvl w:val="0"/>
          <w:numId w:val="1000"/>
        </w:numPr>
        <w:pStyle w:val="CaptionedFigure"/>
      </w:pPr>
      <w:bookmarkStart w:id="49" w:name="fig:013"/>
      <w:r>
        <w:drawing>
          <wp:inline>
            <wp:extent cx="4658627" cy="3022332"/>
            <wp:effectExtent b="0" l="0" r="0" t="0"/>
            <wp:docPr descr="Рис. 7: FTP-доступ с другого административного ПК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302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FTP-доступ с другого административного ПК</w:t>
      </w:r>
    </w:p>
    <w:p>
      <w:pPr>
        <w:numPr>
          <w:ilvl w:val="0"/>
          <w:numId w:val="1005"/>
        </w:numPr>
      </w:pPr>
      <w:r>
        <w:t xml:space="preserve">Выполнена проверка подключения к файловому серверу по доменному имени.</w:t>
      </w:r>
      <w:r>
        <w:br/>
      </w:r>
      <w:r>
        <w:t xml:space="preserve">Соединение успешно установлено, выполнен вход на сервер, что подтверждает корректную работу DNS и разрешённых сервисов.</w:t>
      </w:r>
    </w:p>
    <w:p>
      <w:pPr>
        <w:numPr>
          <w:ilvl w:val="0"/>
          <w:numId w:val="1000"/>
        </w:numPr>
        <w:pStyle w:val="CaptionedFigure"/>
      </w:pPr>
      <w:bookmarkStart w:id="53" w:name="fig:014"/>
      <w:r>
        <w:drawing>
          <wp:inline>
            <wp:extent cx="4552749" cy="2974206"/>
            <wp:effectExtent b="0" l="0" r="0" t="0"/>
            <wp:docPr descr="Рис. 8: Подключение к файловому серверу по имен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297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Подключение к файловому серверу по имени</w:t>
      </w:r>
    </w:p>
    <w:p>
      <w:pPr>
        <w:numPr>
          <w:ilvl w:val="0"/>
          <w:numId w:val="1005"/>
        </w:numPr>
      </w:pPr>
      <w:r>
        <w:t xml:space="preserve">Проверена работа почтового сервера.</w:t>
      </w:r>
      <w:r>
        <w:br/>
      </w:r>
      <w:r>
        <w:t xml:space="preserve">На сервере включены службы SMTP и POP3, настроен домен и создан пользователь.</w:t>
      </w:r>
    </w:p>
    <w:p>
      <w:pPr>
        <w:numPr>
          <w:ilvl w:val="0"/>
          <w:numId w:val="1000"/>
        </w:numPr>
        <w:pStyle w:val="CaptionedFigure"/>
      </w:pPr>
      <w:bookmarkStart w:id="57" w:name="fig:015"/>
      <w:r>
        <w:drawing>
          <wp:inline>
            <wp:extent cx="5334000" cy="3093720"/>
            <wp:effectExtent b="0" l="0" r="0" t="0"/>
            <wp:docPr descr="Рис. 9: Настройка почтового сервер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почтового сервера</w:t>
      </w:r>
    </w:p>
    <w:p>
      <w:pPr>
        <w:numPr>
          <w:ilvl w:val="0"/>
          <w:numId w:val="1005"/>
        </w:numPr>
      </w:pPr>
      <w:r>
        <w:t xml:space="preserve">Выполнена отправка и получение электронной почты между пользователями.</w:t>
      </w:r>
      <w:r>
        <w:br/>
      </w:r>
      <w:r>
        <w:t xml:space="preserve">Сообщение успешно доставлено, что подтверждает корректную работу протоколов SMTP и POP3.</w:t>
      </w:r>
    </w:p>
    <w:p>
      <w:pPr>
        <w:numPr>
          <w:ilvl w:val="0"/>
          <w:numId w:val="1000"/>
        </w:numPr>
        <w:pStyle w:val="CaptionedFigure"/>
      </w:pPr>
      <w:bookmarkStart w:id="61" w:name="fig:016"/>
      <w:r>
        <w:drawing>
          <wp:inline>
            <wp:extent cx="5334000" cy="3119270"/>
            <wp:effectExtent b="0" l="0" r="0" t="0"/>
            <wp:docPr descr="Рис. 10: Проверка отправки и получения электронной почты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Проверка отправки и получения электронной почты</w:t>
      </w:r>
    </w:p>
    <w:p>
      <w:pPr>
        <w:numPr>
          <w:ilvl w:val="0"/>
          <w:numId w:val="1005"/>
        </w:numPr>
      </w:pPr>
      <w:r>
        <w:t xml:space="preserve">Повторно подтверждён доступ к web-серверу с пользовательского ПК.</w:t>
      </w:r>
      <w:r>
        <w:br/>
      </w:r>
      <w:r>
        <w:t xml:space="preserve">Веб-страница успешно загружается, что соответствует настроенным правилам доступа.</w:t>
      </w:r>
    </w:p>
    <w:p>
      <w:pPr>
        <w:numPr>
          <w:ilvl w:val="0"/>
          <w:numId w:val="1000"/>
        </w:numPr>
        <w:pStyle w:val="CaptionedFigure"/>
      </w:pPr>
      <w:bookmarkStart w:id="65" w:name="fig:017"/>
      <w:r>
        <w:drawing>
          <wp:inline>
            <wp:extent cx="5334000" cy="2747818"/>
            <wp:effectExtent b="0" l="0" r="0" t="0"/>
            <wp:docPr descr="Рис. 11: Доступ к web-серверу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Доступ к web-серверу</w:t>
      </w:r>
    </w:p>
    <w:p>
      <w:pPr>
        <w:numPr>
          <w:ilvl w:val="0"/>
          <w:numId w:val="1005"/>
        </w:numPr>
      </w:pPr>
      <w:r>
        <w:t xml:space="preserve">Выполнена проверка сетевой связности с использованием команды ping.</w:t>
      </w:r>
      <w:r>
        <w:br/>
      </w:r>
      <w:r>
        <w:t xml:space="preserve">Узлы сети успешно отвечают на ICMP-запросы, что подтверждает разрешение ICMP-трафика.</w:t>
      </w:r>
    </w:p>
    <w:p>
      <w:pPr>
        <w:numPr>
          <w:ilvl w:val="0"/>
          <w:numId w:val="1000"/>
        </w:numPr>
        <w:pStyle w:val="CaptionedFigure"/>
      </w:pPr>
      <w:bookmarkStart w:id="69" w:name="fig:018"/>
      <w:r>
        <w:drawing>
          <wp:inline>
            <wp:extent cx="5334000" cy="6065572"/>
            <wp:effectExtent b="0" l="0" r="0" t="0"/>
            <wp:docPr descr="Рис. 12: Проверка ICMP-сообщений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Проверка ICMP-сообщений</w:t>
      </w:r>
    </w:p>
    <w:p>
      <w:pPr>
        <w:numPr>
          <w:ilvl w:val="0"/>
          <w:numId w:val="1005"/>
        </w:numPr>
      </w:pPr>
      <w:r>
        <w:t xml:space="preserve">Проверен доступ к сетевому оборудованию по протоколу SSH с административного ПК.</w:t>
      </w:r>
      <w:r>
        <w:br/>
      </w:r>
      <w:r>
        <w:t xml:space="preserve">Подключение успешно установлено, выполнен вход в систему, что подтверждает корректную настройку доступа к сети управления.</w:t>
      </w:r>
    </w:p>
    <w:p>
      <w:pPr>
        <w:pStyle w:val="CaptionedFigure"/>
      </w:pPr>
      <w:bookmarkStart w:id="73" w:name="fig:019"/>
      <w:r>
        <w:drawing>
          <wp:inline>
            <wp:extent cx="4668252" cy="2935705"/>
            <wp:effectExtent b="0" l="0" r="0" t="0"/>
            <wp:docPr descr="Рис. 13: Успешное SSH-подключение администратора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293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Успешное SSH-подключение администратора</w:t>
      </w:r>
    </w:p>
    <w:p>
      <w:pPr>
        <w:pStyle w:val="CaptionedFigure"/>
      </w:pPr>
      <w:bookmarkStart w:id="77" w:name="fig:020"/>
      <w:r>
        <w:drawing>
          <wp:inline>
            <wp:extent cx="4494997" cy="2829827"/>
            <wp:effectExtent b="0" l="0" r="0" t="0"/>
            <wp:docPr descr="Рис. 14: Успешное SSH-подключение второго администратора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Успешное SSH-подключение второго администратора</w:t>
      </w:r>
    </w:p>
    <w:bookmarkEnd w:id="78"/>
    <w:bookmarkEnd w:id="79"/>
    <w:bookmarkStart w:id="8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была построена сеть с сегментацией пользователей и серверов, а также реализована система фильтрации трафика с использованием расширенных списков контроля доступа (ACL).</w:t>
      </w:r>
    </w:p>
    <w:p>
      <w:pPr>
        <w:pStyle w:val="BodyText"/>
      </w:pPr>
      <w:r>
        <w:t xml:space="preserve">Настроены правила доступа к различным типам серверов: web, file, mail и DNS. Обеспечено разграничение прав пользователей и администратора, включая доступ по протоколам HTTP, FTP, SMTP, POP3, Telnet и SSH.</w:t>
      </w:r>
    </w:p>
    <w:p>
      <w:pPr>
        <w:pStyle w:val="BodyText"/>
      </w:pPr>
      <w:r>
        <w:t xml:space="preserve">Проведена проверка работоспособности сети. Установлено, что web-сервер доступен всем пользователям по протоколу HTTP, почтовый сервер корректно обрабатывает SMTP и POP3-запросы, а DNS-сервер обеспечивает разрешение доменных имён. Доступ к FTP и управлению сетевым оборудованием разрешён только администраторам.</w:t>
      </w:r>
    </w:p>
    <w:p>
      <w:pPr>
        <w:pStyle w:val="BodyText"/>
      </w:pPr>
      <w:r>
        <w:t xml:space="preserve">Дополнительно ограничен доступ для сети Other, что повышает безопасность сети. Проверка с использованием ping подтвердила корректную работу ICMP и сетевую связность узлов.</w:t>
      </w:r>
    </w:p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Как задать действие правила для конкретного протокола?</w:t>
      </w:r>
      <w:r>
        <w:br/>
      </w:r>
      <w:r>
        <w:t xml:space="preserve">Действие правила для конкретного протокола задаётся при создании записи в списке контроля доступа с указанием типа протокола (например,</w:t>
      </w:r>
      <w:r>
        <w:t xml:space="preserve"> </w:t>
      </w:r>
      <w:r>
        <w:rPr>
          <w:rStyle w:val="VerbatimChar"/>
        </w:rPr>
        <w:t xml:space="preserve">tcp</w:t>
      </w:r>
      <w:r>
        <w:t xml:space="preserve">,</w:t>
      </w:r>
      <w:r>
        <w:t xml:space="preserve"> </w:t>
      </w:r>
      <w:r>
        <w:rPr>
          <w:rStyle w:val="VerbatimChar"/>
        </w:rPr>
        <w:t xml:space="preserve">udp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ip</w:t>
      </w:r>
      <w:r>
        <w:t xml:space="preserve">) и действия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Таким образом определяется, разрешён или запрещён трафик выбранного протокола.</w:t>
      </w:r>
    </w:p>
    <w:p>
      <w:pPr>
        <w:numPr>
          <w:ilvl w:val="0"/>
          <w:numId w:val="1006"/>
        </w:numPr>
      </w:pPr>
      <w:r>
        <w:t xml:space="preserve">Как задать действие правила сразу для нескольких портов?</w:t>
      </w:r>
      <w:r>
        <w:br/>
      </w:r>
      <w:r>
        <w:t xml:space="preserve">Для задания правила сразу для нескольких портов 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которое позволяет указать диапазон портов (например,</w:t>
      </w:r>
      <w:r>
        <w:t xml:space="preserve"> </w:t>
      </w:r>
      <w:r>
        <w:rPr>
          <w:rStyle w:val="VerbatimChar"/>
        </w:rPr>
        <w:t xml:space="preserve">range 20 21</w:t>
      </w:r>
      <w:r>
        <w:t xml:space="preserve"> </w:t>
      </w:r>
      <w:r>
        <w:t xml:space="preserve">для FTP). Также можно создавать несколько отдельных правил для разных портов.</w:t>
      </w:r>
    </w:p>
    <w:p>
      <w:pPr>
        <w:numPr>
          <w:ilvl w:val="0"/>
          <w:numId w:val="1006"/>
        </w:numPr>
      </w:pPr>
      <w:r>
        <w:t xml:space="preserve">Как узнать номер правила в списке прав доступа?</w:t>
      </w:r>
      <w:r>
        <w:br/>
      </w:r>
      <w:r>
        <w:t xml:space="preserve">Номер правила можно узнать с помощью команды просмотра списков доступа, например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В выводе каждая запись имеет свой порядковый номер (sequence number), который определяет порядок обработки правил.</w:t>
      </w:r>
    </w:p>
    <w:p>
      <w:pPr>
        <w:numPr>
          <w:ilvl w:val="0"/>
          <w:numId w:val="1006"/>
        </w:numPr>
      </w:pPr>
      <w:r>
        <w:t xml:space="preserve">Каким образом можно изменить порядок применения правил в списке контроля доступа?</w:t>
      </w:r>
      <w:r>
        <w:br/>
      </w:r>
      <w:r>
        <w:t xml:space="preserve">Порядок правил можно изменить, задавая sequence number при добавлении новых записей или удаляя и добавляя правила заново в нужной последовательности. Также возможно редактирование списка с использованием нумерации, чтобы вставить правило в определённую позицию.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Абрикосов Артем</dc:creator>
  <dc:language>ru-RU</dc:language>
  <cp:keywords/>
  <dcterms:created xsi:type="dcterms:W3CDTF">2026-04-13T11:27:49Z</dcterms:created>
  <dcterms:modified xsi:type="dcterms:W3CDTF">2026-04-13T11:27:49Z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