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9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Start w:id="7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67" w:name="X142643c30d9ff66d3f1a8fdf91acf246d04b60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Модернизация схемы сети с добавлением сети провайдера и модельного Интернета</w:t>
      </w:r>
    </w:p>
    <w:p>
      <w:pPr>
        <w:numPr>
          <w:ilvl w:val="0"/>
          <w:numId w:val="1001"/>
        </w:numPr>
      </w:pPr>
      <w:r>
        <w:t xml:space="preserve">В схему уровня L1 внесены изменения: добавлены сеть провайдера и модельная сеть Интернета.</w:t>
      </w:r>
      <w:r>
        <w:br/>
      </w:r>
      <w:r>
        <w:t xml:space="preserve">На схеме указаны наименования оборудования и интерфейсы подключения между устройствами.</w:t>
      </w:r>
      <w:r>
        <w:br/>
      </w:r>
      <w:r>
        <w:t xml:space="preserve">В состав добавленного сегмента включены коммутатор провайдера, маршрутизатор провайдера, коммутатор модельного Интернета, медиаконвертеры и серверы.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5396385"/>
            <wp:effectExtent b="0" l="0" r="0" t="0"/>
            <wp:docPr descr="Рис. 1: схема L1 с сетью провайдера и модельной сетью Интернета" title="" id="22" name="Picture"/>
            <a:graphic>
              <a:graphicData uri="http://schemas.openxmlformats.org/drawingml/2006/picture">
                <pic:pic>
                  <pic:nvPicPr>
                    <pic:cNvPr descr="L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схема L1 с сетью провайдера и модельной сетью Интернета</w:t>
      </w:r>
    </w:p>
    <w:p>
      <w:pPr>
        <w:numPr>
          <w:ilvl w:val="0"/>
          <w:numId w:val="1001"/>
        </w:numPr>
      </w:pPr>
      <w:r>
        <w:t xml:space="preserve">В схемы уровней L2 и L3 внесены изменения с указанием VLAN и адресного пространства для сети провайдера и модельной сети Интернета.</w:t>
      </w:r>
      <w:r>
        <w:br/>
      </w:r>
      <w:r>
        <w:t xml:space="preserve">На схеме L2 отражено распределение VLAN между узлами, а на схеме L3 показаны подсети, используемые в сети «Донская», в сети провайдера и в модельной сети Интернета.</w:t>
      </w:r>
      <w:r>
        <w:br/>
      </w:r>
      <w:r>
        <w:t xml:space="preserve">Для новых сегментов использованы следующие адресные пространства:</w:t>
      </w:r>
    </w:p>
    <w:p>
      <w:pPr>
        <w:numPr>
          <w:ilvl w:val="1"/>
          <w:numId w:val="1002"/>
        </w:numPr>
        <w:pStyle w:val="Compact"/>
      </w:pPr>
      <w:r>
        <w:t xml:space="preserve">сеть провайдера — 198.51.100.0/24;</w:t>
      </w:r>
    </w:p>
    <w:p>
      <w:pPr>
        <w:numPr>
          <w:ilvl w:val="1"/>
          <w:numId w:val="1002"/>
        </w:numPr>
        <w:pStyle w:val="Compact"/>
      </w:pPr>
      <w:r>
        <w:t xml:space="preserve">модельная сеть Интернета — 192.0.2.0/24.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224824"/>
            <wp:effectExtent b="0" l="0" r="0" t="0"/>
            <wp:docPr descr="Рис. 2: схема L2 сети" title="" id="26" name="Picture"/>
            <a:graphic>
              <a:graphicData uri="http://schemas.openxmlformats.org/drawingml/2006/picture">
                <pic:pic>
                  <pic:nvPicPr>
                    <pic:cNvPr descr="L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схема L2 сети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6351358"/>
            <wp:effectExtent b="0" l="0" r="0" t="0"/>
            <wp:docPr descr="Рис. 3: схема L3 сети" title="" id="30" name="Picture"/>
            <a:graphic>
              <a:graphicData uri="http://schemas.openxmlformats.org/drawingml/2006/picture">
                <pic:pic>
                  <pic:nvPicPr>
                    <pic:cNvPr descr="L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схема L3 сети</w:t>
      </w:r>
    </w:p>
    <w:p>
      <w:pPr>
        <w:numPr>
          <w:ilvl w:val="0"/>
          <w:numId w:val="1001"/>
        </w:numPr>
      </w:pPr>
      <w:r>
        <w:t xml:space="preserve">В логической рабочей области Cisco Packet Tracer на схеме предыдущего проекта размещено оборудование, необходимое для сети провайдера и модельной сети Интернета:</w:t>
      </w:r>
    </w:p>
    <w:p>
      <w:pPr>
        <w:numPr>
          <w:ilvl w:val="1"/>
          <w:numId w:val="1003"/>
        </w:numPr>
        <w:pStyle w:val="Compact"/>
      </w:pPr>
      <w:r>
        <w:t xml:space="preserve">4 медиаконвертера Repeater-PT;</w:t>
      </w:r>
    </w:p>
    <w:p>
      <w:pPr>
        <w:numPr>
          <w:ilvl w:val="1"/>
          <w:numId w:val="1003"/>
        </w:numPr>
        <w:pStyle w:val="Compact"/>
      </w:pPr>
      <w:r>
        <w:t xml:space="preserve">2 коммутатора Cisco 2960-24TT;</w:t>
      </w:r>
    </w:p>
    <w:p>
      <w:pPr>
        <w:numPr>
          <w:ilvl w:val="1"/>
          <w:numId w:val="1003"/>
        </w:numPr>
        <w:pStyle w:val="Compact"/>
      </w:pPr>
      <w:r>
        <w:t xml:space="preserve">1 маршрутизатор Cisco 2811;</w:t>
      </w:r>
    </w:p>
    <w:p>
      <w:pPr>
        <w:numPr>
          <w:ilvl w:val="1"/>
          <w:numId w:val="1003"/>
        </w:numPr>
        <w:pStyle w:val="Compact"/>
      </w:pPr>
      <w:r>
        <w:t xml:space="preserve">4 сервера.</w:t>
      </w:r>
    </w:p>
    <w:p>
      <w:pPr>
        <w:numPr>
          <w:ilvl w:val="0"/>
          <w:numId w:val="1000"/>
        </w:numPr>
      </w:pPr>
      <w:r>
        <w:t xml:space="preserve">После размещения оборудование было подключено в соответствии со скорректированной схемой сети.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4985886" cy="3715351"/>
            <wp:effectExtent b="0" l="0" r="0" t="0"/>
            <wp:docPr descr="Рис. 4: Размещение оборудования сети провайдера и модельного Интернета в рабочей области проекта" title="" id="34" name="Picture"/>
            <a:graphic>
              <a:graphicData uri="http://schemas.openxmlformats.org/drawingml/2006/picture">
                <pic:pic>
                  <pic:nvPicPr>
                    <pic:cNvPr descr="Screenshot_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371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Размещение оборудования сети провайдера и модельного Интернета в рабочей области проекта</w:t>
      </w:r>
    </w:p>
    <w:p>
      <w:pPr>
        <w:numPr>
          <w:ilvl w:val="0"/>
          <w:numId w:val="1001"/>
        </w:numPr>
      </w:pPr>
      <w:r>
        <w:t xml:space="preserve">Всем добавленным объектам присвоены имена в соответствии с модельными предположениями и схемой L1.</w:t>
      </w:r>
      <w:r>
        <w:br/>
      </w:r>
      <w:r>
        <w:t xml:space="preserve">Для устройств сети провайдера использованы имена вида provider-akabrikosov-</w:t>
      </w:r>
      <w:r>
        <w:rPr>
          <w:iCs/>
          <w:i/>
        </w:rPr>
        <w:t xml:space="preserve">, а для устройств модельного Интернета — internet-akabrikosov-</w:t>
      </w:r>
      <w:r>
        <w:t xml:space="preserve">.</w:t>
      </w:r>
      <w:r>
        <w:br/>
      </w:r>
      <w:r>
        <w:t xml:space="preserve">Серверы получили имена в соответствии с их назначением и доменными именами.</w:t>
      </w:r>
    </w:p>
    <w:p>
      <w:pPr>
        <w:numPr>
          <w:ilvl w:val="0"/>
          <w:numId w:val="1000"/>
        </w:numPr>
        <w:pStyle w:val="CaptionedFigure"/>
      </w:pPr>
      <w:bookmarkStart w:id="39" w:name="fig:005"/>
      <w:r>
        <w:drawing>
          <wp:inline>
            <wp:extent cx="4985886" cy="3715351"/>
            <wp:effectExtent b="0" l="0" r="0" t="0"/>
            <wp:docPr descr="Рис. 5: Именование объектов сети провайдера и модельного Интернета" title="" id="37" name="Picture"/>
            <a:graphic>
              <a:graphicData uri="http://schemas.openxmlformats.org/drawingml/2006/picture">
                <pic:pic>
                  <pic:nvPicPr>
                    <pic:cNvPr descr="Screenshot_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371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5: Именование объектов сети провайдера и модельного Интернета</w:t>
      </w:r>
    </w:p>
    <w:p>
      <w:pPr>
        <w:numPr>
          <w:ilvl w:val="0"/>
          <w:numId w:val="1001"/>
        </w:numPr>
      </w:pPr>
      <w:r>
        <w:t xml:space="preserve">В физической рабочей области добавлены два здания:</w:t>
      </w:r>
    </w:p>
    <w:p>
      <w:pPr>
        <w:numPr>
          <w:ilvl w:val="1"/>
          <w:numId w:val="1004"/>
        </w:numPr>
        <w:pStyle w:val="Compact"/>
      </w:pPr>
      <w:r>
        <w:t xml:space="preserve">здание провайдера;</w:t>
      </w:r>
    </w:p>
    <w:p>
      <w:pPr>
        <w:numPr>
          <w:ilvl w:val="1"/>
          <w:numId w:val="1004"/>
        </w:numPr>
        <w:pStyle w:val="Compact"/>
      </w:pPr>
      <w:r>
        <w:t xml:space="preserve">здание, имитирующее размещение серверов модельного Интернета.</w:t>
      </w:r>
    </w:p>
    <w:p>
      <w:pPr>
        <w:numPr>
          <w:ilvl w:val="0"/>
          <w:numId w:val="1000"/>
        </w:numPr>
      </w:pPr>
      <w:r>
        <w:t xml:space="preserve">Каждому зданию присвоено соответствующее имя, что обеспечило корректное логическое и физическое разделение сегментов сети.</w:t>
      </w:r>
    </w:p>
    <w:p>
      <w:pPr>
        <w:numPr>
          <w:ilvl w:val="0"/>
          <w:numId w:val="1000"/>
        </w:numPr>
        <w:pStyle w:val="CaptionedFigure"/>
      </w:pPr>
      <w:bookmarkStart w:id="43" w:name="fig:006"/>
      <w:r>
        <w:drawing>
          <wp:inline>
            <wp:extent cx="5334000" cy="2402566"/>
            <wp:effectExtent b="0" l="0" r="0" t="0"/>
            <wp:docPr descr="Рис. 6: Добавленные здания провайдера и модельного Интернета в физической области" title="" id="41" name="Picture"/>
            <a:graphic>
              <a:graphicData uri="http://schemas.openxmlformats.org/drawingml/2006/picture">
                <pic:pic>
                  <pic:nvPicPr>
                    <pic:cNvPr descr="Screenshot_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6: Добавленные здания провайдера и модельного Интернета в физической области</w:t>
      </w:r>
    </w:p>
    <w:p>
      <w:pPr>
        <w:numPr>
          <w:ilvl w:val="0"/>
          <w:numId w:val="1001"/>
        </w:numPr>
      </w:pPr>
      <w:r>
        <w:t xml:space="preserve">Оборудование сети провайдера перенесено в здание провайдера.</w:t>
      </w:r>
      <w:r>
        <w:br/>
      </w:r>
      <w:r>
        <w:t xml:space="preserve">Внутри стойки размещены медиаконвертеры, коммутатор и маршрутизатор, после чего выполнено их физическое соединение.</w:t>
      </w:r>
    </w:p>
    <w:p>
      <w:pPr>
        <w:numPr>
          <w:ilvl w:val="0"/>
          <w:numId w:val="1000"/>
        </w:numPr>
        <w:pStyle w:val="CaptionedFigure"/>
      </w:pPr>
      <w:bookmarkStart w:id="47" w:name="fig:007"/>
      <w:r>
        <w:drawing>
          <wp:inline>
            <wp:extent cx="4629751" cy="3763477"/>
            <wp:effectExtent b="0" l="0" r="0" t="0"/>
            <wp:docPr descr="Рис. 7: Размещение оборудования провайдера в физической рабочей области" title="" id="45" name="Picture"/>
            <a:graphic>
              <a:graphicData uri="http://schemas.openxmlformats.org/drawingml/2006/picture">
                <pic:pic>
                  <pic:nvPicPr>
                    <pic:cNvPr descr="Screenshot_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376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7: Размещение оборудования провайдера в физической рабочей области</w:t>
      </w:r>
    </w:p>
    <w:p>
      <w:pPr>
        <w:numPr>
          <w:ilvl w:val="0"/>
          <w:numId w:val="1001"/>
        </w:numPr>
      </w:pPr>
      <w:r>
        <w:t xml:space="preserve">Оборудование модельной сети Интернета и серверы перенесены в отдельное здание, предназначенное для имитации внешней сети.</w:t>
      </w:r>
      <w:r>
        <w:br/>
      </w:r>
      <w:r>
        <w:t xml:space="preserve">Серверы размещены в соответствии со структурой проекта и подключены к коммутатору модельного Интернета.</w:t>
      </w:r>
    </w:p>
    <w:p>
      <w:pPr>
        <w:numPr>
          <w:ilvl w:val="0"/>
          <w:numId w:val="1000"/>
        </w:numPr>
        <w:pStyle w:val="CaptionedFigure"/>
      </w:pPr>
      <w:bookmarkStart w:id="51" w:name="fig:008"/>
      <w:r>
        <w:drawing>
          <wp:inline>
            <wp:extent cx="5334000" cy="2252741"/>
            <wp:effectExtent b="0" l="0" r="0" t="0"/>
            <wp:docPr descr="Рис. 8: Размещение оборудования модельного Интернета в физической рабочей области" title="" id="49" name="Picture"/>
            <a:graphic>
              <a:graphicData uri="http://schemas.openxmlformats.org/drawingml/2006/picture">
                <pic:pic>
                  <pic:nvPicPr>
                    <pic:cNvPr descr="Screenshot_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8: Размещение оборудования модельного Интернета в физической рабочей области</w:t>
      </w:r>
    </w:p>
    <w:p>
      <w:pPr>
        <w:numPr>
          <w:ilvl w:val="0"/>
          <w:numId w:val="1000"/>
        </w:numPr>
        <w:pStyle w:val="CaptionedFigure"/>
      </w:pPr>
      <w:bookmarkStart w:id="55" w:name="fig:009"/>
      <w:r>
        <w:drawing>
          <wp:inline>
            <wp:extent cx="4389120" cy="2338938"/>
            <wp:effectExtent b="0" l="0" r="0" t="0"/>
            <wp:docPr descr="Рис. 9: Размещение коммутатора и медиаконвертера модельной сети Интернета" title="" id="53" name="Picture"/>
            <a:graphic>
              <a:graphicData uri="http://schemas.openxmlformats.org/drawingml/2006/picture">
                <pic:pic>
                  <pic:nvPicPr>
                    <pic:cNvPr descr="Screenshot_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9: Размещение коммутатора и медиаконвертера модельной сети Интернета</w:t>
      </w:r>
    </w:p>
    <w:p>
      <w:pPr>
        <w:numPr>
          <w:ilvl w:val="0"/>
          <w:numId w:val="1001"/>
        </w:numPr>
      </w:pPr>
      <w:r>
        <w:t xml:space="preserve">Выполнено соединение всех объектов согласно скорректированной схеме L1.</w:t>
      </w:r>
      <w:r>
        <w:br/>
      </w:r>
      <w:r>
        <w:t xml:space="preserve">Каналы связи организованы между сетью «Донская», сетью провайдера и модельной сетью Интернета.</w:t>
      </w:r>
      <w:r>
        <w:br/>
      </w:r>
      <w:r>
        <w:t xml:space="preserve">После завершения коммутации сформирована единая топология, обеспечивающая доступ внутренних узлов к внешним серверам через сеть провайдера.</w:t>
      </w:r>
    </w:p>
    <w:p>
      <w:pPr>
        <w:numPr>
          <w:ilvl w:val="0"/>
          <w:numId w:val="1000"/>
        </w:numPr>
        <w:pStyle w:val="CaptionedFigure"/>
      </w:pPr>
      <w:bookmarkStart w:id="58" w:name="fig:010"/>
      <w:r>
        <w:drawing>
          <wp:inline>
            <wp:extent cx="4985886" cy="3715351"/>
            <wp:effectExtent b="0" l="0" r="0" t="0"/>
            <wp:docPr descr="Рис. 10: Итоговая топология после соединения объектов" title="" id="56" name="Picture"/>
            <a:graphic>
              <a:graphicData uri="http://schemas.openxmlformats.org/drawingml/2006/picture">
                <pic:pic>
                  <pic:nvPicPr>
                    <pic:cNvPr descr="Screenshot_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371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10: Итоговая топология после соединения объектов</w:t>
      </w:r>
    </w:p>
    <w:p>
      <w:pPr>
        <w:numPr>
          <w:ilvl w:val="0"/>
          <w:numId w:val="1001"/>
        </w:numPr>
      </w:pPr>
      <w:r>
        <w:t xml:space="preserve">На серверах модельной сети Интернета вручную настроены IP-адреса в соответствии с таблицей распределения адресов.</w:t>
      </w:r>
      <w:r>
        <w:br/>
      </w:r>
      <w:r>
        <w:t xml:space="preserve">Для каждого сервера заданы IPv4-адрес, маска подсети и шлюз по умолчанию.</w:t>
      </w:r>
      <w:r>
        <w:br/>
      </w:r>
      <w:r>
        <w:t xml:space="preserve">На рисунке показан пример настройки одного из серверов, расположенного в сети 192.0.2.0/24.</w:t>
      </w:r>
    </w:p>
    <w:p>
      <w:pPr>
        <w:numPr>
          <w:ilvl w:val="0"/>
          <w:numId w:val="1000"/>
        </w:numPr>
        <w:pStyle w:val="CaptionedFigure"/>
      </w:pPr>
      <w:bookmarkStart w:id="62" w:name="fig:011"/>
      <w:r>
        <w:drawing>
          <wp:inline>
            <wp:extent cx="5334000" cy="2193206"/>
            <wp:effectExtent b="0" l="0" r="0" t="0"/>
            <wp:docPr descr="Рис. 11: Пример настройки IP-адреса сервера модельного Интернета" title="" id="60" name="Picture"/>
            <a:graphic>
              <a:graphicData uri="http://schemas.openxmlformats.org/drawingml/2006/picture">
                <pic:pic>
                  <pic:nvPicPr>
                    <pic:cNvPr descr="Screenshot_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11: Пример настройки IP-адреса сервера модельного Интернета</w:t>
      </w:r>
    </w:p>
    <w:p>
      <w:pPr>
        <w:numPr>
          <w:ilvl w:val="0"/>
          <w:numId w:val="1001"/>
        </w:numPr>
      </w:pPr>
      <w:r>
        <w:t xml:space="preserve">На DNS-сервере сети «Донская» внесены сведения о серверах сети провайдера и модельного Интернета.</w:t>
      </w:r>
      <w:r>
        <w:br/>
      </w:r>
      <w:r>
        <w:t xml:space="preserve">Для доменных имен созданы ресурсные записи типа A Record, связывающие имена узлов с их IP-адресами.</w:t>
      </w:r>
      <w:r>
        <w:br/>
      </w:r>
      <w:r>
        <w:t xml:space="preserve">В DNS добавлены записи для серверов:</w:t>
      </w:r>
    </w:p>
    <w:p>
      <w:pPr>
        <w:numPr>
          <w:ilvl w:val="1"/>
          <w:numId w:val="1005"/>
        </w:numPr>
        <w:pStyle w:val="Compact"/>
      </w:pPr>
      <w:r>
        <w:t xml:space="preserve">dns.donskaya.rudn.edu;</w:t>
      </w:r>
    </w:p>
    <w:p>
      <w:pPr>
        <w:numPr>
          <w:ilvl w:val="1"/>
          <w:numId w:val="1005"/>
        </w:numPr>
        <w:pStyle w:val="Compact"/>
      </w:pPr>
      <w:r>
        <w:t xml:space="preserve">esystem.pfur.ru;</w:t>
      </w:r>
    </w:p>
    <w:p>
      <w:pPr>
        <w:numPr>
          <w:ilvl w:val="1"/>
          <w:numId w:val="1005"/>
        </w:numPr>
        <w:pStyle w:val="Compact"/>
      </w:pPr>
      <w:r>
        <w:t xml:space="preserve">file.donskaya.rudn.edu;</w:t>
      </w:r>
    </w:p>
    <w:p>
      <w:pPr>
        <w:numPr>
          <w:ilvl w:val="1"/>
          <w:numId w:val="1005"/>
        </w:numPr>
        <w:pStyle w:val="Compact"/>
      </w:pPr>
      <w:r>
        <w:t xml:space="preserve">mail.donskaya.rudn.edu;</w:t>
      </w:r>
    </w:p>
    <w:p>
      <w:pPr>
        <w:numPr>
          <w:ilvl w:val="1"/>
          <w:numId w:val="1005"/>
        </w:numPr>
        <w:pStyle w:val="Compact"/>
      </w:pPr>
      <w:r>
        <w:t xml:space="preserve">stud.rudn.university;</w:t>
      </w:r>
    </w:p>
    <w:p>
      <w:pPr>
        <w:numPr>
          <w:ilvl w:val="1"/>
          <w:numId w:val="1005"/>
        </w:numPr>
        <w:pStyle w:val="Compact"/>
      </w:pPr>
      <w:r>
        <w:t xml:space="preserve">www.donskaya.rudn.edu;</w:t>
      </w:r>
    </w:p>
    <w:p>
      <w:pPr>
        <w:numPr>
          <w:ilvl w:val="1"/>
          <w:numId w:val="1005"/>
        </w:numPr>
        <w:pStyle w:val="Compact"/>
      </w:pPr>
      <w:r>
        <w:t xml:space="preserve">www.rudn.ru;</w:t>
      </w:r>
    </w:p>
    <w:p>
      <w:pPr>
        <w:numPr>
          <w:ilvl w:val="1"/>
          <w:numId w:val="1005"/>
        </w:numPr>
        <w:pStyle w:val="Compact"/>
      </w:pPr>
      <w:r>
        <w:t xml:space="preserve">www.yandex.ru.</w:t>
      </w:r>
    </w:p>
    <w:p>
      <w:pPr>
        <w:pStyle w:val="CaptionedFigure"/>
      </w:pPr>
      <w:bookmarkStart w:id="66" w:name="fig:012"/>
      <w:r>
        <w:drawing>
          <wp:inline>
            <wp:extent cx="5334000" cy="4592952"/>
            <wp:effectExtent b="0" l="0" r="0" t="0"/>
            <wp:docPr descr="Рис. 12: Настройка DNS-записей на DNS-сервере сети «Донская»" title="" id="64" name="Picture"/>
            <a:graphic>
              <a:graphicData uri="http://schemas.openxmlformats.org/drawingml/2006/picture">
                <pic:pic>
                  <pic:nvPicPr>
                    <pic:cNvPr descr="Screenshot_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12: Настройка DNS-записей на DNS-сервере сети «Донская»</w:t>
      </w:r>
    </w:p>
    <w:bookmarkEnd w:id="67"/>
    <w:bookmarkStart w:id="68" w:name="таблица-vl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Транзитная сеть провайдера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</w:tr>
    </w:tbl>
    <w:bookmarkEnd w:id="68"/>
    <w:bookmarkStart w:id="69" w:name="таблица-портов-подключе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Таблица портов подключения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2,101,102,103,104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192.0.2.0/24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192.0.2.0/24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192.0.2.0/24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9"/>
    <w:bookmarkEnd w:id="70"/>
    <w:bookmarkStart w:id="7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модернизирована существующая сеть путём добавления сети провайдера и модельной сети Интернета в среде Cisco Packet Tracer.</w:t>
      </w:r>
      <w:r>
        <w:br/>
      </w:r>
      <w:r>
        <w:t xml:space="preserve">Выполнена корректировка схем уровней L1, L2 и L3 с учётом новых сегментов сети, произведено распределение IP-адресов и VLAN.</w:t>
      </w:r>
    </w:p>
    <w:p>
      <w:pPr>
        <w:pStyle w:val="BodyText"/>
      </w:pPr>
      <w:r>
        <w:t xml:space="preserve">Размещено и настроено оборудование провайдера и модельного Интернета, включая маршрутизатор, коммутаторы, медиаконвертеры и серверы.</w:t>
      </w:r>
      <w:r>
        <w:br/>
      </w:r>
      <w:r>
        <w:t xml:space="preserve">Организовано физическое разделение сети с использованием отдельных зданий в физической рабочей области и выполнено подключение устройств в соответствии с топологией.</w:t>
      </w:r>
    </w:p>
    <w:p>
      <w:pPr>
        <w:pStyle w:val="BodyText"/>
      </w:pPr>
      <w:r>
        <w:t xml:space="preserve">Настроена адресация серверов модельной сети Интернета, а также выполнена настройка DNS-сервера сети «Донская» с добавлением записей для разрешения доменных имён.</w:t>
      </w:r>
    </w:p>
    <w:p>
      <w:pPr>
        <w:pStyle w:val="BodyText"/>
      </w:pPr>
      <w:r>
        <w:t xml:space="preserve">В результате обеспечено взаимодействие локальной сети с внешними ресурсами через сеть провайдера, что позволяет моделировать доступ пользователей к Интернет-ресурсам и анализировать процессы маршрутизации и разрешения имён.</w:t>
      </w:r>
    </w:p>
    <w:bookmarkEnd w:id="71"/>
    <w:bookmarkStart w:id="7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 такое Network Address Translation (NAT)?</w:t>
      </w:r>
      <w:r>
        <w:br/>
      </w:r>
      <w:r>
        <w:t xml:space="preserve">Network Address Translation (NAT) — это механизм преобразования сетевых адресов, при котором один или несколько внутренних (частных) IP-адресов заменяются на внешний (публичный) адрес при передаче пакетов во внешнюю сеть. NAT позволяет использовать частные адреса внутри локальной сети и обеспечивает доступ к Интернету через ограниченное количество публичных адресов.</w:t>
      </w:r>
    </w:p>
    <w:p>
      <w:pPr>
        <w:numPr>
          <w:ilvl w:val="0"/>
          <w:numId w:val="1006"/>
        </w:numPr>
      </w:pPr>
      <w:r>
        <w:t xml:space="preserve">Как определить, находится ли узел сети за NAT?</w:t>
      </w:r>
      <w:r>
        <w:br/>
      </w:r>
      <w:r>
        <w:t xml:space="preserve">Определить, находится ли узел за NAT, можно несколькими способами:</w:t>
      </w:r>
    </w:p>
    <w:p>
      <w:pPr>
        <w:numPr>
          <w:ilvl w:val="1"/>
          <w:numId w:val="1007"/>
        </w:numPr>
        <w:pStyle w:val="Compact"/>
      </w:pPr>
      <w:r>
        <w:t xml:space="preserve">сравнить внутренний IP-адрес устройства с внешним адресом, отображаемым в сети Интернет (например, через веб-сервисы);</w:t>
      </w:r>
    </w:p>
    <w:p>
      <w:pPr>
        <w:numPr>
          <w:ilvl w:val="1"/>
          <w:numId w:val="1007"/>
        </w:numPr>
        <w:pStyle w:val="Compact"/>
      </w:pPr>
      <w:r>
        <w:t xml:space="preserve">если используется частный диапазон адресов (10.0.0.0/8, 172.16.0.0/12, 192.168.0.0/16), то узел, как правило, находится за NAT;</w:t>
      </w:r>
    </w:p>
    <w:p>
      <w:pPr>
        <w:numPr>
          <w:ilvl w:val="1"/>
          <w:numId w:val="1007"/>
        </w:numPr>
        <w:pStyle w:val="Compact"/>
      </w:pPr>
      <w:r>
        <w:t xml:space="preserve">по результатам трассировки (tracert/traceroute) можно увидеть промежуточный узел, выполняющий трансляцию;</w:t>
      </w:r>
    </w:p>
    <w:p>
      <w:pPr>
        <w:numPr>
          <w:ilvl w:val="1"/>
          <w:numId w:val="1007"/>
        </w:numPr>
        <w:pStyle w:val="Compact"/>
      </w:pPr>
      <w:r>
        <w:t xml:space="preserve">при входящих соединениях отсутствие прямого доступа к устройству также указывает на использование NAT.</w:t>
      </w:r>
    </w:p>
    <w:p>
      <w:pPr>
        <w:numPr>
          <w:ilvl w:val="0"/>
          <w:numId w:val="1006"/>
        </w:numPr>
      </w:pPr>
      <w:r>
        <w:t xml:space="preserve">Какое оборудование отвечает за преобразование адреса методом NAT?</w:t>
      </w:r>
      <w:r>
        <w:br/>
      </w:r>
      <w:r>
        <w:t xml:space="preserve">Преобразование адресов выполняет маршрутизатор или специализированное сетевое устройство (например, межсетевой экран), на котором настроен механизм NAT. В большинстве сетей именно пограничный маршрутизатор провайдера или организации выполняет трансляцию адресов.</w:t>
      </w:r>
    </w:p>
    <w:p>
      <w:pPr>
        <w:numPr>
          <w:ilvl w:val="0"/>
          <w:numId w:val="1006"/>
        </w:numPr>
      </w:pPr>
      <w:r>
        <w:t xml:space="preserve">В чём отличие статического, динамического и перегруженного NAT?</w:t>
      </w:r>
    </w:p>
    <w:p>
      <w:pPr>
        <w:numPr>
          <w:ilvl w:val="1"/>
          <w:numId w:val="1008"/>
        </w:numPr>
        <w:pStyle w:val="Compact"/>
      </w:pPr>
      <w:r>
        <w:t xml:space="preserve">Статический NAT — это фиксированное соответствие одного внутреннего IP-адреса одному внешнему адресу. Используется для постоянного доступа к внутренним ресурсам извне.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Динамический NAT — внутренние адреса преобразуются во внешние из заранее заданного пула. Соответствие устанавливается временно при соединении.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Перегруженный NAT (PAT, NAT overload) — множество внутренних адресов используют один внешний IP-адрес, различаясь по номерам портов. Это наиболее распространённый тип NAT.</w:t>
      </w:r>
    </w:p>
    <w:p>
      <w:pPr>
        <w:numPr>
          <w:ilvl w:val="0"/>
          <w:numId w:val="1006"/>
        </w:numPr>
      </w:pPr>
      <w:r>
        <w:t xml:space="preserve">Охарактеризуйте типы NAT.</w:t>
      </w:r>
      <w:r>
        <w:br/>
      </w:r>
      <w:r>
        <w:t xml:space="preserve">Основные типы NAT:</w:t>
      </w:r>
    </w:p>
    <w:p>
      <w:pPr>
        <w:numPr>
          <w:ilvl w:val="1"/>
          <w:numId w:val="1009"/>
        </w:numPr>
        <w:pStyle w:val="Compact"/>
      </w:pPr>
      <w:r>
        <w:t xml:space="preserve">Static NAT — постоянное отображение одного внутреннего адреса на один внешний;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Dynamic NAT — динамическое выделение внешнего адреса из пула;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PAT (Port Address Translation) — трансляция с использованием портов, позволяющая многим устройствам работать через один внешний IP;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Inside NAT — применяется к адресам внутренней сети;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Outside NAT — применяется к внешним адресам при необходимости их преобразования.</w:t>
      </w:r>
    </w:p>
    <w:p>
      <w:pPr>
        <w:numPr>
          <w:ilvl w:val="0"/>
          <w:numId w:val="1000"/>
        </w:numPr>
      </w:pPr>
      <w:r>
        <w:t xml:space="preserve">Эти типы могут комбинироваться в зависимости от задач сети, обеспечивая баланс между доступностью ресурсов и экономией адресного пространства.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Абрикосов Артем</dc:creator>
  <dc:language>ru-RU</dc:language>
  <cp:keywords/>
  <dcterms:created xsi:type="dcterms:W3CDTF">2026-04-19T11:10:54Z</dcterms:created>
  <dcterms:modified xsi:type="dcterms:W3CDTF">2026-04-19T11:10:54Z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