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Абрикосов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Камович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работу с отладчиком GDB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</w:t>
      </w:r>
      <w:r>
        <w:t xml:space="preserve"> </w:t>
      </w:r>
      <w:r>
        <w:t xml:space="preserve">случае его можно разделить на четыре этапа:</w:t>
      </w:r>
    </w:p>
    <w:p>
      <w:pPr>
        <w:numPr>
          <w:ilvl w:val="0"/>
          <w:numId w:val="1002"/>
        </w:numPr>
      </w:pPr>
      <w:r>
        <w:t xml:space="preserve">обнаружение ошибки;</w:t>
      </w:r>
    </w:p>
    <w:p>
      <w:pPr>
        <w:numPr>
          <w:ilvl w:val="0"/>
          <w:numId w:val="1002"/>
        </w:numPr>
      </w:pPr>
      <w:r>
        <w:t xml:space="preserve">поиск её местонахождения;</w:t>
      </w:r>
    </w:p>
    <w:p>
      <w:pPr>
        <w:numPr>
          <w:ilvl w:val="0"/>
          <w:numId w:val="1002"/>
        </w:numPr>
      </w:pPr>
      <w:r>
        <w:t xml:space="preserve">определение причины ошибки;</w:t>
      </w:r>
    </w:p>
    <w:p>
      <w:pPr>
        <w:numPr>
          <w:ilvl w:val="0"/>
          <w:numId w:val="1002"/>
        </w:numPr>
      </w:pPr>
      <w:r>
        <w:t xml:space="preserve">исправление ошибки.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выполнения лабораторной работы № 10, перейдите</w:t>
      </w:r>
      <w:r>
        <w:t xml:space="preserve"> </w:t>
      </w:r>
      <w:r>
        <w:t xml:space="preserve">в него и создайте файл lab10-1.asm:</w:t>
      </w:r>
    </w:p>
    <w:p>
      <w:pPr>
        <w:numPr>
          <w:ilvl w:val="0"/>
          <w:numId w:val="1003"/>
        </w:numPr>
      </w:pPr>
      <w:r>
        <w:t xml:space="preserve">В качестве примера рассмотрим программу вычисления арифметического</w:t>
      </w:r>
      <w:r>
        <w:t xml:space="preserve"> </w:t>
      </w:r>
      <w:r>
        <w:t xml:space="preserve">выражения f(x) = 2x+7 с помощью подпрограммы calcul. В данном</w:t>
      </w:r>
      <w:r>
        <w:t xml:space="preserve"> </w:t>
      </w:r>
      <w:r>
        <w:t xml:space="preserve">примере x вводится с клавиатуры, а само выражение вычисляется в подпрограмме.</w:t>
      </w:r>
      <w:r>
        <w:t xml:space="preserve"> </w:t>
      </w:r>
      <w:r>
        <w:t xml:space="preserve">Внимательно изучите текст программы (Листинг 10.1). (рис. 1, 2)</w:t>
      </w:r>
    </w:p>
    <w:p>
      <w:pPr>
        <w:pStyle w:val="CaptionedFigure"/>
      </w:pPr>
      <w:bookmarkStart w:id="26" w:name="fig:001"/>
      <w:r>
        <w:drawing>
          <wp:inline>
            <wp:extent cx="5024387" cy="6227545"/>
            <wp:effectExtent b="0" l="0" r="0" t="0"/>
            <wp:docPr descr="Рис. 1: Файл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622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lab10-1.asm</w:t>
      </w:r>
    </w:p>
    <w:p>
      <w:pPr>
        <w:pStyle w:val="CaptionedFigure"/>
      </w:pPr>
      <w:bookmarkStart w:id="30" w:name="fig:002"/>
      <w:r>
        <w:drawing>
          <wp:inline>
            <wp:extent cx="5334000" cy="1984183"/>
            <wp:effectExtent b="0" l="0" r="0" t="0"/>
            <wp:docPr descr="Рис. 2: Рабо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lab10-1.asm</w:t>
      </w:r>
    </w:p>
    <w:p>
      <w:pPr>
        <w:numPr>
          <w:ilvl w:val="0"/>
          <w:numId w:val="1004"/>
        </w:numPr>
        <w:pStyle w:val="Compact"/>
      </w:pPr>
      <w:r>
        <w:t xml:space="preserve">Измените текст программы, добавив подпрограмму subcalcul в подпрограмму calcul,</w:t>
      </w:r>
      <w:r>
        <w:t xml:space="preserve"> </w:t>
      </w:r>
      <w:r>
        <w:t xml:space="preserve">для вычисления выражения f(g(x)), где x вводится с клавиатуры,</w:t>
      </w:r>
      <w:r>
        <w:t xml:space="preserve"> </w:t>
      </w:r>
      <w:r>
        <w:t xml:space="preserve">f(x) = 2x + 7, g(x) = 3x − 1(рис. 3, 4)</w:t>
      </w:r>
    </w:p>
    <w:p>
      <w:pPr>
        <w:pStyle w:val="CaptionedFigure"/>
      </w:pPr>
      <w:bookmarkStart w:id="34" w:name="fig:003"/>
      <w:r>
        <w:drawing>
          <wp:inline>
            <wp:extent cx="5120640" cy="7613583"/>
            <wp:effectExtent b="0" l="0" r="0" t="0"/>
            <wp:docPr descr="Рис. 3: Файл lab10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613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lab10-1.asm</w:t>
      </w:r>
    </w:p>
    <w:p>
      <w:pPr>
        <w:pStyle w:val="CaptionedFigure"/>
      </w:pPr>
      <w:bookmarkStart w:id="38" w:name="fig:004"/>
      <w:r>
        <w:drawing>
          <wp:inline>
            <wp:extent cx="5334000" cy="2630465"/>
            <wp:effectExtent b="0" l="0" r="0" t="0"/>
            <wp:docPr descr="Рис. 4: Работа программы lab10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lab10-1.asm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lab10-2.asm с текстом программы из Листинга 10.2. (Программа печати сообщения Hello world!):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3753852" cy="5390147"/>
            <wp:effectExtent b="0" l="0" r="0" t="0"/>
            <wp:docPr descr="Рис. 5: Файл lab10-2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539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lab10-2.asm</w:t>
      </w:r>
    </w:p>
    <w:p>
      <w:pPr>
        <w:pStyle w:val="BodyText"/>
      </w:pPr>
      <w:r>
        <w:t xml:space="preserve">Получите исполняемый файл. Для работы с GDB в исполняемый файл необходимо добавить отладочную информацию,</w:t>
      </w:r>
      <w:r>
        <w:t xml:space="preserve"> </w:t>
      </w:r>
      <w:r>
        <w:t xml:space="preserve">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Загрузите исполняемый файл в отладчик gdb:</w:t>
      </w:r>
      <w:r>
        <w:t xml:space="preserve"> </w:t>
      </w:r>
      <w:r>
        <w:t xml:space="preserve">Проверьте работу программы, запустив ее в оболочке GDB с помощью команды run (сокращённо r):(рис. 6)</w:t>
      </w:r>
    </w:p>
    <w:p>
      <w:pPr>
        <w:pStyle w:val="CaptionedFigure"/>
      </w:pPr>
      <w:bookmarkStart w:id="46" w:name="fig:006"/>
      <w:r>
        <w:drawing>
          <wp:inline>
            <wp:extent cx="5334000" cy="4793337"/>
            <wp:effectExtent b="0" l="0" r="0" t="0"/>
            <wp:docPr descr="Рис. 6: Работа программы lab10-2.asm в отладчике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lab10-2.asm в отладчике</w:t>
      </w:r>
    </w:p>
    <w:p>
      <w:pPr>
        <w:pStyle w:val="BodyText"/>
      </w:pPr>
      <w:r>
        <w:t xml:space="preserve">Для более подробного анализа программы установите брейкпоинт на метку</w:t>
      </w:r>
      <w:r>
        <w:t xml:space="preserve"> </w:t>
      </w:r>
      <w:r>
        <w:t xml:space="preserve">start, с которой начинается выполнение любой ассемблерной программы, и запустите её.</w:t>
      </w:r>
      <w:r>
        <w:t xml:space="preserve"> </w:t>
      </w:r>
      <w:r>
        <w:t xml:space="preserve">Посмотрите дисассимилированный код программы (рис. 7, 8)</w:t>
      </w:r>
    </w:p>
    <w:p>
      <w:pPr>
        <w:pStyle w:val="CaptionedFigure"/>
      </w:pPr>
      <w:bookmarkStart w:id="50" w:name="fig:007"/>
      <w:r>
        <w:drawing>
          <wp:inline>
            <wp:extent cx="5334000" cy="4792518"/>
            <wp:effectExtent b="0" l="0" r="0" t="0"/>
            <wp:docPr descr="Рис. 7: дисассимилированный код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дисассимилированный код</w:t>
      </w:r>
    </w:p>
    <w:p>
      <w:pPr>
        <w:pStyle w:val="CaptionedFigure"/>
      </w:pPr>
      <w:bookmarkStart w:id="54" w:name="fig:008"/>
      <w:r>
        <w:drawing>
          <wp:inline>
            <wp:extent cx="5334000" cy="5193168"/>
            <wp:effectExtent b="0" l="0" r="0" t="0"/>
            <wp:docPr descr="Рис. 8: дисассимилированный код в режиме интел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3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дисассимилированный код в режиме интел</w:t>
      </w:r>
    </w:p>
    <w:p>
      <w:pPr>
        <w:pStyle w:val="BodyText"/>
      </w:pPr>
      <w:r>
        <w:t xml:space="preserve">На предыдущих шагах была установлена точка останова по имени метки (_start).</w:t>
      </w:r>
      <w:r>
        <w:t xml:space="preserve"> </w:t>
      </w:r>
      <w:r>
        <w:t xml:space="preserve">Проверьте это с помощью команды info breakpoints (кратко i b)</w:t>
      </w:r>
      <w:r>
        <w:t xml:space="preserve"> </w:t>
      </w:r>
      <w:r>
        <w:t xml:space="preserve">Установим еще одну точку останова по адресу инструкции. Адрес инструкции можно увидеть в средней части экрана в левом столбце соответствующей</w:t>
      </w:r>
      <w:r>
        <w:t xml:space="preserve"> </w:t>
      </w:r>
      <w:r>
        <w:t xml:space="preserve">инструкции. Определите адрес предпоследней инструкции (mov ebx,0x0) и установите точку.(рис. 9)</w:t>
      </w:r>
    </w:p>
    <w:p>
      <w:pPr>
        <w:pStyle w:val="CaptionedFigure"/>
      </w:pPr>
      <w:bookmarkStart w:id="58" w:name="fig:009"/>
      <w:r>
        <w:drawing>
          <wp:inline>
            <wp:extent cx="5334000" cy="4390665"/>
            <wp:effectExtent b="0" l="0" r="0" t="0"/>
            <wp:docPr descr="Рис. 9: точка остановки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точка остановки</w:t>
      </w:r>
    </w:p>
    <w:p>
      <w:pPr>
        <w:pStyle w:val="BodyText"/>
      </w:pPr>
      <w:r>
        <w:t xml:space="preserve">Отладчик может показывать содержимое ячеек памяти и регистров, а при</w:t>
      </w:r>
      <w:r>
        <w:t xml:space="preserve"> </w:t>
      </w:r>
      <w:r>
        <w:t xml:space="preserve">необходимости позволяет вручную изменять значения регистров и переменных.</w:t>
      </w:r>
      <w:r>
        <w:t xml:space="preserve"> </w:t>
      </w:r>
      <w:r>
        <w:t xml:space="preserve">Выполните 5 инструкций с помощью команды stepi (или si) и проследите за</w:t>
      </w:r>
      <w:r>
        <w:t xml:space="preserve"> </w:t>
      </w:r>
      <w:r>
        <w:t xml:space="preserve">изменением значений регистров. (рис. 11 12)</w:t>
      </w:r>
    </w:p>
    <w:p>
      <w:pPr>
        <w:pStyle w:val="CaptionedFigure"/>
      </w:pPr>
      <w:bookmarkStart w:id="62" w:name="fig:010"/>
      <w:r>
        <w:drawing>
          <wp:inline>
            <wp:extent cx="5334000" cy="4342111"/>
            <wp:effectExtent b="0" l="0" r="0" t="0"/>
            <wp:docPr descr="Рис. 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регистров</w:t>
      </w:r>
    </w:p>
    <w:p>
      <w:pPr>
        <w:pStyle w:val="CaptionedFigure"/>
      </w:pPr>
      <w:bookmarkStart w:id="66" w:name="fig:011"/>
      <w:r>
        <w:drawing>
          <wp:inline>
            <wp:extent cx="5334000" cy="4411211"/>
            <wp:effectExtent b="0" l="0" r="0" t="0"/>
            <wp:docPr descr="Рис. 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изменение регистров</w:t>
      </w:r>
    </w:p>
    <w:p>
      <w:pPr>
        <w:pStyle w:val="BodyText"/>
      </w:pPr>
      <w:r>
        <w:t xml:space="preserve">Посмотрите значение переменной msg1 по имени</w:t>
      </w:r>
      <w:r>
        <w:t xml:space="preserve"> </w:t>
      </w:r>
      <w:r>
        <w:t xml:space="preserve">Посмотрите значение переменной msg2 по адресу</w:t>
      </w:r>
      <w:r>
        <w:t xml:space="preserve"> </w:t>
      </w:r>
      <w:r>
        <w:t xml:space="preserve">Изменить значение для регистра или ячейки памяти можно с помощью команды set,</w:t>
      </w:r>
      <w:r>
        <w:t xml:space="preserve"> </w:t>
      </w:r>
      <w:r>
        <w:t xml:space="preserve">задав ей в качестве аргумента имя регистра или адрес.</w:t>
      </w:r>
      <w:r>
        <w:t xml:space="preserve"> </w:t>
      </w:r>
      <w:r>
        <w:t xml:space="preserve">Измените первый символ переменной msg1</w:t>
      </w:r>
      <w:r>
        <w:t xml:space="preserve"> </w:t>
      </w:r>
      <w:r>
        <w:t xml:space="preserve">Замените любой символ во второй переменной msg2. (рис. 12)</w:t>
      </w:r>
    </w:p>
    <w:p>
      <w:pPr>
        <w:pStyle w:val="CaptionedFigure"/>
      </w:pPr>
      <w:bookmarkStart w:id="70" w:name="fig:012"/>
      <w:r>
        <w:drawing>
          <wp:inline>
            <wp:extent cx="4610501" cy="2473692"/>
            <wp:effectExtent b="0" l="0" r="0" t="0"/>
            <wp:docPr descr="Рис. 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изменение значения переменной</w:t>
      </w:r>
    </w:p>
    <w:p>
      <w:pPr>
        <w:pStyle w:val="BodyText"/>
      </w:pPr>
      <w:r>
        <w:t xml:space="preserve">Выведете в различных форматах (в шестнадцатеричном формате, в двоичном формате и в символьном виде)</w:t>
      </w:r>
      <w:r>
        <w:t xml:space="preserve"> </w:t>
      </w:r>
      <w:r>
        <w:t xml:space="preserve">значение регистра edx.</w:t>
      </w:r>
      <w:r>
        <w:t xml:space="preserve"> </w:t>
      </w:r>
      <w:r>
        <w:t xml:space="preserve">С помощью команды set измените значение регистра ebx:(рис. 13)</w:t>
      </w:r>
    </w:p>
    <w:p>
      <w:pPr>
        <w:pStyle w:val="CaptionedFigure"/>
      </w:pPr>
      <w:bookmarkStart w:id="74" w:name="fig:013"/>
      <w:r>
        <w:drawing>
          <wp:inline>
            <wp:extent cx="3185962" cy="2464067"/>
            <wp:effectExtent b="0" l="0" r="0" t="0"/>
            <wp:docPr descr="Рис. 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вывод значения регистра</w:t>
      </w:r>
    </w:p>
    <w:p>
      <w:pPr>
        <w:pStyle w:val="BodyText"/>
      </w:pPr>
      <w:r>
        <w:t xml:space="preserve">С помощью команды set измените значение регистра ebx:(рис. 14)</w:t>
      </w:r>
    </w:p>
    <w:p>
      <w:pPr>
        <w:pStyle w:val="CaptionedFigure"/>
      </w:pPr>
      <w:bookmarkStart w:id="78" w:name="fig:014"/>
      <w:r>
        <w:drawing>
          <wp:inline>
            <wp:extent cx="3426593" cy="2415941"/>
            <wp:effectExtent b="0" l="0" r="0" t="0"/>
            <wp:docPr descr="Рис. 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вывод значения регистра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lab9-2.asm, созданный при выполнении лабораторной работы №9,</w:t>
      </w:r>
      <w:r>
        <w:t xml:space="preserve"> </w:t>
      </w:r>
      <w:r>
        <w:t xml:space="preserve">с программой выводящей на экран аргументы командной строки. Создайте исполняемый файл.</w:t>
      </w:r>
      <w:r>
        <w:t xml:space="preserve"> </w:t>
      </w:r>
      <w:r>
        <w:t xml:space="preserve">Для загрузки в gdb программы с аргументами необходимо использовать ключ</w:t>
      </w:r>
      <w:r>
        <w:t xml:space="preserve"> </w:t>
      </w:r>
      <w:r>
        <w:t xml:space="preserve">–args. Загрузите исполняемый файл в отладчик, указав аргументы</w:t>
      </w:r>
    </w:p>
    <w:p>
      <w:pPr>
        <w:pStyle w:val="FirstParagraph"/>
      </w:pPr>
      <w:r>
        <w:t xml:space="preserve">Для начала установим точку останова перед первой инструкцией в программе</w:t>
      </w:r>
      <w:r>
        <w:t xml:space="preserve"> </w:t>
      </w:r>
      <w:r>
        <w:t xml:space="preserve">и запустим ее.</w:t>
      </w:r>
    </w:p>
    <w:p>
      <w:pPr>
        <w:pStyle w:val="BodyText"/>
      </w:pPr>
      <w:r>
        <w:t xml:space="preserve">Адрес вершины стека храниться в регистре esp и по этому адресу располагается число равное количеству аргументов командной строки (включая имя</w:t>
      </w:r>
      <w:r>
        <w:t xml:space="preserve"> </w:t>
      </w:r>
      <w:r>
        <w:t xml:space="preserve">программы):</w:t>
      </w:r>
      <w:r>
        <w:t xml:space="preserve"> </w:t>
      </w:r>
      <w:r>
        <w:t xml:space="preserve">Как видно, число аргументов равно 5 – это имя программы lab10-3 и</w:t>
      </w:r>
      <w:r>
        <w:t xml:space="preserve"> </w:t>
      </w:r>
      <w:r>
        <w:t xml:space="preserve">непосредственно аргументы: аргумент1, аргумент, 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Посмотрите остальные позиции стека – по адесу [esp+4] располагается адрес</w:t>
      </w:r>
      <w:r>
        <w:t xml:space="preserve"> </w:t>
      </w:r>
      <w:r>
        <w:t xml:space="preserve">в памяти где находиться имя программы, по адесу [esp+8] храниться адрес</w:t>
      </w:r>
      <w:r>
        <w:t xml:space="preserve"> </w:t>
      </w:r>
      <w:r>
        <w:t xml:space="preserve">первого аргумента, по аресу [esp+12] – второго и т.д. (рис. 15)</w:t>
      </w:r>
    </w:p>
    <w:p>
      <w:pPr>
        <w:pStyle w:val="CaptionedFigure"/>
      </w:pPr>
      <w:bookmarkStart w:id="82" w:name="fig:015"/>
      <w:r>
        <w:drawing>
          <wp:inline>
            <wp:extent cx="5334000" cy="4626499"/>
            <wp:effectExtent b="0" l="0" r="0" t="0"/>
            <wp:docPr descr="Рис. 15: вывод значения регистр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вывод значения регистра</w:t>
      </w:r>
    </w:p>
    <w:p>
      <w:pPr>
        <w:pStyle w:val="BodyText"/>
      </w:pPr>
      <w:r>
        <w:t xml:space="preserve">Объясните, почему шаг изменения адреса равен 4 ([esp+4], [esp+8], [esp+12] -</w:t>
      </w:r>
      <w:r>
        <w:t xml:space="preserve"> </w:t>
      </w:r>
      <w:r>
        <w:t xml:space="preserve">шаг равен размеру переменной - 4 байтам.</w:t>
      </w:r>
    </w:p>
    <w:p>
      <w:pPr>
        <w:numPr>
          <w:ilvl w:val="0"/>
          <w:numId w:val="1007"/>
        </w:numPr>
        <w:pStyle w:val="Compact"/>
      </w:pPr>
      <w:r>
        <w:t xml:space="preserve">Преобразуйте программу из лабораторной работы №9 (Задание №1 для</w:t>
      </w:r>
      <w:r>
        <w:t xml:space="preserve"> </w:t>
      </w:r>
      <w:r>
        <w:t xml:space="preserve">самостоятельной работы), реализовав вычисление значения функции f(x)</w:t>
      </w:r>
      <w:r>
        <w:t xml:space="preserve"> </w:t>
      </w:r>
      <w:r>
        <w:t xml:space="preserve">как подпрограмму. (рис. 16 17)</w:t>
      </w:r>
    </w:p>
    <w:p>
      <w:pPr>
        <w:pStyle w:val="CaptionedFigure"/>
      </w:pPr>
      <w:bookmarkStart w:id="86" w:name="fig:016"/>
      <w:r>
        <w:drawing>
          <wp:inline>
            <wp:extent cx="4119612" cy="7392202"/>
            <wp:effectExtent b="0" l="0" r="0" t="0"/>
            <wp:docPr descr="Рис. 16: Файл lab10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Файл lab10-4.asm</w:t>
      </w:r>
    </w:p>
    <w:p>
      <w:pPr>
        <w:pStyle w:val="CaptionedFigure"/>
      </w:pPr>
      <w:bookmarkStart w:id="90" w:name="fig:017"/>
      <w:r>
        <w:drawing>
          <wp:inline>
            <wp:extent cx="5334000" cy="1660149"/>
            <wp:effectExtent b="0" l="0" r="0" t="0"/>
            <wp:docPr descr="Рис. 17: Работа программы lab10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 lab10-4.asm</w:t>
      </w:r>
    </w:p>
    <w:p>
      <w:pPr>
        <w:numPr>
          <w:ilvl w:val="0"/>
          <w:numId w:val="1008"/>
        </w:numPr>
        <w:pStyle w:val="Compact"/>
      </w:pPr>
      <w:r>
        <w:t xml:space="preserve">В листинге приведена программа вычисления выражения (3+2)*4+5.</w:t>
      </w:r>
      <w:r>
        <w:t xml:space="preserve"> </w:t>
      </w:r>
      <w:r>
        <w:t xml:space="preserve">При запуске данная программа дает неверный результат. Проверьте это.</w:t>
      </w:r>
      <w:r>
        <w:t xml:space="preserve"> </w:t>
      </w:r>
      <w:r>
        <w:t xml:space="preserve">С помощью отладчика GDB, анализируя изменения значений регистров,</w:t>
      </w:r>
      <w:r>
        <w:t xml:space="preserve"> </w:t>
      </w:r>
      <w:r>
        <w:t xml:space="preserve">определите ошибку и исправьте ее.(рис. 18 19 20 21)</w:t>
      </w:r>
    </w:p>
    <w:p>
      <w:pPr>
        <w:pStyle w:val="CaptionedFigure"/>
      </w:pPr>
      <w:bookmarkStart w:id="94" w:name="fig:018"/>
      <w:r>
        <w:drawing>
          <wp:inline>
            <wp:extent cx="4745254" cy="4398745"/>
            <wp:effectExtent b="0" l="0" r="0" t="0"/>
            <wp:docPr descr="Рис. 18: код с ошибкой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4398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код с ошибкой</w:t>
      </w:r>
    </w:p>
    <w:p>
      <w:pPr>
        <w:pStyle w:val="CaptionedFigure"/>
      </w:pPr>
      <w:bookmarkStart w:id="98" w:name="fig:019"/>
      <w:r>
        <w:drawing>
          <wp:inline>
            <wp:extent cx="5334000" cy="4627418"/>
            <wp:effectExtent b="0" l="0" r="0" t="0"/>
            <wp:docPr descr="Рис. 19: отладк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отладка</w:t>
      </w:r>
    </w:p>
    <w:p>
      <w:pPr>
        <w:pStyle w:val="BodyText"/>
      </w:pPr>
      <w:r>
        <w:t xml:space="preserve">Отметим,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</w:t>
      </w:r>
    </w:p>
    <w:p>
      <w:pPr>
        <w:pStyle w:val="CaptionedFigure"/>
      </w:pPr>
      <w:bookmarkStart w:id="102" w:name="fig:020"/>
      <w:r>
        <w:drawing>
          <wp:inline>
            <wp:extent cx="5178391" cy="4494997"/>
            <wp:effectExtent b="0" l="0" r="0" t="0"/>
            <wp:docPr descr="Рис. 20: код исправлен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449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код исправлен</w:t>
      </w:r>
    </w:p>
    <w:p>
      <w:pPr>
        <w:pStyle w:val="CaptionedFigure"/>
      </w:pPr>
      <w:bookmarkStart w:id="106" w:name="fig:021"/>
      <w:r>
        <w:drawing>
          <wp:inline>
            <wp:extent cx="5334000" cy="4647308"/>
            <wp:effectExtent b="0" l="0" r="0" t="0"/>
            <wp:docPr descr="Рис. 21: проверка работы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проверка работы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109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110">
        <w:r>
          <w:rPr>
            <w:rStyle w:val="Hyperlink"/>
          </w:rPr>
          <w:t xml:space="preserve">MASM, TASM, FASM, NASM под Windows и Linux</w:t>
        </w:r>
      </w:hyperlink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s://habr.com/ru/post/326078/" TargetMode="External" /><Relationship Type="http://schemas.openxmlformats.org/officeDocument/2006/relationships/hyperlink" Id="rId109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10</dc:title>
  <dc:creator>Абрикосов Артем Камович</dc:creator>
  <dc:language>ru-RU</dc:language>
  <cp:keywords/>
  <dcterms:created xsi:type="dcterms:W3CDTF">2022-12-23T18:15:43Z</dcterms:created>
  <dcterms:modified xsi:type="dcterms:W3CDTF">2022-12-23T18:15:43Z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