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92.png" ContentType="image/png"/>
  <Override PartName="/word/media/rId95.png" ContentType="image/png"/>
  <Override PartName="/word/media/rId103.png" ContentType="image/png"/>
  <Override PartName="/word/media/rId99.png" ContentType="image/png"/>
  <Override PartName="/word/media/rId84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53.png" ContentType="image/png"/>
  <Override PartName="/word/media/rId149.png" ContentType="image/png"/>
  <Override PartName="/word/media/rId133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8.png" ContentType="image/png"/>
  <Override PartName="/word/media/rId124.png" ContentType="image/png"/>
  <Override PartName="/word/media/rId108.png" ContentType="image/png"/>
  <Override PartName="/word/media/rId36.png" ContentType="image/png"/>
  <Override PartName="/word/media/rId71.png" ContentType="image/png"/>
  <Override PartName="/word/media/rId75.png" ContentType="image/png"/>
  <Override PartName="/word/media/rId27.png" ContentType="image/png"/>
  <Override PartName="/word/media/rId23.png" ContentType="image/png"/>
  <Override PartName="/word/media/rId58.png" ContentType="image/png"/>
  <Override PartName="/word/media/rId6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использованием языка Octave. Определить спектры и параметры сигналов, исследовать свойства самосинхронизации.</w:t>
      </w:r>
    </w:p>
    <w:bookmarkEnd w:id="20"/>
    <w:bookmarkStart w:id="160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2" w:name="построение-графиков-в-octa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графиков в Octave</w:t>
      </w:r>
    </w:p>
    <w:bookmarkStart w:id="21" w:name="постановка-задач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построить графики функций: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 интервале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, используя Octave и функцию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. Графики требуется экспортировать в файлы формата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21"/>
    <w:bookmarkStart w:id="22" w:name="ход-работы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Ход работы</w:t>
      </w:r>
    </w:p>
    <w:p>
      <w:pPr>
        <w:pStyle w:val="FirstParagraph"/>
      </w:pPr>
      <w:r>
        <w:t xml:space="preserve">В среде Octave создан скрипт, в котором:</w:t>
      </w:r>
      <w:r>
        <w:br/>
      </w:r>
      <w:r>
        <w:t xml:space="preserve">1. Задан интервал изменения аргумента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2. Определены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3. Построен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 экспортирован в форматы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  <w:r>
        <w:br/>
      </w:r>
      <w:r>
        <w:t xml:space="preserve">4. На одном графике построены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, добавлена легенда для удобства анализа.</w:t>
      </w:r>
    </w:p>
    <w:bookmarkEnd w:id="22"/>
    <w:bookmarkStart w:id="31" w:name="полученные-результаты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Полученные результаты</w:t>
      </w:r>
    </w:p>
    <w:p>
      <w:pPr>
        <w:pStyle w:val="FirstParagraph"/>
      </w:pPr>
      <w:r>
        <w:t xml:space="preserve">На первом рисунке представлен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26" w:name="fig:001"/>
      <w:r>
        <w:drawing>
          <wp:inline>
            <wp:extent cx="5334000" cy="3997731"/>
            <wp:effectExtent b="0" l="0" r="0" t="0"/>
            <wp:docPr descr="Рис. 1: График функции y1" title="" id="24" name="Picture"/>
            <a:graphic>
              <a:graphicData uri="http://schemas.openxmlformats.org/drawingml/2006/picture">
                <pic:pic>
                  <pic:nvPicPr>
                    <pic:cNvPr descr="plot-s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График функции y1</w:t>
      </w:r>
    </w:p>
    <w:p>
      <w:pPr>
        <w:pStyle w:val="BodyText"/>
      </w:pPr>
      <w:r>
        <w:t xml:space="preserve">На втором рисунке представлены оба графика функций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p>
      <w:pPr>
        <w:pStyle w:val="CaptionedFigure"/>
      </w:pPr>
      <w:bookmarkStart w:id="30" w:name="fig:002"/>
      <w:r>
        <w:drawing>
          <wp:inline>
            <wp:extent cx="5334000" cy="3997731"/>
            <wp:effectExtent b="0" l="0" r="0" t="0"/>
            <wp:docPr descr="Рис. 2: Графики функций y1 и y2" title="" id="28" name="Picture"/>
            <a:graphic>
              <a:graphicData uri="http://schemas.openxmlformats.org/drawingml/2006/picture">
                <pic:pic>
                  <pic:nvPicPr>
                    <pic:cNvPr descr="plot-sin-c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Графики функций y1 и y2</w:t>
      </w:r>
    </w:p>
    <w:bookmarkEnd w:id="31"/>
    <w:bookmarkEnd w:id="32"/>
    <w:bookmarkStart w:id="43" w:name="X07bef417cb4f245ff47fa8bd6db1057000948c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Разложение импульсного сигнала в частичный ряд Фурье</w:t>
      </w:r>
    </w:p>
    <w:bookmarkStart w:id="33" w:name="постановка-задач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Требуется построить набор графиков приближений меандра при увеличении числа нечётных гармоник. Рассматриваются два варианта разложения: через cos-ряд и через sin-ряд.</w:t>
      </w:r>
    </w:p>
    <w:bookmarkEnd w:id="33"/>
    <w:bookmarkStart w:id="34" w:name="параметры-моделирова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Параметры моделирования</w:t>
      </w:r>
    </w:p>
    <w:p>
      <w:pPr>
        <w:numPr>
          <w:ilvl w:val="0"/>
          <w:numId w:val="1001"/>
        </w:numPr>
        <w:pStyle w:val="Compact"/>
      </w:pPr>
      <w:r>
        <w:t xml:space="preserve">число используемых гармоник: 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временной интервал: от -1 до 1 с шагом 0.01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амплитуда: 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период: 1</w:t>
      </w:r>
      <w:r>
        <w:br/>
      </w:r>
      <w:r>
        <w:t xml:space="preserve">В спектре меандра участвуют только нечётные гармоники, амплитуда которых обратно пропорциональна их номеру.</w:t>
      </w:r>
    </w:p>
    <w:bookmarkEnd w:id="34"/>
    <w:bookmarkStart w:id="35" w:name="ход-работы-1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Построены графики частичных сумм ряда Фурье, приближающих меандр, при числе гармоник от 1 до 8.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Выполнено моделирование как через cos-ряд (с чередующимися знаками членов), так и через sin-ряд (с положительными членами).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Каждый частичный ряд показан в отдельной ячейке окна, что позволяет наглядно видеть процесс приближения.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Полученные графики экспортированы в формат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35"/>
    <w:bookmarkStart w:id="41" w:name="результаты-моделировани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Результаты моделирования</w:t>
      </w:r>
    </w:p>
    <w:p>
      <w:pPr>
        <w:pStyle w:val="FirstParagraph"/>
      </w:pPr>
      <w:r>
        <w:t xml:space="preserve">Графики частичных сумм косинусного ряда:</w:t>
      </w:r>
    </w:p>
    <w:p>
      <w:pPr>
        <w:pStyle w:val="CaptionedFigure"/>
      </w:pPr>
      <w:bookmarkStart w:id="39" w:name="fig:003"/>
      <w:r>
        <w:drawing>
          <wp:inline>
            <wp:extent cx="5334000" cy="4000500"/>
            <wp:effectExtent b="0" l="0" r="0" t="0"/>
            <wp:docPr descr="Рис. 3: Меандр через cos-ряд (N=1…8)" title="" id="37" name="Picture"/>
            <a:graphic>
              <a:graphicData uri="http://schemas.openxmlformats.org/drawingml/2006/picture">
                <pic:pic>
                  <pic:nvPicPr>
                    <pic:cNvPr descr="meand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3: Меандр через cos-ряд (N=1…8)</w:t>
      </w:r>
    </w:p>
    <w:p>
      <w:pPr>
        <w:pStyle w:val="BodyText"/>
      </w:pPr>
      <w:r>
        <w:t xml:space="preserve">Графики частичных сумм синусного ряда:</w:t>
      </w:r>
    </w:p>
    <w:p>
      <w:pPr>
        <w:pStyle w:val="BodyText"/>
      </w:pPr>
      <w:bookmarkStart w:id="40" w:name="fig:004"/>
      <w:r>
        <w:t xml:space="preserve">Рис. 4: Меандр через sin-ряд (N=1…8)</w:t>
      </w:r>
      <w:bookmarkEnd w:id="40"/>
    </w:p>
    <w:bookmarkEnd w:id="41"/>
    <w:bookmarkStart w:id="42" w:name="анализ-результатов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Анализ результатов</w:t>
      </w:r>
    </w:p>
    <w:p>
      <w:pPr>
        <w:numPr>
          <w:ilvl w:val="0"/>
          <w:numId w:val="1003"/>
        </w:numPr>
        <w:pStyle w:val="Compact"/>
      </w:pPr>
      <w:r>
        <w:t xml:space="preserve">При малом числе гармоник сигнал имеет плавную форму и плохо напоминает меандр.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С увеличением количества гармоник фронты становятся более крутыми, форма сигнала всё ближе к прямоугольной.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Вблизи разрывов наблюдаются колебания (эффект Гиббса), которые сохраняются при любом числе гармоник, но их ширина уменьшается.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Cos- и sin-разложения дают эквивалентное приближение меандра при одинаковом числе гармоник.</w:t>
      </w:r>
    </w:p>
    <w:bookmarkEnd w:id="42"/>
    <w:bookmarkEnd w:id="43"/>
    <w:bookmarkStart w:id="68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Определение спектра и параметров сигнала</w:t>
      </w:r>
    </w:p>
    <w:bookmarkStart w:id="44" w:name="постановка-задач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определить спектры двух отдельных сигналов (синусоидальных колебаний различной частоты) и их суммы. Также требуется рассмотреть случай изменения частоты дискретизации и объяснить, что произойдёт при её уменьшении ниже 80 Гц.</w:t>
      </w:r>
    </w:p>
    <w:bookmarkEnd w:id="44"/>
    <w:bookmarkStart w:id="45" w:name="ход-работы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Ход работы</w:t>
      </w:r>
    </w:p>
    <w:p>
      <w:pPr>
        <w:numPr>
          <w:ilvl w:val="0"/>
          <w:numId w:val="100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spectre1</w:t>
      </w:r>
      <w:r>
        <w:t xml:space="preserve"> </w:t>
      </w:r>
      <w:r>
        <w:t xml:space="preserve">заданы параметры: длительность сигнала 0.5 с, частота дискретизации 512 Гц, частоты сигналов 10 Гц и 40 Гц, амплитуды 1 и 0.7.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Сформированы два синусоидальных сигнала: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br/>
      </w:r>
    </w:p>
    <w:p>
      <w:pPr>
        <w:numPr>
          <w:ilvl w:val="0"/>
          <w:numId w:val="1004"/>
        </w:numPr>
        <w:pStyle w:val="Compact"/>
      </w:pPr>
      <w:r>
        <w:t xml:space="preserve">Построены графики сигналов и их спектров с использованием БПФ.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Выполнена корректировка спектров: удалены отрицательные частоты, произведена нормировка амплитуд.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spectre_sum</w:t>
      </w:r>
      <w:r>
        <w:t xml:space="preserve"> </w:t>
      </w:r>
      <w:r>
        <w:t xml:space="preserve">построен суммарный сигнал и найден его спектр.</w:t>
      </w:r>
    </w:p>
    <w:bookmarkEnd w:id="45"/>
    <w:bookmarkStart w:id="66" w:name="результаты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двух исходных сигналов:</w:t>
      </w:r>
    </w:p>
    <w:p>
      <w:pPr>
        <w:pStyle w:val="CaptionedFigure"/>
      </w:pPr>
      <w:bookmarkStart w:id="49" w:name="fig:005"/>
      <w:r>
        <w:drawing>
          <wp:inline>
            <wp:extent cx="5334000" cy="4000500"/>
            <wp:effectExtent b="0" l="0" r="0" t="0"/>
            <wp:docPr descr="Рис. 5: Два синусоидальных сигнала" title="" id="47" name="Picture"/>
            <a:graphic>
              <a:graphicData uri="http://schemas.openxmlformats.org/drawingml/2006/picture">
                <pic:pic>
                  <pic:nvPicPr>
                    <pic:cNvPr descr="spectre1/signal/spect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5: Два синусоидальных сигнала</w:t>
      </w:r>
    </w:p>
    <w:p>
      <w:pPr>
        <w:pStyle w:val="BodyText"/>
      </w:pPr>
      <w:r>
        <w:t xml:space="preserve">Спектры сигналов до исправления:</w:t>
      </w:r>
    </w:p>
    <w:p>
      <w:pPr>
        <w:pStyle w:val="CaptionedFigure"/>
      </w:pPr>
      <w:bookmarkStart w:id="53" w:name="fig:006"/>
      <w:r>
        <w:drawing>
          <wp:inline>
            <wp:extent cx="5334000" cy="3997731"/>
            <wp:effectExtent b="0" l="0" r="0" t="0"/>
            <wp:docPr descr="Рис. 6: Спектры сигналов" title="" id="51" name="Picture"/>
            <a:graphic>
              <a:graphicData uri="http://schemas.openxmlformats.org/drawingml/2006/picture">
                <pic:pic>
                  <pic:nvPicPr>
                    <pic:cNvPr descr="spectre1/spectre/spectr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6: Спектры сигналов</w:t>
      </w:r>
    </w:p>
    <w:p>
      <w:pPr>
        <w:pStyle w:val="BodyText"/>
      </w:pPr>
      <w:r>
        <w:t xml:space="preserve">Исправленные спектры сигналов:</w:t>
      </w:r>
    </w:p>
    <w:p>
      <w:pPr>
        <w:pStyle w:val="CaptionedFigure"/>
      </w:pPr>
      <w:bookmarkStart w:id="57" w:name="fig:007"/>
      <w:r>
        <w:drawing>
          <wp:inline>
            <wp:extent cx="5334000" cy="3997731"/>
            <wp:effectExtent b="0" l="0" r="0" t="0"/>
            <wp:docPr descr="Рис. 7: Исправленный спектр" title="" id="55" name="Picture"/>
            <a:graphic>
              <a:graphicData uri="http://schemas.openxmlformats.org/drawingml/2006/picture">
                <pic:pic>
                  <pic:nvPicPr>
                    <pic:cNvPr descr="spectre1/spectre/spectre_fix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Исправленный спектр</w:t>
      </w:r>
    </w:p>
    <w:p>
      <w:pPr>
        <w:pStyle w:val="BodyText"/>
      </w:pPr>
      <w:r>
        <w:t xml:space="preserve">Суммарный сигнал:</w:t>
      </w:r>
    </w:p>
    <w:p>
      <w:pPr>
        <w:pStyle w:val="CaptionedFigure"/>
      </w:pPr>
      <w:bookmarkStart w:id="61" w:name="fig:008"/>
      <w:r>
        <w:drawing>
          <wp:inline>
            <wp:extent cx="5334000" cy="4000500"/>
            <wp:effectExtent b="0" l="0" r="0" t="0"/>
            <wp:docPr descr="Рис. 8: Суммарный сигнал" title="" id="59" name="Picture"/>
            <a:graphic>
              <a:graphicData uri="http://schemas.openxmlformats.org/drawingml/2006/picture">
                <pic:pic>
                  <pic:nvPicPr>
                    <pic:cNvPr descr="spectr_sum/signal/spectre_su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Суммарный сигнал</w:t>
      </w:r>
    </w:p>
    <w:p>
      <w:pPr>
        <w:pStyle w:val="BodyText"/>
      </w:pPr>
      <w:r>
        <w:t xml:space="preserve">Спектр суммарного сигнала:</w:t>
      </w:r>
    </w:p>
    <w:p>
      <w:pPr>
        <w:pStyle w:val="CaptionedFigure"/>
      </w:pPr>
      <w:bookmarkStart w:id="65" w:name="fig:009"/>
      <w:r>
        <w:drawing>
          <wp:inline>
            <wp:extent cx="5334000" cy="3997731"/>
            <wp:effectExtent b="0" l="0" r="0" t="0"/>
            <wp:docPr descr="Рис. 9: Спектр суммы" title="" id="63" name="Picture"/>
            <a:graphic>
              <a:graphicData uri="http://schemas.openxmlformats.org/drawingml/2006/picture">
                <pic:pic>
                  <pic:nvPicPr>
                    <pic:cNvPr descr="spectr_sum/spectre/spectre_sum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Спектр суммы</w:t>
      </w:r>
    </w:p>
    <w:bookmarkEnd w:id="66"/>
    <w:bookmarkStart w:id="67" w:name="анализ-и-выводы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Анализ и выводы</w:t>
      </w:r>
    </w:p>
    <w:p>
      <w:pPr>
        <w:numPr>
          <w:ilvl w:val="0"/>
          <w:numId w:val="1005"/>
        </w:numPr>
        <w:pStyle w:val="Compact"/>
      </w:pPr>
      <w:r>
        <w:t xml:space="preserve">При дискретизации 512 Гц сигналы с частотами 10 Гц и 40 Гц корректно отображаются, спектры чётко выделены.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Спектр суммы сигналов совпадает с суммой отдельных спектров, что подтверждает свойства преобразования Фурье.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Если частота дискретизации будет меньше 80 Гц, то сигнал с частотой 40 Гц не сможет корректно отобразиться: произойдёт наложение спектров (алиасинг), что приведёт к искажению сигнала.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Для корректного представления сигнала частота дискретизации должна быть как минимум в два раза выше максимальной частоты спектра (критерий Найквиста–Котельникова).</w:t>
      </w:r>
    </w:p>
    <w:bookmarkEnd w:id="67"/>
    <w:bookmarkEnd w:id="68"/>
    <w:bookmarkStart w:id="81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Амплитудная модуляция</w:t>
      </w:r>
    </w:p>
    <w:bookmarkStart w:id="69" w:name="постановка-задачи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продемонстрировать принципы амплитудной модуляции (АМ) на примере модуляции низкочастотного сигнала синусоидой высокой частоты и исследовать спектр полученного сигнала.</w:t>
      </w:r>
    </w:p>
    <w:bookmarkEnd w:id="69"/>
    <w:bookmarkStart w:id="70" w:name="ход-работы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Ход работы</w:t>
      </w:r>
    </w:p>
    <w:p>
      <w:pPr>
        <w:numPr>
          <w:ilvl w:val="0"/>
          <w:numId w:val="1006"/>
        </w:numPr>
      </w:pPr>
      <w:r>
        <w:t xml:space="preserve">В рабочем каталоге создан сценарий</w:t>
      </w:r>
      <w:r>
        <w:t xml:space="preserve"> </w:t>
      </w:r>
      <w:r>
        <w:rPr>
          <w:rStyle w:val="VerbatimChar"/>
        </w:rPr>
        <w:t xml:space="preserve">am.m</w:t>
      </w:r>
      <w:r>
        <w:t xml:space="preserve"> </w:t>
      </w:r>
      <w:r>
        <w:t xml:space="preserve">и заданы параметры моделирования:</w:t>
      </w:r>
    </w:p>
    <w:p>
      <w:pPr>
        <w:numPr>
          <w:ilvl w:val="1"/>
          <w:numId w:val="1007"/>
        </w:numPr>
        <w:pStyle w:val="Compact"/>
      </w:pPr>
      <w:r>
        <w:t xml:space="preserve">длительность сигнала: 0.5 с,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дискретизации: 512 Гц,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модулирующего сигнала: 5 Гц,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частота несущей: 50 Гц.</w:t>
      </w:r>
    </w:p>
    <w:p>
      <w:pPr>
        <w:numPr>
          <w:ilvl w:val="0"/>
          <w:numId w:val="1006"/>
        </w:numPr>
      </w:pPr>
      <w:r>
        <w:t xml:space="preserve">Сформированы сигналы:</w:t>
      </w:r>
    </w:p>
    <w:p>
      <w:pPr>
        <w:numPr>
          <w:ilvl w:val="1"/>
          <w:numId w:val="1008"/>
        </w:numPr>
        <w:pStyle w:val="Compact"/>
      </w:pPr>
      <w:r>
        <w:t xml:space="preserve">модулирующий сигнал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несущая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амплитудно-модулированный сигнал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numPr>
          <w:ilvl w:val="1"/>
          <w:numId w:val="1000"/>
        </w:numPr>
        <w:pStyle w:val="Compact"/>
      </w:pPr>
      <w:r>
        <w:t xml:space="preserve">.</w:t>
      </w:r>
    </w:p>
    <w:p>
      <w:pPr>
        <w:numPr>
          <w:ilvl w:val="0"/>
          <w:numId w:val="1006"/>
        </w:numPr>
      </w:pPr>
      <w:r>
        <w:t xml:space="preserve">Построен график модулированного сигнала вместе с огибающей.</w:t>
      </w:r>
    </w:p>
    <w:p>
      <w:pPr>
        <w:numPr>
          <w:ilvl w:val="0"/>
          <w:numId w:val="1006"/>
        </w:numPr>
      </w:pPr>
      <w:r>
        <w:t xml:space="preserve">С помощью быстрого преобразования Фурье рассчитан спектр модулированного сигнала.</w:t>
      </w:r>
    </w:p>
    <w:bookmarkEnd w:id="70"/>
    <w:bookmarkStart w:id="79" w:name="результаты-1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амплитудно-модулированного сигнала с огибающей:</w:t>
      </w:r>
    </w:p>
    <w:p>
      <w:pPr>
        <w:pStyle w:val="CaptionedFigure"/>
      </w:pPr>
      <w:bookmarkStart w:id="74" w:name="fig:010"/>
      <w:r>
        <w:drawing>
          <wp:inline>
            <wp:extent cx="5334000" cy="4000500"/>
            <wp:effectExtent b="0" l="0" r="0" t="0"/>
            <wp:docPr descr="Рис. 10: АМ-сигнал и огибающая" title="" id="72" name="Picture"/>
            <a:graphic>
              <a:graphicData uri="http://schemas.openxmlformats.org/drawingml/2006/picture">
                <pic:pic>
                  <pic:nvPicPr>
                    <pic:cNvPr descr="modulation/signal/am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10: АМ-сигнал и огибающая</w:t>
      </w:r>
    </w:p>
    <w:p>
      <w:pPr>
        <w:pStyle w:val="BodyText"/>
      </w:pPr>
      <w:r>
        <w:t xml:space="preserve">Спектр амплитудно-модулированного сигнала:</w:t>
      </w:r>
    </w:p>
    <w:p>
      <w:pPr>
        <w:pStyle w:val="CaptionedFigure"/>
      </w:pPr>
      <w:bookmarkStart w:id="78" w:name="fig:011"/>
      <w:r>
        <w:drawing>
          <wp:inline>
            <wp:extent cx="5334000" cy="3997731"/>
            <wp:effectExtent b="0" l="0" r="0" t="0"/>
            <wp:docPr descr="Рис. 11: Спектр АМ-сигнала" title="" id="76" name="Picture"/>
            <a:graphic>
              <a:graphicData uri="http://schemas.openxmlformats.org/drawingml/2006/picture">
                <pic:pic>
                  <pic:nvPicPr>
                    <pic:cNvPr descr="modulation/spectre/am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11: Спектр АМ-сигнала</w:t>
      </w:r>
    </w:p>
    <w:bookmarkEnd w:id="79"/>
    <w:bookmarkStart w:id="80" w:name="анализ-и-выводы-1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Анализ и выводы</w:t>
      </w:r>
    </w:p>
    <w:p>
      <w:pPr>
        <w:numPr>
          <w:ilvl w:val="0"/>
          <w:numId w:val="1009"/>
        </w:numPr>
        <w:pStyle w:val="Compact"/>
      </w:pPr>
      <w:r>
        <w:t xml:space="preserve">Амплитудная модуляция заключается в изменении амплитуды высокочастотной несущей в зависимости от низкочастотного модулирующего сигнала.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На графике чётко видна огибающая, совпадающая с модулирующим сигналом.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Спектр модулированного сигнала состоит из центральной частоты (несущей) и двух боковых полос, расположенных симметрично относительно несущей на расстоянии частоты модуляции.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Полученные результаты подтверждают принцип свёртки спектров при умножении сигналов во временной области.</w:t>
      </w:r>
    </w:p>
    <w:bookmarkEnd w:id="80"/>
    <w:bookmarkEnd w:id="81"/>
    <w:bookmarkStart w:id="159" w:name="Xaa8c1bf527ac7c93ee2af46fc153d73e227d53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Кодирование сигнала и исследование самосинхронизации</w:t>
      </w:r>
    </w:p>
    <w:bookmarkStart w:id="82" w:name="постановка-задачи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Сформировать кодированные сигналы по заданным битовым последовательностям для нескольких линийных кодов. Проверить самосинхронизацию на длинных сериях одинаковых символов. Построить спектры сигналов и сравнить энергетическое распределение.</w:t>
      </w:r>
    </w:p>
    <w:bookmarkEnd w:id="82"/>
    <w:bookmarkStart w:id="83" w:name="ход-работы-4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Ход работы</w:t>
      </w:r>
    </w:p>
    <w:p>
      <w:pPr>
        <w:numPr>
          <w:ilvl w:val="0"/>
          <w:numId w:val="1010"/>
        </w:numPr>
        <w:pStyle w:val="Compact"/>
      </w:pPr>
      <w:r>
        <w:t xml:space="preserve">Подготовлены три наборa данных: основная последовательность для визуализации формы сигнала; последовательность для проверки самосинхронизации с длинными сериями нулей/единиц; последовательность для расчёта спектров.</w:t>
      </w:r>
    </w:p>
    <w:p>
      <w:pPr>
        <w:numPr>
          <w:ilvl w:val="0"/>
          <w:numId w:val="1010"/>
        </w:numPr>
        <w:pStyle w:val="Compact"/>
      </w:pPr>
      <w:r>
        <w:t xml:space="preserve">Для каждого кода получены три вида результатов: форма сигнала, иллюстрация самосинхронизации, амплитудный спектр.</w:t>
      </w:r>
    </w:p>
    <w:p>
      <w:pPr>
        <w:numPr>
          <w:ilvl w:val="0"/>
          <w:numId w:val="1010"/>
        </w:numPr>
        <w:pStyle w:val="Compact"/>
      </w:pPr>
      <w:r>
        <w:t xml:space="preserve">Рассмотренные коды: Unipolar, AMI, Bipolar NRZ, Bipolar RZ, Manchester, Differential Manchester.</w:t>
      </w:r>
    </w:p>
    <w:bookmarkEnd w:id="83"/>
    <w:bookmarkStart w:id="107" w:name="Xe9e4a5272a235b85be1204504afc30e98bbcb61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Результаты: формы сигналов (основная последовательность)</w:t>
      </w:r>
    </w:p>
    <w:p>
      <w:pPr>
        <w:pStyle w:val="FirstParagraph"/>
      </w:pPr>
      <w:r>
        <w:t xml:space="preserve">Unipolar</w:t>
      </w:r>
      <w:r>
        <w:br/>
      </w:r>
      <w:bookmarkStart w:id="87" w:name="fig:012"/>
      <w:r>
        <w:drawing>
          <wp:inline>
            <wp:extent cx="5334000" cy="4000500"/>
            <wp:effectExtent b="0" l="0" r="0" t="0"/>
            <wp:docPr descr="Unipolar (сигнал)" title="" id="85" name="Picture"/>
            <a:graphic>
              <a:graphicData uri="http://schemas.openxmlformats.org/drawingml/2006/picture">
                <pic:pic>
                  <pic:nvPicPr>
                    <pic:cNvPr descr="coding/signal/unipola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BodyText"/>
      </w:pPr>
      <w:r>
        <w:t xml:space="preserve">AMI</w:t>
      </w:r>
      <w:r>
        <w:br/>
      </w:r>
      <w:bookmarkStart w:id="91" w:name="fig:013"/>
      <w:r>
        <w:drawing>
          <wp:inline>
            <wp:extent cx="5334000" cy="3997731"/>
            <wp:effectExtent b="0" l="0" r="0" t="0"/>
            <wp:docPr descr="AMI (сигнал)" title="" id="89" name="Picture"/>
            <a:graphic>
              <a:graphicData uri="http://schemas.openxmlformats.org/drawingml/2006/picture">
                <pic:pic>
                  <pic:nvPicPr>
                    <pic:cNvPr descr="coding/signal/ami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BodyText"/>
      </w:pPr>
      <w:r>
        <w:t xml:space="preserve">Bipolar NRZ</w:t>
      </w:r>
      <w:r>
        <w:br/>
      </w:r>
      <w:r>
        <w:drawing>
          <wp:inline>
            <wp:extent cx="5334000" cy="3997731"/>
            <wp:effectExtent b="0" l="0" r="0" t="0"/>
            <wp:docPr descr="Bipolar NRZ (сигнал)" title="" id="93" name="Picture"/>
            <a:graphic>
              <a:graphicData uri="http://schemas.openxmlformats.org/drawingml/2006/picture">
                <pic:pic>
                  <pic:nvPicPr>
                    <pic:cNvPr descr="coding/signal/bipolarnrz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 #fig:014 width=80%</w:t>
      </w:r>
    </w:p>
    <w:p>
      <w:pPr>
        <w:pStyle w:val="BodyText"/>
      </w:pPr>
      <w:r>
        <w:t xml:space="preserve">Bipolar RZ</w:t>
      </w:r>
      <w:r>
        <w:br/>
      </w:r>
      <w:bookmarkStart w:id="98" w:name="fig:015"/>
      <w:r>
        <w:drawing>
          <wp:inline>
            <wp:extent cx="5334000" cy="3997731"/>
            <wp:effectExtent b="0" l="0" r="0" t="0"/>
            <wp:docPr descr="Bipolar RZ (сигнал)" title="" id="96" name="Picture"/>
            <a:graphic>
              <a:graphicData uri="http://schemas.openxmlformats.org/drawingml/2006/picture">
                <pic:pic>
                  <pic:nvPicPr>
                    <pic:cNvPr descr="coding/signal/bipolarrz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BodyText"/>
      </w:pPr>
      <w:r>
        <w:t xml:space="preserve">Manchester</w:t>
      </w:r>
      <w:r>
        <w:br/>
      </w:r>
      <w:bookmarkStart w:id="102" w:name="fig:016"/>
      <w:r>
        <w:drawing>
          <wp:inline>
            <wp:extent cx="5334000" cy="3997731"/>
            <wp:effectExtent b="0" l="0" r="0" t="0"/>
            <wp:docPr descr="Manchester (сигнал)" title="" id="100" name="Picture"/>
            <a:graphic>
              <a:graphicData uri="http://schemas.openxmlformats.org/drawingml/2006/picture">
                <pic:pic>
                  <pic:nvPicPr>
                    <pic:cNvPr descr="coding/signal/manchester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BodyText"/>
      </w:pPr>
      <w:r>
        <w:t xml:space="preserve">Differential Manchester</w:t>
      </w:r>
      <w:r>
        <w:br/>
      </w:r>
      <w:bookmarkStart w:id="106" w:name="fig:017"/>
      <w:r>
        <w:drawing>
          <wp:inline>
            <wp:extent cx="5334000" cy="3997731"/>
            <wp:effectExtent b="0" l="0" r="0" t="0"/>
            <wp:docPr descr="Differential Manchester (сигнал)" title="" id="104" name="Picture"/>
            <a:graphic>
              <a:graphicData uri="http://schemas.openxmlformats.org/drawingml/2006/picture">
                <pic:pic>
                  <pic:nvPicPr>
                    <pic:cNvPr descr="coding/signal/diffmanc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bookmarkEnd w:id="107"/>
    <w:bookmarkStart w:id="132" w:name="X1f7effd2bc5b613de6445457312fb79e8e1c1e9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Результаты: самосинхронизация (длинные серии)</w:t>
      </w:r>
    </w:p>
    <w:p>
      <w:pPr>
        <w:pStyle w:val="FirstParagraph"/>
      </w:pPr>
      <w:r>
        <w:t xml:space="preserve">Unipolar</w:t>
      </w:r>
      <w:r>
        <w:br/>
      </w:r>
      <w:bookmarkStart w:id="111" w:name="fig:018"/>
      <w:r>
        <w:drawing>
          <wp:inline>
            <wp:extent cx="5334000" cy="3997731"/>
            <wp:effectExtent b="0" l="0" r="0" t="0"/>
            <wp:docPr descr="Unipolar (sync)" title="" id="109" name="Picture"/>
            <a:graphic>
              <a:graphicData uri="http://schemas.openxmlformats.org/drawingml/2006/picture">
                <pic:pic>
                  <pic:nvPicPr>
                    <pic:cNvPr descr="coding/sync/unipolar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BodyText"/>
      </w:pPr>
      <w:r>
        <w:t xml:space="preserve">AMI</w:t>
      </w:r>
      <w:r>
        <w:br/>
      </w:r>
      <w:bookmarkStart w:id="115" w:name="fig:019"/>
      <w:r>
        <w:drawing>
          <wp:inline>
            <wp:extent cx="5334000" cy="3997731"/>
            <wp:effectExtent b="0" l="0" r="0" t="0"/>
            <wp:docPr descr="AMI (sync)" title="" id="113" name="Picture"/>
            <a:graphic>
              <a:graphicData uri="http://schemas.openxmlformats.org/drawingml/2006/picture">
                <pic:pic>
                  <pic:nvPicPr>
                    <pic:cNvPr descr="coding/sync/ami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BodyText"/>
      </w:pPr>
      <w:r>
        <w:t xml:space="preserve">Bipolar NRZ</w:t>
      </w:r>
      <w:r>
        <w:br/>
      </w:r>
      <w:bookmarkStart w:id="119" w:name="fig:020"/>
      <w:r>
        <w:drawing>
          <wp:inline>
            <wp:extent cx="5334000" cy="3997731"/>
            <wp:effectExtent b="0" l="0" r="0" t="0"/>
            <wp:docPr descr="Bipolar NRZ (sync)" title="" id="117" name="Picture"/>
            <a:graphic>
              <a:graphicData uri="http://schemas.openxmlformats.org/drawingml/2006/picture">
                <pic:pic>
                  <pic:nvPicPr>
                    <pic:cNvPr descr="coding/sync/bipolarnrz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BodyText"/>
      </w:pPr>
      <w:r>
        <w:t xml:space="preserve">Bipolar RZ</w:t>
      </w:r>
      <w:r>
        <w:br/>
      </w:r>
      <w:bookmarkStart w:id="123" w:name="fig:021"/>
      <w:r>
        <w:drawing>
          <wp:inline>
            <wp:extent cx="5334000" cy="3997731"/>
            <wp:effectExtent b="0" l="0" r="0" t="0"/>
            <wp:docPr descr="Bipolar RZ (sync)" title="" id="121" name="Picture"/>
            <a:graphic>
              <a:graphicData uri="http://schemas.openxmlformats.org/drawingml/2006/picture">
                <pic:pic>
                  <pic:nvPicPr>
                    <pic:cNvPr descr="coding/sync/bipolarrz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BodyText"/>
      </w:pPr>
      <w:r>
        <w:t xml:space="preserve">Manchester</w:t>
      </w:r>
      <w:r>
        <w:br/>
      </w:r>
      <w:bookmarkStart w:id="127" w:name="fig:022"/>
      <w:r>
        <w:drawing>
          <wp:inline>
            <wp:extent cx="5334000" cy="3997731"/>
            <wp:effectExtent b="0" l="0" r="0" t="0"/>
            <wp:docPr descr="Manchester (sync)" title="" id="125" name="Picture"/>
            <a:graphic>
              <a:graphicData uri="http://schemas.openxmlformats.org/drawingml/2006/picture">
                <pic:pic>
                  <pic:nvPicPr>
                    <pic:cNvPr descr="coding/sync/manchester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pStyle w:val="BodyText"/>
      </w:pPr>
      <w:r>
        <w:t xml:space="preserve">Differential Manchester</w:t>
      </w:r>
      <w:r>
        <w:br/>
      </w:r>
      <w:bookmarkStart w:id="131" w:name="fig:023"/>
      <w:r>
        <w:drawing>
          <wp:inline>
            <wp:extent cx="5334000" cy="3997731"/>
            <wp:effectExtent b="0" l="0" r="0" t="0"/>
            <wp:docPr descr="Differential Manchester (sync)" title="" id="129" name="Picture"/>
            <a:graphic>
              <a:graphicData uri="http://schemas.openxmlformats.org/drawingml/2006/picture">
                <pic:pic>
                  <pic:nvPicPr>
                    <pic:cNvPr descr="coding/sync/diffmanc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bookmarkEnd w:id="132"/>
    <w:bookmarkStart w:id="157" w:name="результаты-спектры-сигналов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Результаты: спектры сигналов</w:t>
      </w:r>
    </w:p>
    <w:p>
      <w:pPr>
        <w:pStyle w:val="FirstParagraph"/>
      </w:pPr>
      <w:r>
        <w:t xml:space="preserve">Unipolar</w:t>
      </w:r>
      <w:r>
        <w:br/>
      </w:r>
      <w:bookmarkStart w:id="136" w:name="fig:024"/>
      <w:r>
        <w:drawing>
          <wp:inline>
            <wp:extent cx="5334000" cy="3997731"/>
            <wp:effectExtent b="0" l="0" r="0" t="0"/>
            <wp:docPr descr="Unipolar (спектр)" title="" id="134" name="Picture"/>
            <a:graphic>
              <a:graphicData uri="http://schemas.openxmlformats.org/drawingml/2006/picture">
                <pic:pic>
                  <pic:nvPicPr>
                    <pic:cNvPr descr="coding/spectre/unipolar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BodyText"/>
      </w:pPr>
      <w:r>
        <w:t xml:space="preserve">AMI</w:t>
      </w:r>
      <w:r>
        <w:br/>
      </w:r>
      <w:bookmarkStart w:id="140" w:name="fig:025"/>
      <w:r>
        <w:drawing>
          <wp:inline>
            <wp:extent cx="5334000" cy="3997731"/>
            <wp:effectExtent b="0" l="0" r="0" t="0"/>
            <wp:docPr descr="AMI (спектр)" title="" id="138" name="Picture"/>
            <a:graphic>
              <a:graphicData uri="http://schemas.openxmlformats.org/drawingml/2006/picture">
                <pic:pic>
                  <pic:nvPicPr>
                    <pic:cNvPr descr="coding/spectre/ami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</w:p>
    <w:p>
      <w:pPr>
        <w:pStyle w:val="BodyText"/>
      </w:pPr>
      <w:r>
        <w:t xml:space="preserve">Bipolar NRZ</w:t>
      </w:r>
      <w:r>
        <w:br/>
      </w:r>
      <w:bookmarkStart w:id="144" w:name="fig:026"/>
      <w:r>
        <w:drawing>
          <wp:inline>
            <wp:extent cx="5334000" cy="3997731"/>
            <wp:effectExtent b="0" l="0" r="0" t="0"/>
            <wp:docPr descr="Bipolar NRZ (спектр)" title="" id="142" name="Picture"/>
            <a:graphic>
              <a:graphicData uri="http://schemas.openxmlformats.org/drawingml/2006/picture">
                <pic:pic>
                  <pic:nvPicPr>
                    <pic:cNvPr descr="coding/spectre/bipolarnrz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4"/>
    </w:p>
    <w:p>
      <w:pPr>
        <w:pStyle w:val="BodyText"/>
      </w:pPr>
      <w:r>
        <w:t xml:space="preserve">Bipolar RZ</w:t>
      </w:r>
      <w:r>
        <w:br/>
      </w:r>
      <w:bookmarkStart w:id="148" w:name="fig:027"/>
      <w:r>
        <w:drawing>
          <wp:inline>
            <wp:extent cx="5334000" cy="3997731"/>
            <wp:effectExtent b="0" l="0" r="0" t="0"/>
            <wp:docPr descr="Bipolar RZ (спектр)" title="" id="146" name="Picture"/>
            <a:graphic>
              <a:graphicData uri="http://schemas.openxmlformats.org/drawingml/2006/picture">
                <pic:pic>
                  <pic:nvPicPr>
                    <pic:cNvPr descr="coding/spectre/bipolarrz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8"/>
    </w:p>
    <w:p>
      <w:pPr>
        <w:pStyle w:val="BodyText"/>
      </w:pPr>
      <w:r>
        <w:t xml:space="preserve">Manchester</w:t>
      </w:r>
      <w:r>
        <w:br/>
      </w:r>
      <w:bookmarkStart w:id="152" w:name="fig:028"/>
      <w:r>
        <w:drawing>
          <wp:inline>
            <wp:extent cx="5334000" cy="3997731"/>
            <wp:effectExtent b="0" l="0" r="0" t="0"/>
            <wp:docPr descr="Manchester (спектр)" title="" id="150" name="Picture"/>
            <a:graphic>
              <a:graphicData uri="http://schemas.openxmlformats.org/drawingml/2006/picture">
                <pic:pic>
                  <pic:nvPicPr>
                    <pic:cNvPr descr="coding/spectre/manchester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>
      <w:pPr>
        <w:pStyle w:val="BodyText"/>
      </w:pPr>
      <w:r>
        <w:t xml:space="preserve">Differential Manchester</w:t>
      </w:r>
      <w:r>
        <w:br/>
      </w:r>
      <w:bookmarkStart w:id="156" w:name="fig:029"/>
      <w:r>
        <w:drawing>
          <wp:inline>
            <wp:extent cx="5334000" cy="3997731"/>
            <wp:effectExtent b="0" l="0" r="0" t="0"/>
            <wp:docPr descr="Differential Manchester (спектр)" title="" id="154" name="Picture"/>
            <a:graphic>
              <a:graphicData uri="http://schemas.openxmlformats.org/drawingml/2006/picture">
                <pic:pic>
                  <pic:nvPicPr>
                    <pic:cNvPr descr="coding/spectre/diffmanc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6"/>
    </w:p>
    <w:bookmarkEnd w:id="157"/>
    <w:bookmarkStart w:id="158" w:name="анализ"/>
    <w:p>
      <w:pPr>
        <w:pStyle w:val="Heading3"/>
      </w:pPr>
      <w:r>
        <w:rPr>
          <w:rStyle w:val="SectionNumber"/>
        </w:rPr>
        <w:t xml:space="preserve">2.5.6</w:t>
      </w:r>
      <w:r>
        <w:tab/>
      </w:r>
      <w:r>
        <w:t xml:space="preserve">Анализ</w:t>
      </w:r>
    </w:p>
    <w:p>
      <w:pPr>
        <w:pStyle w:val="FirstParagraph"/>
      </w:pPr>
      <w:r>
        <w:t xml:space="preserve">Unipolar</w:t>
      </w:r>
      <w:r>
        <w:br/>
      </w:r>
      <w:r>
        <w:t xml:space="preserve">Нет инверсий на длинной серии нулей. Сильная DC-составляющая. Самосинхронизация отсутствует на последовательностях с малой числом переходов.</w:t>
      </w:r>
    </w:p>
    <w:p>
      <w:pPr>
        <w:pStyle w:val="BodyText"/>
      </w:pPr>
      <w:r>
        <w:t xml:space="preserve">AMI</w:t>
      </w:r>
      <w:r>
        <w:br/>
      </w:r>
      <w:r>
        <w:t xml:space="preserve">Единицы чередуют полярность, что исключает DC и облегчает обнаружение ошибок полярности. На длинной серии нулей переходов нет, самосинхронизация ухудшается. Применяются вставки скреймблинга/подстановочные шаблоны для ограничения длины серии нулей.</w:t>
      </w:r>
    </w:p>
    <w:p>
      <w:pPr>
        <w:pStyle w:val="BodyText"/>
      </w:pPr>
      <w:r>
        <w:t xml:space="preserve">Bipolar NRZ</w:t>
      </w:r>
      <w:r>
        <w:br/>
      </w:r>
      <w:r>
        <w:t xml:space="preserve">Переходы только при смене бита. На длинной серии одинаковых символов переходов нет, синхронизация теряется. DC подавлена слабее, чем у AMI.</w:t>
      </w:r>
    </w:p>
    <w:p>
      <w:pPr>
        <w:pStyle w:val="BodyText"/>
      </w:pPr>
      <w:r>
        <w:t xml:space="preserve">Bipolar RZ</w:t>
      </w:r>
      <w:r>
        <w:br/>
      </w:r>
      <w:r>
        <w:t xml:space="preserve">Возврат к нулю в каждом такте создаёт обязательный переход внутри бита. Самосинхронизация выше, чем у NRZ/Unipolar. Ширина спектра больше из-за удвоения числа фронтов.</w:t>
      </w:r>
    </w:p>
    <w:p>
      <w:pPr>
        <w:pStyle w:val="BodyText"/>
      </w:pPr>
      <w:r>
        <w:t xml:space="preserve">Manchester</w:t>
      </w:r>
      <w:r>
        <w:br/>
      </w:r>
      <w:r>
        <w:t xml:space="preserve">Переход в середине каждого такта обеспечивает самосинхронизацию даже на одинаковых сериях. Отсутствует DC-составляющая. Эффективная полоса вдвое шире относительно исходной битовой скорости.</w:t>
      </w:r>
    </w:p>
    <w:p>
      <w:pPr>
        <w:pStyle w:val="BodyText"/>
      </w:pPr>
      <w:r>
        <w:t xml:space="preserve">Differential Manchester</w:t>
      </w:r>
      <w:r>
        <w:br/>
      </w:r>
      <w:r>
        <w:t xml:space="preserve">Сохранены свойства Manchester по самосинхронизации и отсутствию DC. Информация кодируется изменением/сохранением фазы относительно предыдущего такта, что повышает устойчивость к инверсии полярности канала.</w:t>
      </w:r>
    </w:p>
    <w:p>
      <w:pPr>
        <w:pStyle w:val="BodyText"/>
      </w:pPr>
      <w:r>
        <w:t xml:space="preserve">Сопоставление по спектру</w:t>
      </w:r>
      <w:r>
        <w:br/>
      </w:r>
      <w:r>
        <w:t xml:space="preserve">Unipolar показывает выраженный низкочастотный пик (DC). AMI и биполярные коды подавляют DC и концентрируют энергию в области тактовых частот и гармоник переходов. RZ и Manchester расширяют спектр за счёт обязательных переходов середины такта. Differential Manchester аналогичен Manchester по ширине спектра.</w:t>
      </w:r>
    </w:p>
    <w:p>
      <w:pPr>
        <w:pStyle w:val="BodyText"/>
      </w:pPr>
      <w:r>
        <w:t xml:space="preserve">Коды с принудительными переходами (RZ, Manchester, Differential Manchester) демонстрируют лучшую самосинхронизацию ценой увеличенной полосы. AMI эффективен по спектру и отсутствию DC, но требует мер против длинных серий нулей. Unipolar и Bipolar NRZ чувствительны к синхронизации при малом числе переходов и имеют менее благоприятные спектральные свойства.</w:t>
      </w:r>
    </w:p>
    <w:bookmarkEnd w:id="158"/>
    <w:bookmarkEnd w:id="159"/>
    <w:bookmarkEnd w:id="160"/>
    <w:bookmarkStart w:id="16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методы построения сигналов, их спектральный анализ, амплитудная модуляция и различные способы кодирования. Полученные графики подтвердили теоретические положения о разложении в ряд Фурье, свойстве самосинхронизации и спектральных характеристиках сигналов. Практическая работа в Octave закрепила понимание методов обработки сигналов.</w:t>
      </w:r>
    </w:p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103" Target="media/rId103.png" /><Relationship Type="http://schemas.openxmlformats.org/officeDocument/2006/relationships/image" Id="rId99" Target="media/rId99.png" /><Relationship Type="http://schemas.openxmlformats.org/officeDocument/2006/relationships/image" Id="rId84" Target="media/rId84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53" Target="media/rId153.png" /><Relationship Type="http://schemas.openxmlformats.org/officeDocument/2006/relationships/image" Id="rId149" Target="media/rId149.png" /><Relationship Type="http://schemas.openxmlformats.org/officeDocument/2006/relationships/image" Id="rId133" Target="media/rId133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108" Target="media/rId108.png" /><Relationship Type="http://schemas.openxmlformats.org/officeDocument/2006/relationships/image" Id="rId36" Target="media/rId3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Абрикосов Артем</dc:creator>
  <dc:language>ru-RU</dc:language>
  <cp:keywords/>
  <dcterms:created xsi:type="dcterms:W3CDTF">2026-01-12T10:06:20Z</dcterms:created>
  <dcterms:modified xsi:type="dcterms:W3CDTF">2026-01-12T10:06:20Z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