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6078F" w:rsidRPr="00B6078F" w:rsidTr="00B6078F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B6078F" w:rsidRPr="00B6078F" w:rsidRDefault="00B6078F" w:rsidP="00B6078F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B6078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D6A9AFA" wp14:editId="30E04A18">
                  <wp:extent cx="628015" cy="596265"/>
                  <wp:effectExtent l="0" t="0" r="635" b="0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78F" w:rsidRPr="00B6078F" w:rsidTr="00B6078F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B6078F" w:rsidRPr="00B6078F" w:rsidRDefault="00B6078F" w:rsidP="00B6078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B6078F"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</w:tr>
      <w:tr w:rsidR="00B6078F" w:rsidRPr="00B6078F" w:rsidTr="00B6078F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B6078F" w:rsidRPr="00B6078F" w:rsidRDefault="00B6078F" w:rsidP="00B6078F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:rsidR="00B6078F" w:rsidRPr="00B6078F" w:rsidRDefault="00B6078F" w:rsidP="00B6078F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высшего профессионального образования</w:t>
            </w:r>
          </w:p>
          <w:p w:rsidR="00B6078F" w:rsidRPr="00B6078F" w:rsidRDefault="00B6078F" w:rsidP="00B6078F">
            <w:pPr>
              <w:keepNext/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  <w:t>"Российский  технологический университет"</w:t>
            </w:r>
          </w:p>
          <w:p w:rsidR="00B6078F" w:rsidRPr="00B6078F" w:rsidRDefault="00B6078F" w:rsidP="00B6078F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  <w:t>МИРЭА</w:t>
            </w:r>
          </w:p>
          <w:p w:rsidR="00B6078F" w:rsidRPr="00B6078F" w:rsidRDefault="00B6078F" w:rsidP="00B6078F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078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113F7136" wp14:editId="49E6D03A">
                      <wp:extent cx="5829300" cy="342900"/>
                      <wp:effectExtent l="0" t="0" r="19050" b="0"/>
                      <wp:docPr id="1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11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6078F" w:rsidRDefault="00B6078F" w:rsidP="00B6078F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      <v:textbox>
                          <w:txbxContent>
                            <w:p w:rsidR="00B6078F" w:rsidRDefault="00B6078F" w:rsidP="00B6078F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0wOL8AAADbAAAADwAAAGRycy9kb3ducmV2LnhtbERPyWrDMBC9F/IPYgq5NXJ9CMW1HEKg&#10;kB690NLbYE0tE2tkJDVx/j4KBHqbx1un3C12EmfyYXSs4HWTgSDunR55UNC1Hy9vIEJE1jg5JgVX&#10;CrCrVk8lFtpduKZzEweRQjgUqMDEOBdSht6QxbBxM3Hifp23GBP0g9QeLyncTjLPsq20OHJqMDjT&#10;wVB/av6sAvY0t/lXczqYznVL/TmYn++9UuvnZf8OItIS/8UP91Gn+Tncf0kHyOo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0wOL8AAADbAAAADwAAAAAAAAAAAAAAAACh&#10;AgAAZHJzL2Rvd25yZXYueG1sUEsFBgAAAAAEAAQA+QAAAI0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078F" w:rsidRPr="00B6078F" w:rsidTr="00B6078F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B6078F" w:rsidRPr="00B6078F" w:rsidRDefault="00B6078F" w:rsidP="00B6078F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Институт «Комплексной безопасности и специального приборостроения»</w:t>
            </w:r>
          </w:p>
        </w:tc>
      </w:tr>
      <w:tr w:rsidR="00B6078F" w:rsidRPr="00B6078F" w:rsidTr="00B6078F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B6078F" w:rsidRPr="00B6078F" w:rsidRDefault="00B6078F" w:rsidP="00B6078F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Кафедра «Управление и моделирование систем» (КБ-3)</w:t>
            </w:r>
          </w:p>
        </w:tc>
      </w:tr>
      <w:tr w:rsidR="00B6078F" w:rsidRPr="00B6078F" w:rsidTr="00B6078F">
        <w:trPr>
          <w:cantSplit/>
          <w:trHeight w:val="18"/>
          <w:jc w:val="center"/>
        </w:trPr>
        <w:tc>
          <w:tcPr>
            <w:tcW w:w="9598" w:type="dxa"/>
          </w:tcPr>
          <w:p w:rsidR="00B6078F" w:rsidRPr="00B6078F" w:rsidRDefault="00B6078F" w:rsidP="00B6078F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2" w:lineRule="auto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</w:p>
        </w:tc>
      </w:tr>
    </w:tbl>
    <w:p w:rsidR="00B6078F" w:rsidRPr="00B6078F" w:rsidRDefault="00B6078F" w:rsidP="00B6078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B6078F" w:rsidRPr="00B6078F" w:rsidRDefault="00B6078F" w:rsidP="00B6078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B6078F" w:rsidRPr="00B6078F" w:rsidTr="00B6078F">
        <w:tc>
          <w:tcPr>
            <w:tcW w:w="5000" w:type="pct"/>
            <w:gridSpan w:val="2"/>
            <w:hideMark/>
          </w:tcPr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Практика №1 по дисциплине</w:t>
            </w:r>
          </w:p>
        </w:tc>
      </w:tr>
      <w:tr w:rsidR="00B6078F" w:rsidRPr="00B6078F" w:rsidTr="00B6078F">
        <w:tc>
          <w:tcPr>
            <w:tcW w:w="5000" w:type="pct"/>
            <w:gridSpan w:val="2"/>
            <w:hideMark/>
          </w:tcPr>
          <w:p w:rsidR="00B6078F" w:rsidRPr="00B6078F" w:rsidRDefault="00B6078F" w:rsidP="00B6078F">
            <w:pPr>
              <w:spacing w:after="0"/>
              <w:rPr>
                <w:rFonts w:ascii="Calibri" w:eastAsia="Calibri" w:hAnsi="Calibri" w:cs="Times New Roman"/>
              </w:rPr>
            </w:pPr>
          </w:p>
        </w:tc>
      </w:tr>
      <w:tr w:rsidR="00B6078F" w:rsidRPr="00B6078F" w:rsidTr="00B6078F">
        <w:tc>
          <w:tcPr>
            <w:tcW w:w="5000" w:type="pct"/>
            <w:gridSpan w:val="2"/>
            <w:hideMark/>
          </w:tcPr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« Основы информационной безопасности »</w:t>
            </w:r>
          </w:p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32"/>
                <w:szCs w:val="32"/>
              </w:rPr>
            </w:pPr>
            <w:r w:rsidRPr="00B6078F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  <w:t>«Политика безопасности»</w:t>
            </w:r>
          </w:p>
        </w:tc>
      </w:tr>
      <w:tr w:rsidR="00B6078F" w:rsidRPr="00B6078F" w:rsidTr="00B6078F">
        <w:tc>
          <w:tcPr>
            <w:tcW w:w="5000" w:type="pct"/>
            <w:gridSpan w:val="2"/>
          </w:tcPr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6078F" w:rsidRPr="00B6078F" w:rsidTr="00B6078F">
        <w:tc>
          <w:tcPr>
            <w:tcW w:w="3229" w:type="pct"/>
          </w:tcPr>
          <w:p w:rsidR="00B6078F" w:rsidRPr="00B6078F" w:rsidRDefault="00B6078F" w:rsidP="00B6078F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78F" w:rsidRPr="00B6078F" w:rsidRDefault="00B6078F" w:rsidP="00B6078F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078F" w:rsidRPr="00B6078F" w:rsidRDefault="00B6078F" w:rsidP="00B6078F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607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  БИСО-03-19 </w:t>
            </w:r>
          </w:p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B6078F" w:rsidRPr="00B6078F" w:rsidRDefault="00B6078F" w:rsidP="00B607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Чанышев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А.Т.</w:t>
            </w:r>
          </w:p>
        </w:tc>
      </w:tr>
    </w:tbl>
    <w:p w:rsidR="00B6078F" w:rsidRPr="00B6078F" w:rsidRDefault="00B6078F" w:rsidP="00B6078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B6078F" w:rsidRPr="00B6078F" w:rsidRDefault="00B6078F" w:rsidP="00B6078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B6078F" w:rsidRPr="00B6078F" w:rsidRDefault="00B6078F" w:rsidP="00B6078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B6078F" w:rsidRPr="00B6078F" w:rsidRDefault="00B6078F" w:rsidP="00B6078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78F" w:rsidRPr="00B6078F" w:rsidRDefault="00B6078F" w:rsidP="00B607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78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:rsidR="005103D0" w:rsidRPr="005103D0" w:rsidRDefault="005103D0" w:rsidP="005103D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lastRenderedPageBreak/>
        <w:t>Компания ООО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ABC</w:t>
      </w:r>
      <w:r w:rsidRPr="005103D0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103D0" w:rsidRPr="005103D0" w:rsidRDefault="005103D0" w:rsidP="005103D0">
      <w:pPr>
        <w:spacing w:after="160" w:line="25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Штат —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сотрудников. 5 руководство, 1</w:t>
      </w:r>
      <w:r>
        <w:rPr>
          <w:rFonts w:ascii="Times New Roman" w:eastAsia="Calibri" w:hAnsi="Times New Roman" w:cs="Times New Roman"/>
          <w:sz w:val="28"/>
          <w:szCs w:val="28"/>
        </w:rPr>
        <w:t>0 бухгалтерия, 5 — IT-отдел, 25</w:t>
      </w: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— менеджеры по работе с клиентами, Отдел кадров – 5 сотрудников.</w:t>
      </w:r>
    </w:p>
    <w:p w:rsidR="005103D0" w:rsidRPr="005103D0" w:rsidRDefault="00C611AB" w:rsidP="005103D0">
      <w:pPr>
        <w:spacing w:after="160" w:line="25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Руководство</w:t>
      </w:r>
      <w:r w:rsidR="005103D0" w:rsidRPr="005103D0">
        <w:rPr>
          <w:rFonts w:ascii="Times New Roman" w:eastAsia="Calibri" w:hAnsi="Times New Roman" w:cs="Times New Roman"/>
          <w:sz w:val="28"/>
          <w:szCs w:val="28"/>
        </w:rPr>
        <w:t xml:space="preserve"> использует телефонную связь, MS </w:t>
      </w:r>
      <w:proofErr w:type="spellStart"/>
      <w:r w:rsidR="005103D0" w:rsidRPr="005103D0"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 w:rsidR="005103D0" w:rsidRPr="005103D0">
        <w:rPr>
          <w:rFonts w:ascii="Times New Roman" w:eastAsia="Calibri" w:hAnsi="Times New Roman" w:cs="Times New Roman"/>
          <w:sz w:val="28"/>
          <w:szCs w:val="28"/>
        </w:rPr>
        <w:t xml:space="preserve">, 1С: Предприятие и т. д. </w:t>
      </w:r>
    </w:p>
    <w:p w:rsidR="005103D0" w:rsidRPr="005103D0" w:rsidRDefault="005103D0" w:rsidP="005103D0">
      <w:pPr>
        <w:spacing w:after="160" w:line="25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Бухгалтерия использует MS </w:t>
      </w:r>
      <w:proofErr w:type="spellStart"/>
      <w:r w:rsidRPr="005103D0"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 w:rsidRPr="005103D0">
        <w:rPr>
          <w:rFonts w:ascii="Times New Roman" w:eastAsia="Calibri" w:hAnsi="Times New Roman" w:cs="Times New Roman"/>
          <w:sz w:val="28"/>
          <w:szCs w:val="28"/>
        </w:rPr>
        <w:t>, 1С: Бухгалтерия. Занимается формированием полной и достоверной информации о деятельности организац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ии и ее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имущественном положении. </w:t>
      </w:r>
      <w:bookmarkStart w:id="0" w:name="_GoBack"/>
      <w:bookmarkEnd w:id="0"/>
    </w:p>
    <w:p w:rsidR="005103D0" w:rsidRPr="005103D0" w:rsidRDefault="005103D0" w:rsidP="005103D0">
      <w:pPr>
        <w:spacing w:after="160" w:line="25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IT-отдел занимается установкой, обеспечением правильной эксплуатации и бесперебойной работы, а также техническим обслуживанием компьютеров. Администрирование сетевых ресурсов, баз данных. Обеспечивает функционирование сайта и личных кабинетов клиентов. Имеет доступ к базам данных и к CMS. </w:t>
      </w:r>
    </w:p>
    <w:p w:rsidR="005103D0" w:rsidRPr="005103D0" w:rsidRDefault="005103D0" w:rsidP="005103D0">
      <w:pPr>
        <w:spacing w:after="160" w:line="25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Менеджеры по работе с клиентами осуществляют работу с ними посредством Интернет. Телефонной связи и др.</w:t>
      </w:r>
    </w:p>
    <w:p w:rsidR="005103D0" w:rsidRPr="005103D0" w:rsidRDefault="005103D0" w:rsidP="005103D0">
      <w:pPr>
        <w:spacing w:after="160" w:line="25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Отдел кадров использует MS </w:t>
      </w:r>
      <w:proofErr w:type="spellStart"/>
      <w:r w:rsidRPr="005103D0"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 w:rsidRPr="005103D0">
        <w:rPr>
          <w:rFonts w:ascii="Times New Roman" w:eastAsia="Calibri" w:hAnsi="Times New Roman" w:cs="Times New Roman"/>
          <w:sz w:val="28"/>
          <w:szCs w:val="28"/>
        </w:rPr>
        <w:t>, 1С: Зарплата и Кадры. Обеспечивает предприятие необходимыми кадрами и эффективным использованием потенциала работников.</w:t>
      </w:r>
    </w:p>
    <w:p w:rsidR="005103D0" w:rsidRPr="005103D0" w:rsidRDefault="005103D0" w:rsidP="005103D0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103D0" w:rsidRPr="005103D0" w:rsidRDefault="005103D0" w:rsidP="005103D0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103D0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:rsidR="005103D0" w:rsidRPr="005103D0" w:rsidRDefault="005103D0" w:rsidP="005103D0">
      <w:pPr>
        <w:spacing w:after="160"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103D0">
        <w:rPr>
          <w:rFonts w:ascii="Calibri" w:eastAsia="Calibri" w:hAnsi="Calibri" w:cs="Arial"/>
          <w:b/>
          <w:sz w:val="28"/>
          <w:szCs w:val="28"/>
        </w:rPr>
        <w:lastRenderedPageBreak/>
        <w:t>Политика информационной безопасности к</w:t>
      </w:r>
      <w:r w:rsidRPr="005103D0">
        <w:rPr>
          <w:rFonts w:ascii="Times New Roman" w:eastAsia="Calibri" w:hAnsi="Times New Roman" w:cs="Times New Roman"/>
          <w:b/>
          <w:sz w:val="28"/>
          <w:szCs w:val="28"/>
        </w:rPr>
        <w:t>омпан</w:t>
      </w:r>
      <w:proofErr w:type="gramStart"/>
      <w:r w:rsidRPr="005103D0">
        <w:rPr>
          <w:rFonts w:ascii="Times New Roman" w:eastAsia="Calibri" w:hAnsi="Times New Roman" w:cs="Times New Roman"/>
          <w:b/>
          <w:sz w:val="28"/>
          <w:szCs w:val="28"/>
        </w:rPr>
        <w:t>ии ООО</w:t>
      </w:r>
      <w:proofErr w:type="gramEnd"/>
      <w:r w:rsidRPr="005103D0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r w:rsidRPr="005103D0">
        <w:rPr>
          <w:rFonts w:ascii="Times New Roman" w:eastAsia="Calibri" w:hAnsi="Times New Roman" w:cs="Times New Roman"/>
          <w:b/>
          <w:sz w:val="28"/>
          <w:szCs w:val="28"/>
        </w:rPr>
        <w:t>ABC</w:t>
      </w:r>
      <w:r w:rsidRPr="005103D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5103D0" w:rsidRPr="005103D0" w:rsidRDefault="005103D0" w:rsidP="005103D0">
      <w:pPr>
        <w:spacing w:after="160" w:line="254" w:lineRule="auto"/>
        <w:jc w:val="center"/>
        <w:rPr>
          <w:rFonts w:ascii="Calibri" w:eastAsia="Calibri" w:hAnsi="Calibri" w:cs="Arial"/>
          <w:b/>
          <w:sz w:val="28"/>
          <w:szCs w:val="28"/>
        </w:rPr>
      </w:pPr>
    </w:p>
    <w:p w:rsidR="005103D0" w:rsidRPr="005103D0" w:rsidRDefault="005103D0" w:rsidP="005103D0">
      <w:pPr>
        <w:spacing w:after="160" w:line="254" w:lineRule="auto"/>
        <w:ind w:right="-1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103D0">
        <w:rPr>
          <w:rFonts w:ascii="Times New Roman" w:eastAsia="Calibri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-778872271"/>
        <w:docPartObj>
          <w:docPartGallery w:val="Table of Contents"/>
          <w:docPartUnique/>
        </w:docPartObj>
      </w:sdtPr>
      <w:sdtContent>
        <w:p w:rsidR="005103D0" w:rsidRPr="005103D0" w:rsidRDefault="005103D0" w:rsidP="005103D0">
          <w:pPr>
            <w:keepNext/>
            <w:keepLines/>
            <w:spacing w:before="240" w:after="0" w:line="254" w:lineRule="auto"/>
            <w:ind w:left="-284" w:right="-1" w:firstLine="568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5103D0" w:rsidRPr="005103D0" w:rsidRDefault="005103D0" w:rsidP="005103D0">
          <w:pPr>
            <w:tabs>
              <w:tab w:val="right" w:leader="dot" w:pos="9345"/>
            </w:tabs>
            <w:spacing w:after="100" w:line="254" w:lineRule="auto"/>
            <w:rPr>
              <w:rFonts w:ascii="Calibri" w:eastAsia="Calibri" w:hAnsi="Calibri" w:cs="Arial"/>
              <w:noProof/>
            </w:rPr>
          </w:pPr>
          <w:r w:rsidRPr="005103D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5103D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5103D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</w:p>
        <w:p w:rsidR="005103D0" w:rsidRPr="005103D0" w:rsidRDefault="005103D0" w:rsidP="005103D0">
          <w:pPr>
            <w:tabs>
              <w:tab w:val="right" w:leader="dot" w:pos="9345"/>
            </w:tabs>
            <w:spacing w:after="100" w:line="254" w:lineRule="auto"/>
            <w:rPr>
              <w:rFonts w:ascii="Calibri" w:eastAsia="Calibri" w:hAnsi="Calibri" w:cs="Arial"/>
              <w:noProof/>
            </w:rPr>
          </w:pPr>
          <w:hyperlink w:anchor="_Toc54390627" w:history="1">
            <w:r w:rsidRPr="005103D0">
              <w:rPr>
                <w:rFonts w:ascii="Calibri" w:eastAsia="Calibri" w:hAnsi="Calibri" w:cs="Arial"/>
                <w:noProof/>
                <w:u w:val="single"/>
              </w:rPr>
              <w:t>1. Общее положение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ab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begin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instrText xml:space="preserve"> PAGEREF _Toc54390627 \h </w:instrText>
            </w:r>
            <w:r w:rsidRPr="005103D0">
              <w:rPr>
                <w:rFonts w:ascii="Calibri" w:eastAsia="Calibri" w:hAnsi="Calibri" w:cs="Arial"/>
                <w:noProof/>
                <w:webHidden/>
              </w:rPr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separate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>4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end"/>
            </w:r>
          </w:hyperlink>
        </w:p>
        <w:p w:rsidR="005103D0" w:rsidRPr="005103D0" w:rsidRDefault="005103D0" w:rsidP="005103D0">
          <w:pPr>
            <w:tabs>
              <w:tab w:val="right" w:leader="dot" w:pos="9345"/>
            </w:tabs>
            <w:spacing w:after="100" w:line="254" w:lineRule="auto"/>
            <w:ind w:left="220"/>
            <w:rPr>
              <w:rFonts w:ascii="Calibri" w:eastAsia="Times New Roman" w:hAnsi="Calibri" w:cs="Arial"/>
              <w:noProof/>
              <w:lang w:val="en-US"/>
            </w:rPr>
          </w:pPr>
          <w:hyperlink w:anchor="_Toc54390628" w:history="1">
            <w:r w:rsidRPr="005103D0">
              <w:rPr>
                <w:rFonts w:ascii="Calibri" w:eastAsia="Calibri" w:hAnsi="Calibri" w:cs="Arial"/>
                <w:noProof/>
                <w:u w:val="single"/>
              </w:rPr>
              <w:t>1.1 Цель документа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ab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begin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instrText xml:space="preserve"> PAGEREF _Toc54390628 \h </w:instrText>
            </w:r>
            <w:r w:rsidRPr="005103D0">
              <w:rPr>
                <w:rFonts w:ascii="Calibri" w:eastAsia="Calibri" w:hAnsi="Calibri" w:cs="Arial"/>
                <w:noProof/>
                <w:webHidden/>
              </w:rPr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separate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>4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end"/>
            </w:r>
          </w:hyperlink>
        </w:p>
        <w:p w:rsidR="005103D0" w:rsidRPr="005103D0" w:rsidRDefault="005103D0" w:rsidP="005103D0">
          <w:pPr>
            <w:tabs>
              <w:tab w:val="right" w:leader="dot" w:pos="9345"/>
            </w:tabs>
            <w:spacing w:after="100" w:line="254" w:lineRule="auto"/>
            <w:rPr>
              <w:rFonts w:ascii="Calibri" w:eastAsia="Calibri" w:hAnsi="Calibri" w:cs="Arial"/>
              <w:noProof/>
            </w:rPr>
          </w:pPr>
          <w:hyperlink w:anchor="_Toc54390629" w:history="1">
            <w:r w:rsidRPr="005103D0">
              <w:rPr>
                <w:rFonts w:ascii="Calibri" w:eastAsia="Calibri" w:hAnsi="Calibri" w:cs="Arial"/>
                <w:noProof/>
                <w:u w:val="single"/>
              </w:rPr>
              <w:t>2. Цели обеспечения и управления информационной безопасностью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ab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begin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instrText xml:space="preserve"> PAGEREF _Toc54390629 \h </w:instrText>
            </w:r>
            <w:r w:rsidRPr="005103D0">
              <w:rPr>
                <w:rFonts w:ascii="Calibri" w:eastAsia="Calibri" w:hAnsi="Calibri" w:cs="Arial"/>
                <w:noProof/>
                <w:webHidden/>
              </w:rPr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separate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>4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end"/>
            </w:r>
          </w:hyperlink>
        </w:p>
        <w:p w:rsidR="005103D0" w:rsidRPr="005103D0" w:rsidRDefault="005103D0" w:rsidP="005103D0">
          <w:pPr>
            <w:tabs>
              <w:tab w:val="right" w:leader="dot" w:pos="9345"/>
            </w:tabs>
            <w:spacing w:after="100" w:line="254" w:lineRule="auto"/>
            <w:rPr>
              <w:rFonts w:ascii="Calibri" w:eastAsia="Calibri" w:hAnsi="Calibri" w:cs="Arial"/>
              <w:noProof/>
            </w:rPr>
          </w:pPr>
          <w:hyperlink w:anchor="_Toc54390630" w:history="1">
            <w:r w:rsidRPr="005103D0">
              <w:rPr>
                <w:rFonts w:ascii="Calibri" w:eastAsia="Calibri" w:hAnsi="Calibri" w:cs="Arial"/>
                <w:noProof/>
                <w:u w:val="single"/>
              </w:rPr>
              <w:t>3. Подход к обеспечению информационной безопасности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ab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begin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instrText xml:space="preserve"> PAGEREF _Toc54390630 \h </w:instrText>
            </w:r>
            <w:r w:rsidRPr="005103D0">
              <w:rPr>
                <w:rFonts w:ascii="Calibri" w:eastAsia="Calibri" w:hAnsi="Calibri" w:cs="Arial"/>
                <w:noProof/>
                <w:webHidden/>
              </w:rPr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separate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>5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end"/>
            </w:r>
          </w:hyperlink>
        </w:p>
        <w:p w:rsidR="005103D0" w:rsidRPr="005103D0" w:rsidRDefault="005103D0" w:rsidP="005103D0">
          <w:pPr>
            <w:tabs>
              <w:tab w:val="right" w:leader="dot" w:pos="9345"/>
            </w:tabs>
            <w:spacing w:after="100" w:line="254" w:lineRule="auto"/>
            <w:rPr>
              <w:rFonts w:ascii="Calibri" w:eastAsia="Calibri" w:hAnsi="Calibri" w:cs="Arial"/>
              <w:noProof/>
            </w:rPr>
          </w:pPr>
          <w:hyperlink w:anchor="_Toc54390631" w:history="1">
            <w:r w:rsidRPr="005103D0">
              <w:rPr>
                <w:rFonts w:ascii="Calibri" w:eastAsia="Calibri" w:hAnsi="Calibri" w:cs="Arial"/>
                <w:noProof/>
                <w:u w:val="single"/>
              </w:rPr>
              <w:t>4. Порядок пересмотра Политики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ab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begin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instrText xml:space="preserve"> PAGEREF _Toc54390631 \h </w:instrText>
            </w:r>
            <w:r w:rsidRPr="005103D0">
              <w:rPr>
                <w:rFonts w:ascii="Calibri" w:eastAsia="Calibri" w:hAnsi="Calibri" w:cs="Arial"/>
                <w:noProof/>
                <w:webHidden/>
              </w:rPr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separate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>6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end"/>
            </w:r>
          </w:hyperlink>
        </w:p>
        <w:p w:rsidR="005103D0" w:rsidRPr="005103D0" w:rsidRDefault="005103D0" w:rsidP="005103D0">
          <w:pPr>
            <w:tabs>
              <w:tab w:val="right" w:leader="dot" w:pos="9345"/>
            </w:tabs>
            <w:spacing w:after="100" w:line="254" w:lineRule="auto"/>
            <w:rPr>
              <w:rFonts w:ascii="Calibri" w:eastAsia="Calibri" w:hAnsi="Calibri" w:cs="Arial"/>
              <w:noProof/>
            </w:rPr>
          </w:pPr>
          <w:hyperlink w:anchor="_Toc54390632" w:history="1">
            <w:r w:rsidRPr="005103D0">
              <w:rPr>
                <w:rFonts w:ascii="Calibri" w:eastAsia="Calibri" w:hAnsi="Calibri" w:cs="Arial"/>
                <w:noProof/>
                <w:u w:val="single"/>
              </w:rPr>
              <w:t>5. Технический регламент для отдела безопасности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ab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begin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instrText xml:space="preserve"> PAGEREF _Toc54390632 \h </w:instrText>
            </w:r>
            <w:r w:rsidRPr="005103D0">
              <w:rPr>
                <w:rFonts w:ascii="Calibri" w:eastAsia="Calibri" w:hAnsi="Calibri" w:cs="Arial"/>
                <w:noProof/>
                <w:webHidden/>
              </w:rPr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separate"/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t>6</w:t>
            </w:r>
            <w:r w:rsidRPr="005103D0">
              <w:rPr>
                <w:rFonts w:ascii="Calibri" w:eastAsia="Calibri" w:hAnsi="Calibri" w:cs="Arial"/>
                <w:noProof/>
                <w:webHidden/>
              </w:rPr>
              <w:fldChar w:fldCharType="end"/>
            </w:r>
          </w:hyperlink>
        </w:p>
        <w:p w:rsidR="005103D0" w:rsidRPr="005103D0" w:rsidRDefault="005103D0" w:rsidP="005103D0">
          <w:pPr>
            <w:spacing w:after="160" w:line="254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5103D0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103D0" w:rsidRPr="005103D0" w:rsidRDefault="005103D0" w:rsidP="005103D0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3D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103D0" w:rsidRPr="005103D0" w:rsidRDefault="005103D0" w:rsidP="005103D0">
      <w:pPr>
        <w:keepNext/>
        <w:keepLines/>
        <w:spacing w:after="2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54390627"/>
      <w:r w:rsidRPr="005103D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Общее положение</w:t>
      </w:r>
      <w:bookmarkEnd w:id="1"/>
    </w:p>
    <w:p w:rsidR="005103D0" w:rsidRPr="005103D0" w:rsidRDefault="005103D0" w:rsidP="005103D0">
      <w:pPr>
        <w:spacing w:after="24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Обеспечение информационной безопасности является необходимым условием для осуществления деятельности 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интернет-магазина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5103D0">
        <w:rPr>
          <w:rFonts w:ascii="Times New Roman" w:eastAsia="Calibri" w:hAnsi="Times New Roman" w:cs="Times New Roman"/>
          <w:sz w:val="28"/>
          <w:szCs w:val="28"/>
        </w:rPr>
        <w:t>ABC</w:t>
      </w:r>
      <w:r w:rsidRPr="005103D0">
        <w:rPr>
          <w:rFonts w:ascii="Times New Roman" w:eastAsia="Calibri" w:hAnsi="Times New Roman" w:cs="Times New Roman"/>
          <w:sz w:val="28"/>
          <w:szCs w:val="28"/>
        </w:rPr>
        <w:t>». Нарушение информационной безопасности может привести к серьезным последствиям для Компании, включая потерю доверия со стороны партнеров, клиентов, поставщиков и снижение конкурентоспособности.</w:t>
      </w:r>
      <w:bookmarkStart w:id="2" w:name="_Toc54390628"/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b/>
          <w:sz w:val="28"/>
          <w:szCs w:val="28"/>
        </w:rPr>
        <w:t>1.1 Цель документа</w:t>
      </w:r>
      <w:bookmarkEnd w:id="2"/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ab/>
        <w:t>Целью политики информационной безопасности интернет - магазина «</w:t>
      </w:r>
      <w:r w:rsidRPr="005103D0">
        <w:rPr>
          <w:rFonts w:ascii="Times New Roman" w:eastAsia="Calibri" w:hAnsi="Times New Roman" w:cs="Times New Roman"/>
          <w:sz w:val="28"/>
          <w:szCs w:val="28"/>
        </w:rPr>
        <w:t>ABC</w:t>
      </w: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» для размещения в сети интернет является декларация основных целей и положений по организации </w:t>
      </w:r>
      <w:r w:rsidRPr="005103D0">
        <w:rPr>
          <w:rFonts w:ascii="Times New Roman" w:eastAsia="Calibri" w:hAnsi="Times New Roman" w:cs="Times New Roman"/>
          <w:sz w:val="28"/>
          <w:szCs w:val="28"/>
        </w:rPr>
        <w:tab/>
        <w:t>процессов обеспечения и управления информационной безопасностью Компании.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103D0" w:rsidRPr="005103D0" w:rsidRDefault="005103D0" w:rsidP="005103D0">
      <w:pPr>
        <w:keepNext/>
        <w:keepLines/>
        <w:spacing w:after="2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54390629"/>
      <w:r w:rsidRPr="005103D0">
        <w:rPr>
          <w:rFonts w:ascii="Times New Roman" w:eastAsia="Times New Roman" w:hAnsi="Times New Roman" w:cs="Times New Roman"/>
          <w:b/>
          <w:bCs/>
          <w:sz w:val="28"/>
          <w:szCs w:val="28"/>
        </w:rPr>
        <w:t>2. Цели обеспечения и управления информационной безопасностью</w:t>
      </w:r>
      <w:bookmarkEnd w:id="3"/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ab/>
        <w:t>Под обеспечением информационной безопасности или защитой информации понимается сохранение ее конфиденциальности, целостности и доступности. Конфиденциальность информации обеспечивается в случае предоставления доступа к данным только авторизованным лицам, целостность – в случае внесения в данные исключительно авторизованных изменений, доступность – при обеспечении возможности получения доступа к данным авторизованным лицам в нужное для них время.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ab/>
        <w:t>Основными целями в области обеспечения и управления информационной безопасностью Компании являются: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- Обеспечение целостности, доступности и конфиденциальности критичной информации, а также обеспечение доступности 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критичных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ИТ-сервисов Компании.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Применение обоснованных, экономически эффективных организационных и технических мер по обеспечению информационной безопасности.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Соответствие Компании требованиям действующего законодательства и регуляторов в области ИБ.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Соответствие процессов обеспечения информационной безопасности 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бизнес-требованиям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Компании.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Обеспечение доверия клиентов и партнеров Компании.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Установление ответственности сотрудников по вопросам обеспечения информационной безопасности и повышение их осведомленности.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103D0" w:rsidRPr="005103D0" w:rsidRDefault="005103D0" w:rsidP="005103D0">
      <w:pPr>
        <w:keepNext/>
        <w:keepLines/>
        <w:spacing w:after="2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54390630"/>
      <w:r w:rsidRPr="005103D0">
        <w:rPr>
          <w:rFonts w:ascii="Times New Roman" w:eastAsia="Times New Roman" w:hAnsi="Times New Roman" w:cs="Times New Roman"/>
          <w:b/>
          <w:bCs/>
          <w:sz w:val="28"/>
          <w:szCs w:val="28"/>
        </w:rPr>
        <w:t>3. Подход к обеспечению информационной безопасности</w:t>
      </w:r>
      <w:bookmarkEnd w:id="4"/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Информация является важным активом Компании, и ее защита является обязанностью каждого сотрудника.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Доступ к информации предоставляется только лицам, которым он необходим для выполнения должностных или контрактных обязательств в минимально возможном объеме.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Сотрудники Компании проходят регулярное обучение в области информационной безопасности.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В Компании регулярно проводится независимый аудит информационной безопасности.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Специалисты информационной безопасности отвечают за определение детальных требований информационной безопасности и контролируют их исполнение в Компании.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Меры защиты информации внедряются по результатам проведения оценки рисков информационной безопасности.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Меры защиты персональных данных внедряются согласно требованиям Федерального закона № 000 «О защите персональных данных» и других нормативных документов, регламентирующих обработку персональных данных в автоматизированных и неавтоматизированных информационных системах.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 Оценка рисков информационной безопасности проводится ежегодно, а также в случае значительных изменений в структуре Компан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ии и ее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бизнес-процессах.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lastRenderedPageBreak/>
        <w:t>- При оценке рисков учитывается влияние реализации угроз информационной безопасности на финансовое положение Компан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ии и ее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репутацию на рынке.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Стоимость принимаемых мер не должна превышать возможный ущерб, возникающий при реализации угроз.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Успешное достижение целей настоящей политики возможно только при выполнении положений регламентов информационной безопасности.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103D0" w:rsidRPr="005103D0" w:rsidRDefault="005103D0" w:rsidP="005103D0">
      <w:pPr>
        <w:keepNext/>
        <w:keepLines/>
        <w:spacing w:after="2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54390631"/>
      <w:r w:rsidRPr="005103D0">
        <w:rPr>
          <w:rFonts w:ascii="Times New Roman" w:eastAsia="Times New Roman" w:hAnsi="Times New Roman" w:cs="Times New Roman"/>
          <w:b/>
          <w:bCs/>
          <w:sz w:val="28"/>
          <w:szCs w:val="28"/>
        </w:rPr>
        <w:t>4. Порядок пересмотра Политики</w:t>
      </w:r>
      <w:bookmarkEnd w:id="5"/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ab/>
        <w:t>Политика должна пересматриваться при наступлении существенных событий, но не реже чем один раз в три года.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103D0" w:rsidRPr="005103D0" w:rsidRDefault="005103D0" w:rsidP="005103D0">
      <w:pPr>
        <w:keepNext/>
        <w:keepLines/>
        <w:spacing w:after="24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54390632"/>
      <w:r w:rsidRPr="005103D0">
        <w:rPr>
          <w:rFonts w:ascii="Times New Roman" w:eastAsia="Times New Roman" w:hAnsi="Times New Roman" w:cs="Times New Roman"/>
          <w:b/>
          <w:bCs/>
          <w:sz w:val="28"/>
          <w:szCs w:val="28"/>
        </w:rPr>
        <w:t>5. Технический регламент для отдела безопасности</w:t>
      </w:r>
      <w:bookmarkEnd w:id="6"/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1) Исключение возможности доступа третьих лиц к документам, содержащим конфиденциальную информацию.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2) 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Контроль за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 соблюдением установленного уровня доступа внутри компании.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3)  Соблюдение требований и правил по работе со средствами технической защиты, в том числе со средствами криптографической защиты.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4) Контроль состояния автоматизированной системы и реагирование на ситуации, имеющие характер инцидентов ИБ, а именно: нарушения целостности пломб, свидетельствующие о попытке проникнуть в охраняемую зону, некорректном срабатывании антивирусной защиты, нарушения в работе программного обеспечения, выявленных изменениях файлов, выходе из строя периферийных устройств.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5) Исключение копирования любых файлов или текстовой информации в любых целях без получения санкции руководителя. 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6) Обеспечение антивирусной безопасности.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7) Обеспечение безопасности персональных данных. А именно: 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lastRenderedPageBreak/>
        <w:t>- Определение угроз безопасности персональных данных при их обработке в информационных системах персональных данных.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о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>бнаружение фактов несанкционированного доступа к персональным данным и принятие мер.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gramStart"/>
      <w:r w:rsidRPr="005103D0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5103D0">
        <w:rPr>
          <w:rFonts w:ascii="Times New Roman" w:eastAsia="Calibri" w:hAnsi="Times New Roman" w:cs="Times New Roman"/>
          <w:sz w:val="28"/>
          <w:szCs w:val="28"/>
        </w:rPr>
        <w:t>осстановление персональных данных, модифицированных или уничтоженных вследствие несанкционированного доступа к ним.</w:t>
      </w:r>
    </w:p>
    <w:p w:rsidR="005103D0" w:rsidRPr="005103D0" w:rsidRDefault="005103D0" w:rsidP="005103D0">
      <w:pPr>
        <w:spacing w:after="2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03D0">
        <w:rPr>
          <w:rFonts w:ascii="Times New Roman" w:eastAsia="Calibri" w:hAnsi="Times New Roman" w:cs="Times New Roman"/>
          <w:sz w:val="28"/>
          <w:szCs w:val="28"/>
        </w:rPr>
        <w:t>- Установление правил доступа к персональным данным, обрабатываемым в информационной системе персональных данных, а также обеспечением регистрации и учета всех действий, совершаемых с персональными данными в информационной системе персональных данных.</w:t>
      </w:r>
    </w:p>
    <w:p w:rsidR="00B6078F" w:rsidRDefault="00B6078F" w:rsidP="005103D0">
      <w:pPr>
        <w:spacing w:after="160" w:line="256" w:lineRule="auto"/>
        <w:jc w:val="center"/>
      </w:pPr>
    </w:p>
    <w:sectPr w:rsidR="00B6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B03"/>
    <w:multiLevelType w:val="multilevel"/>
    <w:tmpl w:val="F22C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B5D69"/>
    <w:multiLevelType w:val="multilevel"/>
    <w:tmpl w:val="9D4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968C7"/>
    <w:multiLevelType w:val="hybridMultilevel"/>
    <w:tmpl w:val="6E4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633ED"/>
    <w:multiLevelType w:val="multilevel"/>
    <w:tmpl w:val="94C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CF7164"/>
    <w:multiLevelType w:val="hybridMultilevel"/>
    <w:tmpl w:val="AA7A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57040"/>
    <w:multiLevelType w:val="multilevel"/>
    <w:tmpl w:val="155C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8F"/>
    <w:rsid w:val="005103D0"/>
    <w:rsid w:val="00B6078F"/>
    <w:rsid w:val="00C6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0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0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2020-12-07T14:03:00Z</dcterms:created>
  <dcterms:modified xsi:type="dcterms:W3CDTF">2020-12-07T14:28:00Z</dcterms:modified>
</cp:coreProperties>
</file>