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ПРАВИТЕЛЬСТВО РОССИЙСКОЙ ФЕДЕРАЦИИ НАЦИОНАЛЬНЫЙ ИССЛЕДОВАТЕЛЬСКИЙ УНИВЕРСИТЕТ «ВЫСШАЯ ШКОЛА ЭКОНОМИКИ» </w:t>
      </w:r>
    </w:p>
    <w:p w:rsidR="00000000" w:rsidDel="00000000" w:rsidP="00000000" w:rsidRDefault="00000000" w:rsidRPr="00000000" w14:paraId="00000002">
      <w:pPr>
        <w:spacing w:line="36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Факультет компьютерных наук </w:t>
      </w:r>
    </w:p>
    <w:p w:rsidR="00000000" w:rsidDel="00000000" w:rsidP="00000000" w:rsidRDefault="00000000" w:rsidRPr="00000000" w14:paraId="00000003">
      <w:pPr>
        <w:spacing w:line="360" w:lineRule="auto"/>
        <w:ind w:left="0" w:firstLine="0"/>
        <w:jc w:val="center"/>
        <w:rPr/>
        <w:sectPr>
          <w:headerReference r:id="rId6" w:type="default"/>
          <w:headerReference r:id="rId7" w:type="first"/>
          <w:footerReference r:id="rId8" w:type="default"/>
          <w:footerReference r:id="rId9" w:type="first"/>
          <w:pgSz w:h="16834" w:w="11909" w:orient="portrait"/>
          <w:pgMar w:bottom="850" w:top="1417" w:left="566" w:right="566" w:header="708" w:footer="708"/>
          <w:pgNumType w:start="0"/>
          <w:titlePg w:val="1"/>
        </w:sectPr>
      </w:pPr>
      <w:r w:rsidDel="00000000" w:rsidR="00000000" w:rsidRPr="00000000">
        <w:rPr>
          <w:rtl w:val="0"/>
        </w:rPr>
        <w:t xml:space="preserve">Департамент программной инженерии </w:t>
      </w:r>
    </w:p>
    <w:p w:rsidR="00000000" w:rsidDel="00000000" w:rsidP="00000000" w:rsidRDefault="00000000" w:rsidRPr="00000000" w14:paraId="00000004">
      <w:pPr>
        <w:spacing w:line="360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СОГЛАСОВАНО </w:t>
      </w:r>
    </w:p>
    <w:p w:rsidR="00000000" w:rsidDel="00000000" w:rsidP="00000000" w:rsidRDefault="00000000" w:rsidRPr="00000000" w14:paraId="00000006">
      <w:pPr>
        <w:spacing w:line="360" w:lineRule="auto"/>
        <w:ind w:left="0" w:firstLine="0"/>
        <w:jc w:val="center"/>
        <w:rPr/>
      </w:pPr>
      <w:r w:rsidDel="00000000" w:rsidR="00000000" w:rsidRPr="00000000">
        <w:rPr>
          <w:rtl w:val="0"/>
        </w:rPr>
        <w:t>доцент</w:t>
      </w:r>
    </w:p>
    <w:p w:rsidR="00000000" w:rsidDel="00000000" w:rsidP="00000000" w:rsidRDefault="00000000" w:rsidRPr="00000000" w14:paraId="00000007">
      <w:pPr>
        <w:spacing w:line="360" w:lineRule="auto"/>
        <w:ind w:left="0" w:firstLine="0"/>
        <w:jc w:val="center"/>
        <w:rPr/>
      </w:pPr>
      <w:r w:rsidDel="00000000" w:rsidR="00000000" w:rsidRPr="00000000">
        <w:rPr>
          <w:rtl w:val="0"/>
        </w:rPr>
        <w:t>департамента программной инженерии</w:t>
      </w:r>
    </w:p>
    <w:p w:rsidR="00000000" w:rsidDel="00000000" w:rsidP="00000000" w:rsidRDefault="00000000" w:rsidRPr="00000000" w14:paraId="00000008">
      <w:pPr>
        <w:spacing w:line="360" w:lineRule="auto"/>
        <w:ind w:left="0" w:firstLine="0"/>
        <w:jc w:val="center"/>
        <w:rPr/>
      </w:pPr>
      <w:r w:rsidDel="00000000" w:rsidR="00000000" w:rsidRPr="00000000">
        <w:rPr>
          <w:rtl w:val="0"/>
        </w:rPr>
        <w:t>факультета компьютерных наук</w:t>
      </w:r>
    </w:p>
    <w:p w:rsidR="00000000" w:rsidDel="00000000" w:rsidP="00000000" w:rsidRDefault="00000000" w:rsidRPr="00000000" w14:paraId="00000009">
      <w:pPr>
        <w:spacing w:line="360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0" w:firstLine="0"/>
        <w:jc w:val="center"/>
        <w:rPr/>
      </w:pPr>
      <w:r w:rsidDel="00000000" w:rsidR="00000000" w:rsidRPr="00000000">
        <w:rPr>
          <w:rtl w:val="0"/>
        </w:rPr>
        <w:t>____________________ / С. А. Виденин /</w:t>
      </w:r>
    </w:p>
    <w:p w:rsidR="00000000" w:rsidDel="00000000" w:rsidP="00000000" w:rsidRDefault="00000000" w:rsidRPr="00000000" w14:paraId="0000000B">
      <w:pPr>
        <w:spacing w:line="360" w:lineRule="auto"/>
        <w:ind w:left="0" w:firstLine="0"/>
        <w:jc w:val="center"/>
        <w:rPr/>
      </w:pPr>
      <w:r w:rsidDel="00000000" w:rsidR="00000000" w:rsidRPr="00000000">
        <w:rPr>
          <w:rtl w:val="0"/>
        </w:rPr>
        <w:t>«____» _____________ 2026 г.</w:t>
      </w:r>
    </w:p>
    <w:p w:rsidR="00000000" w:rsidDel="00000000" w:rsidP="00000000" w:rsidRDefault="00000000" w:rsidRPr="00000000" w14:paraId="0000000C">
      <w:pPr>
        <w:spacing w:line="360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jc w:val="center"/>
        <w:rPr/>
      </w:pPr>
      <w:r w:rsidDel="00000000" w:rsidR="00000000" w:rsidRPr="00000000">
        <w:rPr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УТВЕРЖДАЮ </w:t>
      </w:r>
    </w:p>
    <w:p w:rsidR="00000000" w:rsidDel="00000000" w:rsidP="00000000" w:rsidRDefault="00000000" w:rsidRPr="00000000" w14:paraId="00000012">
      <w:pPr>
        <w:spacing w:line="360" w:lineRule="auto"/>
        <w:ind w:left="0" w:firstLine="0"/>
        <w:jc w:val="center"/>
        <w:rPr/>
      </w:pPr>
      <w:r w:rsidDel="00000000" w:rsidR="00000000" w:rsidRPr="00000000">
        <w:rPr>
          <w:rtl w:val="0"/>
        </w:rPr>
        <w:t>Академический руководитель</w:t>
      </w:r>
    </w:p>
    <w:p w:rsidR="00000000" w:rsidDel="00000000" w:rsidP="00000000" w:rsidRDefault="00000000" w:rsidRPr="00000000" w14:paraId="00000013">
      <w:pPr>
        <w:spacing w:line="360" w:lineRule="auto"/>
        <w:ind w:left="0" w:firstLine="0"/>
        <w:jc w:val="center"/>
        <w:rPr/>
      </w:pPr>
      <w:r w:rsidDel="00000000" w:rsidR="00000000" w:rsidRPr="00000000">
        <w:rPr>
          <w:rtl w:val="0"/>
        </w:rPr>
        <w:t>образовательной программы</w:t>
      </w:r>
    </w:p>
    <w:p w:rsidR="00000000" w:rsidDel="00000000" w:rsidP="00000000" w:rsidRDefault="00000000" w:rsidRPr="00000000" w14:paraId="00000014">
      <w:pPr>
        <w:spacing w:line="360" w:lineRule="auto"/>
        <w:ind w:left="0" w:firstLine="0"/>
        <w:jc w:val="center"/>
        <w:rPr/>
      </w:pPr>
      <w:r w:rsidDel="00000000" w:rsidR="00000000" w:rsidRPr="00000000">
        <w:rPr>
          <w:rtl w:val="0"/>
        </w:rPr>
        <w:t>«Программная инженерия»,</w:t>
      </w:r>
    </w:p>
    <w:p w:rsidR="00000000" w:rsidDel="00000000" w:rsidP="00000000" w:rsidRDefault="00000000" w:rsidRPr="00000000" w14:paraId="00000015">
      <w:pPr>
        <w:spacing w:line="360" w:lineRule="auto"/>
        <w:ind w:left="0" w:firstLine="0"/>
        <w:jc w:val="center"/>
        <w:rPr/>
      </w:pPr>
      <w:r w:rsidDel="00000000" w:rsidR="00000000" w:rsidRPr="00000000">
        <w:rPr>
          <w:rtl w:val="0"/>
        </w:rPr>
        <w:t>старший преподаватель</w:t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департамента программной инженерии </w:t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jc w:val="center"/>
        <w:rPr/>
      </w:pPr>
      <w:r w:rsidDel="00000000" w:rsidR="00000000" w:rsidRPr="00000000">
        <w:rPr>
          <w:rtl w:val="0"/>
        </w:rPr>
        <w:t>____________________ / Н. А. Павлочев /</w:t>
      </w:r>
    </w:p>
    <w:p w:rsidR="00000000" w:rsidDel="00000000" w:rsidP="00000000" w:rsidRDefault="00000000" w:rsidRPr="00000000" w14:paraId="00000018">
      <w:pPr>
        <w:spacing w:line="360" w:lineRule="auto"/>
        <w:ind w:left="0" w:firstLine="0"/>
        <w:jc w:val="center"/>
        <w:rPr/>
      </w:pPr>
      <w:r w:rsidDel="00000000" w:rsidR="00000000" w:rsidRPr="00000000">
        <w:rPr>
          <w:rtl w:val="0"/>
        </w:rPr>
        <w:t>«____» _____________ 2026 г.</w:t>
      </w:r>
    </w:p>
    <w:p w:rsidR="00000000" w:rsidDel="00000000" w:rsidP="00000000" w:rsidRDefault="00000000" w:rsidRPr="00000000" w14:paraId="00000019">
      <w:pPr>
        <w:spacing w:line="360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0" w:firstLine="0"/>
        <w:jc w:val="both"/>
        <w:rPr/>
        <w:sectPr>
          <w:type w:val="continuous"/>
          <w:pgSz w:h="16834" w:w="11909" w:orient="portrait"/>
          <w:pgMar w:bottom="850" w:top="1417" w:left="566" w:right="566" w:header="708" w:footer="708"/>
          <w:cols w:equalWidth="0" w:num="2">
            <w:col w:space="720" w:w="5028.500000000002"/>
            <w:col w:space="0" w:w="5028.50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 w:after="0" w:before="0"/>
        <w:ind w:left="0" w:firstLine="0"/>
        <w:jc w:val="center"/>
        <w:rPr>
          <w:b w:val="1"/>
          <w:bCs w:val="1"/>
        </w:rPr>
      </w:pPr>
      <w:r>
        <w:rPr>
          <w:rFonts w:ascii="Times New Roman" w:hAnsi="Times New Roman"/>
          <w:b w:val="0"/>
          <w:sz w:val="28"/>
        </w:rPr>
        <w:t>ВЕБ-ПРИЛОЖЕНИЕ ДЛЯ ИМИТАЦИИ СОБЕСЕДОВАНИЙ</w:t>
      </w:r>
    </w:p>
    <w:p w:rsidR="00000000" w:rsidDel="00000000" w:rsidP="00000000" w:rsidRDefault="00000000" w:rsidRPr="00000000" w14:paraId="0000001D">
      <w:pPr>
        <w:spacing w:line="276" w:lineRule="auto" w:after="0" w:before="0"/>
        <w:ind w:left="0" w:firstLine="0"/>
        <w:jc w:val="center"/>
        <w:rPr>
          <w:b w:val="1"/>
          <w:bCs w:val="1"/>
        </w:rPr>
      </w:pPr>
      <w:r>
        <w:rPr>
          <w:rFonts w:ascii="Times New Roman" w:hAnsi="Times New Roman"/>
          <w:b w:val="0"/>
          <w:sz w:val="28"/>
        </w:rPr>
        <w:t>С ИНТЕЛЛЕКТУАЛЬНОЙ ОБРАТНОЙ СВЯЗЬЮ:</w:t>
      </w:r>
    </w:p>
    <w:p w:rsidR="00000000" w:rsidDel="00000000" w:rsidP="00000000" w:rsidRDefault="00000000" w:rsidRPr="00000000" w14:paraId="0000001E">
      <w:pPr>
        <w:spacing w:line="276" w:lineRule="auto" w:after="0" w:before="0"/>
        <w:ind w:left="0" w:firstLine="0"/>
        <w:jc w:val="center"/>
        <w:rPr>
          <w:b w:val="1"/>
          <w:bCs w:val="1"/>
        </w:rPr>
      </w:pPr>
      <w:r>
        <w:rPr>
          <w:rFonts w:ascii="Times New Roman" w:hAnsi="Times New Roman"/>
          <w:b w:val="0"/>
          <w:sz w:val="28"/>
        </w:rPr>
        <w:t>МОДУЛЬ АНАЛИЗА ОТВЕТОВ ПОЛЬЗОВАТЕЛЯ</w:t>
      </w:r>
    </w:p>
    <w:p w:rsidR="00000000" w:rsidDel="00000000" w:rsidP="00000000" w:rsidRDefault="00000000" w:rsidRPr="00000000" w14:paraId="0000001F">
      <w:pPr>
        <w:spacing w:line="276" w:lineRule="auto" w:after="0" w:before="0"/>
        <w:ind w:left="0" w:firstLine="0"/>
        <w:jc w:val="center"/>
        <w:rPr>
          <w:b w:val="1"/>
          <w:bCs w:val="1"/>
        </w:rPr>
      </w:pPr>
      <w:r>
        <w:rPr>
          <w:rFonts w:ascii="Times New Roman" w:hAnsi="Times New Roman"/>
          <w:b w:val="0"/>
          <w:sz w:val="28"/>
        </w:rPr>
        <w:t>С ИСПОЛЬЗОВАНИЕМ БОЛЬШОЙ ЯЗЫКОВОЙ МОДЕЛИ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Руководство оператора</w:t>
      </w:r>
    </w:p>
    <w:p w:rsidR="00000000" w:rsidDel="00000000" w:rsidP="00000000" w:rsidRDefault="00000000" w:rsidRPr="00000000" w14:paraId="00000020">
      <w:pPr>
        <w:spacing w:line="36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ЛИСТ УТВЕРЖДЕНИЯ </w:t>
      </w:r>
    </w:p>
    <w:p w:rsidR="00000000" w:rsidDel="00000000" w:rsidP="00000000" w:rsidRDefault="00000000" w:rsidRPr="00000000" w14:paraId="00000021">
      <w:pPr>
        <w:spacing w:line="36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>RU.17701729.05.15-01 34 01-1-ЛУ</w:t>
      </w:r>
    </w:p>
    <w:p w:rsidR="00000000" w:rsidDel="00000000" w:rsidP="00000000" w:rsidRDefault="00000000" w:rsidRPr="00000000" w14:paraId="00000022">
      <w:pPr>
        <w:spacing w:line="36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  <w:br/>
      </w:r>
    </w:p>
    <w:p w:rsidR="00000000" w:rsidDel="00000000" w:rsidP="00000000" w:rsidRDefault="00000000" w:rsidRPr="00000000" w14:paraId="00000027">
      <w:pPr>
        <w:spacing w:line="360" w:lineRule="auto"/>
        <w:ind w:lef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left="0" w:firstLine="0"/>
        <w:jc w:val="right"/>
        <w:rPr/>
      </w:pPr>
      <w:r w:rsidDel="00000000" w:rsidR="00000000" w:rsidRPr="00000000">
        <w:rPr>
          <w:rtl w:val="0"/>
        </w:rPr>
        <w:t>Исполнитель:</w:t>
      </w:r>
    </w:p>
    <w:p w:rsidR="00000000" w:rsidDel="00000000" w:rsidP="00000000" w:rsidRDefault="00000000" w:rsidRPr="00000000" w14:paraId="00000029">
      <w:pPr>
        <w:spacing w:line="360" w:lineRule="auto"/>
        <w:ind w:left="0" w:firstLine="0"/>
        <w:jc w:val="right"/>
        <w:rPr/>
      </w:pPr>
      <w:r w:rsidDel="00000000" w:rsidR="00000000" w:rsidRPr="00000000">
        <w:rPr>
          <w:rtl w:val="0"/>
        </w:rPr>
        <w:t xml:space="preserve">студент группы БПИ225 </w:t>
      </w:r>
    </w:p>
    <w:p w:rsidR="00000000" w:rsidDel="00000000" w:rsidP="00000000" w:rsidRDefault="00000000" w:rsidRPr="00000000" w14:paraId="0000002A">
      <w:pPr>
        <w:spacing w:line="276" w:lineRule="auto" w:after="0" w:before="0"/>
        <w:ind w:left="0" w:firstLine="0"/>
        <w:jc w:val="both"/>
        <w:rPr/>
      </w:pPr>
      <w:r>
        <w:rPr>
          <w:rFonts w:ascii="Times New Roman" w:hAnsi="Times New Roman"/>
          <w:b w:val="0"/>
          <w:sz w:val="28"/>
        </w:rPr>
        <w:t>________________ / А. В. Сидоров /</w:t>
      </w:r>
    </w:p>
    <w:p w:rsidR="00000000" w:rsidDel="00000000" w:rsidP="00000000" w:rsidRDefault="00000000" w:rsidRPr="00000000" w14:paraId="0000002B">
      <w:pPr>
        <w:spacing w:line="360" w:lineRule="auto"/>
        <w:ind w:left="0" w:firstLine="0"/>
        <w:jc w:val="right"/>
        <w:rPr/>
      </w:pPr>
      <w:r w:rsidDel="00000000" w:rsidR="00000000" w:rsidRPr="00000000">
        <w:rPr>
          <w:rtl w:val="0"/>
        </w:rPr>
        <w:t>«____» _________ 2026 г.</w:t>
      </w:r>
    </w:p>
    <w:p w:rsidR="00000000" w:rsidDel="00000000" w:rsidP="00000000" w:rsidRDefault="00000000" w:rsidRPr="00000000" w14:paraId="0000002C">
      <w:pPr>
        <w:spacing w:line="360" w:lineRule="auto"/>
        <w:ind w:lef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>УТВЕРЖДЁН</w:t>
      </w:r>
    </w:p>
    <w:p w:rsidR="00000000" w:rsidDel="00000000" w:rsidP="00000000" w:rsidRDefault="00000000" w:rsidRPr="00000000" w14:paraId="0000002E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>RU.17701729.05.15-01 34 01-1-ЛУ</w:t>
      </w:r>
    </w:p>
    <w:p w:rsidR="00000000" w:rsidDel="00000000" w:rsidP="00000000" w:rsidRDefault="00000000" w:rsidRPr="00000000" w14:paraId="0000002F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 w:after="0" w:before="0"/>
        <w:ind w:left="0" w:firstLine="0"/>
        <w:jc w:val="center"/>
        <w:rPr>
          <w:b w:val="1"/>
          <w:bCs w:val="1"/>
        </w:rPr>
      </w:pPr>
      <w:r>
        <w:rPr>
          <w:rFonts w:ascii="Times New Roman" w:hAnsi="Times New Roman"/>
          <w:sz w:val="28"/>
        </w:rPr>
        <w:t>???-?????????? ??? ???????? ?????????????</w:t>
      </w:r>
    </w:p>
    <w:p w:rsidR="00000000" w:rsidDel="00000000" w:rsidP="00000000" w:rsidRDefault="00000000" w:rsidRPr="00000000" w14:paraId="00000039">
      <w:pPr>
        <w:spacing w:line="276" w:lineRule="auto" w:after="0" w:before="0"/>
        <w:ind w:left="0" w:firstLine="0"/>
        <w:jc w:val="center"/>
        <w:rPr>
          <w:b w:val="1"/>
          <w:bCs w:val="1"/>
        </w:rPr>
      </w:pPr>
      <w:r>
        <w:rPr>
          <w:rFonts w:ascii="Times New Roman" w:hAnsi="Times New Roman"/>
          <w:sz w:val="28"/>
        </w:rPr>
        <w:t>? ???????????????? ???????? ??????:</w:t>
      </w:r>
    </w:p>
    <w:p w:rsidR="00000000" w:rsidDel="00000000" w:rsidP="00000000" w:rsidRDefault="00000000" w:rsidRPr="00000000" w14:paraId="0000003A">
      <w:pPr>
        <w:spacing w:line="276" w:lineRule="auto" w:after="0" w:before="0"/>
        <w:ind w:left="0" w:firstLine="0"/>
        <w:jc w:val="center"/>
        <w:rPr>
          <w:b w:val="1"/>
          <w:bCs w:val="1"/>
        </w:rPr>
      </w:pPr>
      <w:r>
        <w:rPr>
          <w:rFonts w:ascii="Times New Roman" w:hAnsi="Times New Roman"/>
          <w:sz w:val="28"/>
        </w:rPr>
        <w:t>?????? ??????? ??????? ????????????</w:t>
      </w:r>
    </w:p>
    <w:p>
      <w:pPr>
        <w:spacing w:after="0" w:before="0" w:line="276" w:lineRule="auto"/>
        <w:jc w:val="center"/>
      </w:pPr>
      <w:r>
        <w:rPr>
          <w:rFonts w:ascii="Times New Roman" w:hAnsi="Times New Roman"/>
          <w:sz w:val="28"/>
        </w:rPr>
        <w:t>? ?????????????? ??????? ???????? ??????</w:t>
      </w:r>
    </w:p>
    <w:p w:rsidR="00000000" w:rsidDel="00000000" w:rsidP="00000000" w:rsidRDefault="00000000" w:rsidRPr="00000000" w14:paraId="0000003B">
      <w:pPr>
        <w:spacing w:line="36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</w:r>
      <w:r w:rsidDel="00000000" w:rsidR="00000000" w:rsidRPr="00000000">
        <w:rPr>
          <w:b w:val="1"/>
          <w:bCs w:val="1"/>
          <w:rtl w:val="0"/>
        </w:rPr>
        <w:t>Руководство оператора</w:t>
      </w:r>
    </w:p>
    <w:p w:rsidR="00000000" w:rsidDel="00000000" w:rsidP="00000000" w:rsidRDefault="00000000" w:rsidRPr="00000000" w14:paraId="0000003C">
      <w:pPr>
        <w:spacing w:line="36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>RU.17701729.05.15-01 34 01-1</w:t>
      </w:r>
    </w:p>
    <w:p w:rsidR="00000000" w:rsidDel="00000000" w:rsidP="00000000" w:rsidRDefault="00000000" w:rsidRPr="00000000" w14:paraId="0000003D">
      <w:pPr>
        <w:spacing w:line="36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>Листов: 14</w:t>
      </w:r>
    </w:p>
    <w:p w:rsidR="00000000" w:rsidDel="00000000" w:rsidP="00000000" w:rsidRDefault="00000000" w:rsidRPr="00000000" w14:paraId="0000003E">
      <w:pPr>
        <w:spacing w:line="36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ind w:left="0" w:firstLine="0"/>
        <w:jc w:val="center"/>
        <w:rPr>
          <w:b w:val="1"/>
          <w:bCs w:val="1"/>
        </w:rPr>
        <w:sectPr>
          <w:headerReference r:id="rId11" w:type="default"/>
          <w:footerReference r:id="rId12" w:type="default"/>
          <w:type w:val="continuous"/>
          <w:pgSz w:h="16834" w:w="11909" w:orient="portrait"/>
          <w:pgMar w:bottom="850" w:top="1417" w:left="1133" w:right="1133" w:header="708" w:footer="708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ind w:left="0" w:firstLine="0"/>
        <w:rPr/>
        <w:sectPr>
          <w:headerReference r:id="rId13" w:type="default"/>
          <w:footerReference r:id="rId14" w:type="default"/>
          <w:type w:val="continuous"/>
          <w:pgSz w:h="16834" w:w="11909" w:orient="portrait"/>
          <w:pgMar w:bottom="850" w:top="1417" w:left="1133" w:right="566" w:header="708" w:footer="708"/>
        </w:sectPr>
      </w:pPr>
      <w:r w:rsidDel="00000000" w:rsidR="00000000" w:rsidRPr="00000000">
        <w:rPr>
          <w:rtl w:val="0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/>
          <w:b w:val="0"/>
          <w:sz w:val="28"/>
        </w:rPr>
        <w:t>ГЛОССАРИЙ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API (Application Programming Interface) - программный интерфейс приложения, набор методов для взаимодействия между компонентами.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Backend-приложение - основная серверная часть Interview Coach, которая хранит вопросы, проводит сессию интервью и передает завершенные вопросы и ответы в модуль анализа.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FastAPI - web-фреймворк Python, используемый для реализации REST API модуля анализа ответов.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HFProvider - компонент модуля, который локально загружает Qwen/Qwen2.5-3B-Instruct и LoRA/QLoRA-адаптер через Transformers и PEFT.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LLM - большая языковая модель, применяемая для анализа технических ответов и формирования структурированного отчета.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LoRA/QLoRA - методы параметро-эффективного дообучения модели, используемые для адаптации базовой LLM к задаче оценки ответов интервью.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OpenAPI - машиночитаемое описание REST API, используемое для интеграции модуля анализа с основным backend-приложением.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PostgreSQL - система управления базами данных, используемая для хранения статусов задач и сформированных отчетов.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Сессия собеседования - завершенный набор вопросов и ответов пользователя в рамках выбранной специализации и грейда.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Рубрика оценки - набор критериев и весов, по которым оцениваются корректность, полнота, ясность, практичность и терминология ответа.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Job - задача анализа, создаваемая при обращении к endpoint формирования отчета.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MAE, RMSE, bias, within_10, within_15 - метрики качества модели, используемые для сравнения оценок модели с экспертной разметкой.</w:t>
      </w: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center"/>
      </w:pPr>
      <w:r>
        <w:rPr>
          <w:rFonts w:ascii="Times New Roman" w:hAnsi="Times New Roman"/>
          <w:b w:val="0"/>
          <w:sz w:val="28"/>
        </w:rPr>
        <w:t>АННОТАЦИЯ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Руководство оператора предназначено для организации корректной эксплуатации модуля анализа ответов пользователя с использованием большой языковой модели, входящего в состав веб-приложения Interview Coach.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Модуль принимает от основного backend-приложения завершенную сессию собеседования, включающую тексты вопросов и ответы пользователя, выполняет анализ через локальную LLM и возвращает структурированный JSON-отчет с оценками, сильными сторонами, проблемами и рекомендациями.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В руководстве описаны назначение программы, условия выполнения, порядок запуска через Docker и локальное окружение, работа через REST API и консоль, проверка качества модели, остановка сервиса, просмотр журналов и типовые сообщения оператору.</w:t>
      </w: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center"/>
      </w:pPr>
      <w:r>
        <w:rPr>
          <w:rFonts w:ascii="Times New Roman" w:hAnsi="Times New Roman"/>
          <w:b w:val="0"/>
          <w:sz w:val="28"/>
        </w:rPr>
        <w:t>СОДЕРЖАНИЕ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НАЗНАЧЕНИЕ ПРОГРАММЫ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УСЛОВИЯ ВЫПОЛНЕНИЯ ПРОГРАММЫ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ВЫПОЛНЕНИЕ ПРОГРАММЫ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СООБЩЕНИЯ ОПЕРАТОРУ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ПРИЛОЖЕНИЕ 1. СПИСОК ИСПОЛЬЗУЕМОЙ ЛИТЕРАТУРЫ</w:t>
      </w:r>
    </w:p>
    <w:p>
      <w:pPr>
        <w:spacing w:after="0" w:before="0" w:line="276" w:lineRule="auto"/>
        <w:jc w:val="both"/>
      </w:pPr>
    </w:p>
    <w:p>
      <w:pPr>
        <w:pStyle w:val="Heading1"/>
        <w:spacing w:after="0" w:before="0" w:line="276" w:lineRule="auto"/>
        <w:jc w:val="left"/>
      </w:pPr>
      <w:r>
        <w:rPr>
          <w:rFonts w:ascii="Times New Roman" w:hAnsi="Times New Roman"/>
          <w:b/>
          <w:sz w:val="28"/>
        </w:rPr>
        <w:t>НАЗНАЧЕНИЕ ПРОГРАММЫ</w:t>
      </w:r>
    </w:p>
    <w:p>
      <w:pPr>
        <w:pStyle w:val="Heading2"/>
        <w:spacing w:after="0" w:before="0" w:line="276" w:lineRule="auto"/>
        <w:jc w:val="left"/>
      </w:pPr>
      <w:r>
        <w:rPr>
          <w:rFonts w:ascii="Times New Roman" w:hAnsi="Times New Roman"/>
          <w:b/>
          <w:sz w:val="28"/>
        </w:rPr>
        <w:t>Функциональное назначение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Модуль анализа ответов предназначен для автоматизированной оценки ответов пользователя после прохождения технического собеседования. Он не проводит интервью самостоятельно и не является основным хранилищем вопросов в production-контуре.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Основное backend-приложение хранит вопросы, управляет сессией и отправляет в модуль анализа итоговый JSON с полями requestId, sessionId, clientId, scenario и items. Каждый элемент items содержит itemId, questionId, questionText, answerText, askedAt и tags.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Модуль формирует отчет, включающий общий балл, оценки по критериям, разбор каждого вопроса, тематические выводы, рекомендации, версии модели, промпта, рубрик и источника вопросов.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Если questionId отсутствует в локальном учебном банке, модуль не завершает работу ошибкой. В этом случае используется runtime-карточка и runtime-рубрика, сформированные на основе текста вопроса, тегов и тем сценария.</w:t>
      </w:r>
    </w:p>
    <w:p>
      <w:pPr>
        <w:pStyle w:val="Heading2"/>
        <w:spacing w:after="0" w:before="0" w:line="276" w:lineRule="auto"/>
        <w:jc w:val="left"/>
      </w:pPr>
      <w:r>
        <w:rPr>
          <w:rFonts w:ascii="Times New Roman" w:hAnsi="Times New Roman"/>
          <w:b/>
          <w:sz w:val="28"/>
        </w:rPr>
        <w:t>Эксплуатационное назначение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Программа используется оператором для запуска и сопровождения API-сервиса анализа ответов, проверки его готовности, передачи тестовых сессий, просмотра журналов, диагностики ошибок и контроля качества модели.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Для демонстрации и проверки без основного backend-приложения предусмотрен консольный режим. Он позволяет вывести вопросы из локального учебного набора, пройти интервью вручную, сформировать JSON-отчет и запустить оценку качества на тестовой выборке.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sz w:val="28"/>
        </w:rPr>
        <w:t>Локальные карточки вопросов и датасет применяются для обучения, демонстрации и проверки качества. В production-интеграции источник вопросов находится на стороне backend-приложения.</w:t>
      </w:r>
    </w:p>
    <w:p>
      <w:pPr>
        <w:spacing w:after="0" w:before="0" w:line="276" w:lineRule="auto"/>
        <w:jc w:val="both"/>
      </w:pPr>
    </w:p>
    <w:p>
      <w:pPr>
        <w:pStyle w:val="Heading1"/>
        <w:spacing w:after="0" w:before="0" w:line="276" w:lineRule="auto"/>
        <w:jc w:val="left"/>
      </w:pPr>
      <w:r>
        <w:rPr>
          <w:rFonts w:ascii="Times New Roman" w:hAnsi="Times New Roman"/>
          <w:b/>
          <w:sz w:val="28"/>
        </w:rPr>
        <w:t>УСЛОВИЯ ВЫПОЛНЕНИЯ ПРОГРАММЫ</w:t>
      </w:r>
    </w:p>
    <w:p>
      <w:pPr>
        <w:pStyle w:val="Heading2"/>
        <w:spacing w:after="0" w:before="0" w:line="276" w:lineRule="auto"/>
        <w:jc w:val="left"/>
      </w:pPr>
      <w:r>
        <w:rPr>
          <w:rFonts w:ascii="Times New Roman" w:hAnsi="Times New Roman"/>
          <w:b/>
          <w:sz w:val="28"/>
        </w:rPr>
        <w:t>Минимальный состав аппаратурных средств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Для запуска API без локального inference достаточно сервера или рабочей станции с 2 vCPU, 4 ГБ оперативной памяти и 20 ГБ свободного дискового пространства.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Для полного запуска HFProvider с моделью Qwen/Qwen2.5-3B-Instruct и LoRA/QLoRA-адаптером рекомендуется рабочая станция или сервер с 8 vCPU, 24 ГБ оперативной памяти и 100 ГБ дискового пространства.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При наличии NVIDIA GPU рекомендуется использовать видеокарту с поддержкой CUDA. GPU-режим ускоряет генерацию отчета и снижает задержку обработки сессии.</w:t>
      </w:r>
    </w:p>
    <w:p>
      <w:pPr>
        <w:pStyle w:val="Heading2"/>
        <w:spacing w:after="0" w:before="0" w:line="276" w:lineRule="auto"/>
        <w:jc w:val="left"/>
      </w:pPr>
      <w:r>
        <w:rPr>
          <w:rFonts w:ascii="Times New Roman" w:hAnsi="Times New Roman"/>
          <w:b/>
          <w:sz w:val="28"/>
        </w:rPr>
        <w:t>Минимальный состав программных средств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Для Docker-развертывания необходимы Docker Engine или Docker Desktop, Docker Compose, доступ к образам Python и PostgreSQL, а также сетевой доступ для загрузки базовой модели при первом HF-запуске.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Для локального запуска без Docker необходимы Python 3.12+, виртуальное окружение, FastAPI, Uvicorn, Pydantic, psycopg, PyTorch, Transformers, PEFT, bitsandbytes и зависимости проекта, устанавливаемые из pyproject.toml.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Для хранения статусов задач и отчетов используется PostgreSQL. Для локальной проверки допускается in-memory-хранилище, однако для интеграционного и серверного контура рекомендуется PostgreSQL.</w:t>
      </w:r>
    </w:p>
    <w:p>
      <w:pPr>
        <w:pStyle w:val="Heading2"/>
        <w:spacing w:after="0" w:before="0" w:line="276" w:lineRule="auto"/>
        <w:jc w:val="left"/>
      </w:pPr>
      <w:r>
        <w:rPr>
          <w:rFonts w:ascii="Times New Roman" w:hAnsi="Times New Roman"/>
          <w:b/>
          <w:sz w:val="28"/>
        </w:rPr>
        <w:t>Требования к квалификации персонала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Оператор должен владеть базовыми навыками работы с командной строкой, Docker, HTTP-запросами, переменными окружения и просмотром журналов контейнеров.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Для диагностики LLM-компонента оператор должен понимать назначение режимов mock, ollama и hf, знать путь к адаптеру модели и уметь проверять доступность endpoint health.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Для сопровождения серверной интеграции оператор должен иметь доступ к репозиторию, файлу .env, значению X-API-Key, параметрам PostgreSQL и журналам основного backend-приложения.</w:t>
      </w:r>
    </w:p>
    <w:p>
      <w:pPr>
        <w:spacing w:after="0" w:before="0" w:line="276" w:lineRule="auto"/>
        <w:jc w:val="both"/>
      </w:pPr>
    </w:p>
    <w:p>
      <w:pPr>
        <w:pStyle w:val="Heading1"/>
        <w:spacing w:after="0" w:before="0" w:line="276" w:lineRule="auto"/>
        <w:jc w:val="left"/>
      </w:pPr>
      <w:r>
        <w:rPr>
          <w:rFonts w:ascii="Times New Roman" w:hAnsi="Times New Roman"/>
          <w:b/>
          <w:sz w:val="28"/>
        </w:rPr>
        <w:t>ВЫПОЛНЕНИЕ ПРОГРАММЫ</w:t>
      </w:r>
    </w:p>
    <w:p>
      <w:pPr>
        <w:pStyle w:val="Heading2"/>
        <w:spacing w:after="0" w:before="0" w:line="276" w:lineRule="auto"/>
        <w:jc w:val="left"/>
      </w:pPr>
      <w:r>
        <w:rPr>
          <w:rFonts w:ascii="Times New Roman" w:hAnsi="Times New Roman"/>
          <w:b/>
          <w:sz w:val="28"/>
        </w:rPr>
        <w:t>Подготовка к работе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Перед запуском оператор клонирует репозиторий модуля анализа, переходит в каталог проекта, создает файл .env на основе .env.example и задает значения переменных окружения.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Оператор проверяет наличие каталога training/artifacts/qwen2.5-3b-interview-full-ru-qlora-v1, свободный порт 8000, доступность PostgreSQL и корректность API-ключа для заголовка X-API-Key.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Минимальная последовательность команд подготовки: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git clone &lt;url_репозитория&gt;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cd analysis_module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copy .env.example .env</w:t>
      </w:r>
    </w:p>
    <w:p>
      <w:pPr>
        <w:pStyle w:val="Heading2"/>
        <w:spacing w:after="0" w:before="0" w:line="276" w:lineRule="auto"/>
        <w:jc w:val="left"/>
      </w:pPr>
      <w:r>
        <w:rPr>
          <w:rFonts w:ascii="Times New Roman" w:hAnsi="Times New Roman"/>
          <w:b/>
          <w:sz w:val="28"/>
        </w:rPr>
        <w:t>Локальный запуск через Docker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Основной способ запуска итоговой версии модуля - Docker Compose. В этом режиме поднимаются сервис анализа ответов и PostgreSQL.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Для запуска в Windows используется команда: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.\start.bat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Альтернативная команда без batch-файла: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docker compose up -d --build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Для запуска на сервере с NVIDIA GPU используется команда: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docker compose -f docker-compose.yml -f docker-compose.gpu.yml up -d --build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После запуска оператор проверяет состояние контейнеров и доступность API: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docker compose ps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curl http://127.0.0.1:8000/assessment/v1/health</w:t>
      </w:r>
    </w:p>
    <w:p>
      <w:pPr>
        <w:pStyle w:val="Heading2"/>
        <w:spacing w:after="0" w:before="0" w:line="276" w:lineRule="auto"/>
        <w:jc w:val="left"/>
      </w:pPr>
      <w:r>
        <w:rPr>
          <w:rFonts w:ascii="Times New Roman" w:hAnsi="Times New Roman"/>
          <w:b/>
          <w:sz w:val="28"/>
        </w:rPr>
        <w:t>Локальный запуск HF API без Docker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При запуске без Docker оператор создает виртуальное окружение и устанавливает зависимости проекта.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python -m venv .venv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.\.venv\Scripts\activate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pip install -e ".[dev,hf_runtime]"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Для старта API в HF/LoRA-режиме используется команда: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.\start_hf_api.bat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После запуска доступны Swagger UI по адресу http://127.0.0.1:8000/docs, OpenAPI JSON по адресу http://127.0.0.1:8000/openapi.json и endpoint состояния /assessment/v1/health.</w:t>
      </w:r>
    </w:p>
    <w:p>
      <w:pPr>
        <w:pStyle w:val="Heading2"/>
        <w:spacing w:after="0" w:before="0" w:line="276" w:lineRule="auto"/>
        <w:jc w:val="left"/>
      </w:pPr>
      <w:r>
        <w:rPr>
          <w:rFonts w:ascii="Times New Roman" w:hAnsi="Times New Roman"/>
          <w:b/>
          <w:sz w:val="28"/>
        </w:rPr>
        <w:t>Работа через REST API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REST API используется основным backend-приложением. Все защищенные запросы должны содержать заголовок X-API-Key.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Основной endpoint анализа: POST /assessment/v1/report. Входной JSON должен содержать requestId, sessionId, clientId, mode, scenario и массив items.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В синхронном режиме mode=sync ответ содержит status=ready, объект job и объект report. В асинхронном режиме mode=async первичный ответ возвращается со статусом 202, после чего готовность проверяется через GET /assessment/v1/report/{jobId}/status.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Пример минимального запроса: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curl -X POST "http://127.0.0.1:8000/assessment/v1/report" -H "X-API-Key: demo-api-key" -H "Content-Type: application/json" -d "{\"requestId\":\"req-1001\",\"sessionId\":\"session-1001\",\"clientId\":\"main-backend\",\"mode\":\"sync\",\"scenario\":{\"specialization\":\"backend\",\"grade\":\"junior\",\"reportLanguage\":\"ru\"},\"items\":[{\"itemId\":\"item-1\",\"questionId\":\"q-1\",\"questionText\":\"Что такое REST?\",\"answerText\":\"REST - архитектурный стиль для проектирования HTTP API.\",\"tags\":[\"http\"]}]}"</w:t>
      </w:r>
    </w:p>
    <w:p>
      <w:pPr>
        <w:pStyle w:val="Heading2"/>
        <w:spacing w:after="0" w:before="0" w:line="276" w:lineRule="auto"/>
        <w:jc w:val="left"/>
      </w:pPr>
      <w:r>
        <w:rPr>
          <w:rFonts w:ascii="Times New Roman" w:hAnsi="Times New Roman"/>
          <w:b/>
          <w:sz w:val="28"/>
        </w:rPr>
        <w:t>Работа через консоль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Консольный режим используется для демонстрации, локальной проверки и подготовки материалов без графического интерфейса.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Получение списка вопросов из локального учебного набора: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.\console.bat questions --specialization backend --grade junior --limit 10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Быстрая проверка пайплайна без загрузки LLM: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.\console.bat sample --quality good --specialization backend --grade junior --limit 10 --llm mock --output training\reports\mock_report.json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Ручное прохождение интервью через локальную модель: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.\console.bat run --specialization backend --grade junior --limit 10 --llm hf --output training\reports\manual_hf_report.json</w:t>
      </w:r>
    </w:p>
    <w:p>
      <w:pPr>
        <w:pStyle w:val="Heading2"/>
        <w:spacing w:after="0" w:before="0" w:line="276" w:lineRule="auto"/>
        <w:jc w:val="left"/>
      </w:pPr>
      <w:r>
        <w:rPr>
          <w:rFonts w:ascii="Times New Roman" w:hAnsi="Times New Roman"/>
          <w:b/>
          <w:sz w:val="28"/>
        </w:rPr>
        <w:t>Проверка качества модели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Качество модели проверяется на размеченной тестовой выборке. Оператор запускает генерацию предсказаний и расчет метрик.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.\console.bat evaluate --limit 5 --llm hf --output training\reports\hf_eval_predictions.jsonl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.\.venv\Scripts\python.exe training\scripts\evaluate_predictions.py --input training\reports\hf_eval_predictions.jsonl --output training\reports\hf_quality_metrics.json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Основные метрики: MAE - средняя абсолютная ошибка, RMSE - среднеквадратичная ошибка, bias - среднее смещение оценки, within_10 и within_15 - доля ответов, где оценка модели отличается от экспертной не более чем на 10 или 15 баллов.</w:t>
      </w:r>
    </w:p>
    <w:p>
      <w:pPr>
        <w:pStyle w:val="Heading2"/>
        <w:spacing w:after="0" w:before="0" w:line="276" w:lineRule="auto"/>
        <w:jc w:val="left"/>
      </w:pPr>
      <w:r>
        <w:rPr>
          <w:rFonts w:ascii="Times New Roman" w:hAnsi="Times New Roman"/>
          <w:b/>
          <w:sz w:val="28"/>
        </w:rPr>
        <w:t>Остановка, обновление и диагностика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Для остановки Docker-режима используется команда: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.\stop.bat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Для просмотра журналов используются команды: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docker compose logs -f analysis-module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docker compose logs --tail 200 analysis-module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docker compose logs --tail 200 postgres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При обновлении LoRA/QLoRA-адаптера оператор проверяет переменную ANALYSIS_HF_ADAPTER_PATH, после чего пересоздает контейнер analysis-module.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docker compose up -d --build --force-recreate analysis-module</w:t>
      </w:r>
    </w:p>
    <w:p>
      <w:pPr>
        <w:spacing w:after="0" w:before="0" w:line="276" w:lineRule="auto"/>
        <w:jc w:val="both"/>
      </w:pPr>
    </w:p>
    <w:p>
      <w:pPr>
        <w:pStyle w:val="Heading1"/>
        <w:spacing w:after="0" w:before="0" w:line="276" w:lineRule="auto"/>
        <w:jc w:val="left"/>
      </w:pPr>
      <w:r>
        <w:rPr>
          <w:rFonts w:ascii="Times New Roman" w:hAnsi="Times New Roman"/>
          <w:b/>
          <w:sz w:val="28"/>
        </w:rPr>
        <w:t>СООБЩЕНИЯ ОПЕРАТОРУ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При ошибках модуль возвращает структурированный JSON-ответ с полями status, errorCode, message и details. По этим полям оператор определяет причину сбоя и дальнейшие действия.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ok - сервис доступен, health-запрос выполнен успешно.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ready - отчет сформирован и доступен в поле report.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created - задача зарегистрирована и ожидает обработки.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processing - задача анализа выполняется.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AUTHENTICATION_ERROR - отсутствует или неверно указан X-API-Key. Нужно проверить ANALYSIS_API_KEY и настройки вызывающего backend-приложения.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INVALID_INPUT - запрос не прошел валидацию. Типичные причины: отсутствуют requestId, sessionId, clientId, questionText или answerText; превышено ограничение 20 вопросов; ответ длиннее 4000 символов.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REQUEST_CONFLICT - один и тот же requestId повторно используется с другим телом запроса. Нужно передать новый requestId или повторить исходный запрос без изменений.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JOB_NOT_FOUND - задача с указанным jobId отсутствует в хранилище. Нужно проверить корректность jobId и состояние PostgreSQL.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REPORT_NOT_READY - отчет еще формируется. Нужно повторить запрос статуса позднее.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INVALID_MODEL_OUTPUT - модель вернула невалидный JSON. Нужно проверить журналы analysis-module, параметры генерации и доступность HFProvider.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MODEL_TIMEOUT - модель превысила допустимое время генерации. Нужно проверить загрузку сервера, режим hf, наличие GPU и длину входной сессии.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DATABASE_UNAVAILABLE или DATABASE_WRITE_ERROR - PostgreSQL недоступен либо запись статуса задачи невозможна. Нужно проверить контейнер postgres и ANALYSIS_DATABASE_URL.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INTERNAL - непредвиденная ошибка. Нужно сохранить requestId, jobId, время ошибки и фрагмент журнала для передачи разработчику.</w:t>
      </w:r>
    </w:p>
    <w:p>
      <w:pPr>
        <w:spacing w:after="0" w:before="0" w:line="276" w:lineRule="auto"/>
        <w:jc w:val="both"/>
      </w:pPr>
    </w:p>
    <w:p>
      <w:pPr>
        <w:pStyle w:val="Heading1"/>
        <w:spacing w:after="0" w:before="0" w:line="276" w:lineRule="auto"/>
        <w:jc w:val="left"/>
      </w:pPr>
      <w:r>
        <w:rPr>
          <w:rFonts w:ascii="Times New Roman" w:hAnsi="Times New Roman"/>
          <w:b/>
          <w:sz w:val="28"/>
        </w:rPr>
        <w:t>ПРИЛОЖЕНИЕ 1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СПИСОК ИСПОЛЬЗУЕМОЙ ЛИТЕРАТУРЫ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ГОСТ 19.101-77. Виды программ и программных документов. ЕСПД.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ГОСТ 19.102-77. Стадии разработки. ЕСПД.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ГОСТ 19.103-77. Обозначения программ и программных документов. ЕСПД.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ГОСТ 19.104-78. Основные надписи. ЕСПД.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ГОСТ 19.105-78. Общие требования к программным документам. ЕСПД.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ГОСТ 19.106-78. Требования к программным документам, выполненным печатным способом. ЕСПД.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ГОСТ 19.505-79. Руководство оператора. Требования к содержанию и оформлению. ЕСПД.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Python Documentation. Электронный ресурс.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FastAPI Documentation. Электронный ресурс.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Pydantic Documentation. Электронный ресурс.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PostgreSQL Documentation. Электронный ресурс.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Docker Documentation. Электронный ресурс.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OpenAPI Specification. Электронный ресурс.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Hugging Face Transformers Documentation. Электронный ресурс.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Hugging Face PEFT Documentation. Электронный ресурс.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PyTorch Documentation. Электронный ресурс.</w:t>
      </w:r>
    </w:p>
    <w:p>
      <w:pPr>
        <w:spacing w:after="0" w:before="0" w:line="276" w:lineRule="auto"/>
        <w:jc w:val="both"/>
      </w:pPr>
      <w:r>
        <w:rPr>
          <w:rFonts w:ascii="Times New Roman" w:hAnsi="Times New Roman"/>
          <w:b w:val="0"/>
          <w:sz w:val="28"/>
        </w:rPr>
        <w:t>Qwen/Qwen2.5-3B-Instruct model card. Электронный ресурс.</w:t>
      </w:r>
    </w:p>
    <w:sdt>
      <w:sdtPr>
        <w:id w:val="140700937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70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 НАЗНАЧЕНИЕ ПРОГРАММЫ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1.1. Функциональное назначение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1.2. Эксплуатационное назначение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 УСЛОВИЯ ВЫПОЛНЕНИЯ ПРОГРАММЫ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2.1. Минимальный состав аппаратурных средств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2.2. Минимальный состав программных средств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2.3. Требования к квалификации персонала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 ВЫПОЛНЕНИЕ ПРОГРАММЫ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3.1. Подготовка к работе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3.2. Локальный запуск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3.3. Развертывание в Kubernetes-контуре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3.4. Автоматизированное обновление через CI/CD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3.5. Контроль работоспособности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3.6. Работа оператора в пользовательском контуре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3.7. Работа оператора в административном контуре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 СООБЩЕНИЯ ОПЕРАТОРУ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ПРИЛОЖЕНИЕ 1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dz06ihgf1y2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ЛИСТ РЕГИСТРАЦИИ ИЗМЕНЕНИЙ</w:t>
            </w:r>
          </w:hyperlink>
          <w:hyperlink w:anchor="_7dz06ihgf1y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D5">
      <w:pPr>
        <w:pStyle w:val="Heading1"/>
        <w:rPr/>
      </w:pPr>
      <w:bookmarkStart w:colFirst="0" w:colLast="0" w:name="_7dz06ihgf1y2" w:id="1"/>
      <w:bookmarkEnd w:id="1"/>
      <w:r w:rsidDel="00000000" w:rsidR="00000000" w:rsidRPr="00000000">
        <w:rPr>
          <w:rtl w:val="0"/>
        </w:rPr>
        <w:t>ЛИСТ РЕГИСТРАЦИИ ИЗМЕНЕНИЙ</w:t>
      </w:r>
    </w:p>
    <w:p w:rsidR="00000000" w:rsidDel="00000000" w:rsidP="00000000" w:rsidRDefault="00000000" w:rsidRPr="00000000" w14:paraId="000000D6">
      <w:pPr>
        <w:spacing w:line="360" w:lineRule="auto"/>
        <w:ind w:left="720" w:firstLine="170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5.0" w:type="dxa"/>
        <w:jc w:val="left"/>
        <w:tblInd w:w="-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930"/>
        <w:gridCol w:w="930"/>
        <w:gridCol w:w="915"/>
        <w:gridCol w:w="945"/>
        <w:gridCol w:w="1335"/>
        <w:gridCol w:w="765"/>
        <w:gridCol w:w="1185"/>
        <w:gridCol w:w="795"/>
        <w:gridCol w:w="1530"/>
        <w:tblGridChange w:id="0">
          <w:tblGrid>
            <w:gridCol w:w="675"/>
            <w:gridCol w:w="930"/>
            <w:gridCol w:w="930"/>
            <w:gridCol w:w="915"/>
            <w:gridCol w:w="945"/>
            <w:gridCol w:w="1335"/>
            <w:gridCol w:w="765"/>
            <w:gridCol w:w="1185"/>
            <w:gridCol w:w="795"/>
            <w:gridCol w:w="1530"/>
          </w:tblGrid>
        </w:tblGridChange>
      </w:tblGrid>
      <w:tr>
        <w:trPr>
          <w:cantSplit w:val="0"/>
          <w:trHeight w:val="300" w:hRule="atLeast"/>
          <w:tblHeader w:val="1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>Номера листов (страниц)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widowControl w:val="0"/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>Всего листов (страниц ) в докум.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widowControl w:val="0"/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widowControl w:val="0"/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>№ документа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widowControl w:val="0"/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>Входящий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>№ сопро-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>водитель-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>ного док-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умента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widowControl w:val="0"/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>Подп.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widowControl w:val="0"/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spacing w:line="36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>Дата</w:t>
            </w:r>
          </w:p>
        </w:tc>
      </w:tr>
      <w:tr>
        <w:trPr>
          <w:cantSplit w:val="0"/>
          <w:trHeight w:val="100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>Изм.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>Изменённых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>Заменённых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>Новых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Аннули рованных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pStyle w:val="Heading3"/>
        <w:ind w:firstLine="0"/>
        <w:rPr/>
      </w:pPr>
      <w:bookmarkStart w:colFirst="0" w:colLast="0" w:name="_lzscs2o3kdv2" w:id="2"/>
      <w:bookmarkEnd w:id="2"/>
      <w:r w:rsidDel="00000000" w:rsidR="00000000" w:rsidRPr="00000000">
        <w:rPr>
          <w:rtl w:val="0"/>
        </w:rPr>
      </w:r>
    </w:p>
    <w:sectPr>
      <w:headerReference r:id="rId17" w:type="default"/>
      <w:type w:val="continuous"/>
      <w:pgSz w:h="16834" w:w="11909" w:orient="portrait"/>
      <w:pgMar w:bottom="850" w:top="1417" w:left="1133" w:right="566" w:header="708" w:footer="708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6">
    <w:pPr>
      <w:ind w:left="0" w:firstLine="0"/>
      <w:rPr/>
    </w:pPr>
    <w:r w:rsidDel="00000000" w:rsidR="00000000" w:rsidRPr="00000000">
      <w:rPr>
        <w:rtl w:val="0"/>
      </w:rPr>
    </w:r>
  </w:p>
  <w:tbl>
    <w:tblPr>
      <w:tblStyle w:val="Table2"/>
      <w:tblW w:w="948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120"/>
      <w:gridCol w:w="1560"/>
      <w:gridCol w:w="1695"/>
      <w:gridCol w:w="1650"/>
      <w:gridCol w:w="1455"/>
      <w:tblGridChange w:id="0">
        <w:tblGrid>
          <w:gridCol w:w="3120"/>
          <w:gridCol w:w="1560"/>
          <w:gridCol w:w="1695"/>
          <w:gridCol w:w="1650"/>
          <w:gridCol w:w="145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77">
          <w:pPr>
            <w:widowControl w:val="0"/>
            <w:spacing w:line="240" w:lineRule="auto"/>
            <w:ind w:left="0" w:firstLine="0"/>
            <w:rPr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78">
          <w:pPr>
            <w:widowControl w:val="0"/>
            <w:spacing w:line="240" w:lineRule="auto"/>
            <w:ind w:left="0" w:firstLine="0"/>
            <w:rPr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79">
          <w:pPr>
            <w:widowControl w:val="0"/>
            <w:spacing w:line="240" w:lineRule="auto"/>
            <w:ind w:left="0" w:firstLine="0"/>
            <w:rPr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7A">
          <w:pPr>
            <w:widowControl w:val="0"/>
            <w:spacing w:line="240" w:lineRule="auto"/>
            <w:ind w:left="0" w:firstLine="0"/>
            <w:rPr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7B">
          <w:pPr>
            <w:widowControl w:val="0"/>
            <w:spacing w:line="240" w:lineRule="auto"/>
            <w:ind w:left="0" w:firstLine="0"/>
            <w:rPr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99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7C">
          <w:pPr>
            <w:widowControl w:val="0"/>
            <w:spacing w:line="240" w:lineRule="auto"/>
            <w:ind w:firstLine="0"/>
            <w:rPr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i w:val="1"/>
              <w:iCs w:val="1"/>
              <w:sz w:val="20"/>
              <w:szCs w:val="20"/>
              <w:rtl w:val="0"/>
            </w:rPr>
            <w:t xml:space="preserve">Изм.        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7D">
          <w:pPr>
            <w:widowControl w:val="0"/>
            <w:spacing w:line="240" w:lineRule="auto"/>
            <w:ind w:firstLine="0"/>
            <w:rPr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i w:val="1"/>
              <w:iCs w:val="1"/>
              <w:sz w:val="20"/>
              <w:szCs w:val="20"/>
              <w:rtl w:val="0"/>
            </w:rPr>
            <w:t xml:space="preserve">Лист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7E">
          <w:pPr>
            <w:widowControl w:val="0"/>
            <w:spacing w:line="240" w:lineRule="auto"/>
            <w:ind w:firstLine="0"/>
            <w:rPr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i w:val="1"/>
              <w:iCs w:val="1"/>
              <w:sz w:val="20"/>
              <w:szCs w:val="20"/>
              <w:rtl w:val="0"/>
            </w:rPr>
            <w:t xml:space="preserve">№ докум. 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7F">
          <w:pPr>
            <w:widowControl w:val="0"/>
            <w:spacing w:line="240" w:lineRule="auto"/>
            <w:ind w:firstLine="0"/>
            <w:rPr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i w:val="1"/>
              <w:iCs w:val="1"/>
              <w:sz w:val="20"/>
              <w:szCs w:val="20"/>
              <w:rtl w:val="0"/>
            </w:rPr>
            <w:t xml:space="preserve">Подп. 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80">
          <w:pPr>
            <w:widowControl w:val="0"/>
            <w:spacing w:line="240" w:lineRule="auto"/>
            <w:ind w:firstLine="0"/>
            <w:rPr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i w:val="1"/>
              <w:iCs w:val="1"/>
              <w:sz w:val="20"/>
              <w:szCs w:val="20"/>
              <w:rtl w:val="0"/>
            </w:rPr>
            <w:t xml:space="preserve">Дата</w:t>
          </w:r>
        </w:p>
      </w:tc>
    </w:tr>
    <w:tr>
      <w:trPr>
        <w:cantSplit w:val="0"/>
        <w:trHeight w:val="424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81">
          <w:pPr>
            <w:widowControl w:val="0"/>
            <w:spacing w:line="240" w:lineRule="auto"/>
            <w:ind w:firstLine="0"/>
            <w:rPr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i w:val="1"/>
              <w:iCs w:val="1"/>
              <w:sz w:val="20"/>
              <w:szCs w:val="20"/>
              <w:rtl w:val="0"/>
            </w:rPr>
            <w:t xml:space="preserve">RU.17701729.05.03-01 ТЗ 01-1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82">
          <w:pPr>
            <w:widowControl w:val="0"/>
            <w:spacing w:line="240" w:lineRule="auto"/>
            <w:ind w:left="0" w:firstLine="0"/>
            <w:rPr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83">
          <w:pPr>
            <w:widowControl w:val="0"/>
            <w:spacing w:line="240" w:lineRule="auto"/>
            <w:ind w:left="0" w:firstLine="0"/>
            <w:rPr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84">
          <w:pPr>
            <w:widowControl w:val="0"/>
            <w:spacing w:line="240" w:lineRule="auto"/>
            <w:ind w:left="0" w:firstLine="0"/>
            <w:rPr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85">
          <w:pPr>
            <w:widowControl w:val="0"/>
            <w:spacing w:line="240" w:lineRule="auto"/>
            <w:ind w:left="0" w:firstLine="0"/>
            <w:rPr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20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86">
          <w:pPr>
            <w:widowControl w:val="0"/>
            <w:spacing w:line="240" w:lineRule="auto"/>
            <w:ind w:firstLine="0"/>
            <w:rPr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i w:val="1"/>
              <w:iCs w:val="1"/>
              <w:sz w:val="20"/>
              <w:szCs w:val="20"/>
              <w:rtl w:val="0"/>
            </w:rPr>
            <w:t xml:space="preserve">Инв. № подл.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87">
          <w:pPr>
            <w:widowControl w:val="0"/>
            <w:spacing w:line="240" w:lineRule="auto"/>
            <w:ind w:firstLine="0"/>
            <w:rPr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i w:val="1"/>
              <w:iCs w:val="1"/>
              <w:sz w:val="20"/>
              <w:szCs w:val="20"/>
              <w:rtl w:val="0"/>
            </w:rPr>
            <w:t xml:space="preserve">Подп. и дата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88">
          <w:pPr>
            <w:widowControl w:val="0"/>
            <w:spacing w:line="240" w:lineRule="auto"/>
            <w:ind w:firstLine="0"/>
            <w:rPr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i w:val="1"/>
              <w:iCs w:val="1"/>
              <w:sz w:val="20"/>
              <w:szCs w:val="20"/>
              <w:rtl w:val="0"/>
            </w:rPr>
            <w:t xml:space="preserve">Взам. инв. №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89">
          <w:pPr>
            <w:widowControl w:val="0"/>
            <w:spacing w:line="240" w:lineRule="auto"/>
            <w:ind w:firstLine="0"/>
            <w:rPr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i w:val="1"/>
              <w:iCs w:val="1"/>
              <w:sz w:val="20"/>
              <w:szCs w:val="20"/>
              <w:rtl w:val="0"/>
            </w:rPr>
            <w:t xml:space="preserve">Инв. № дубл.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8A">
          <w:pPr>
            <w:widowControl w:val="0"/>
            <w:spacing w:line="240" w:lineRule="auto"/>
            <w:ind w:firstLine="0"/>
            <w:rPr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i w:val="1"/>
              <w:iCs w:val="1"/>
              <w:sz w:val="20"/>
              <w:szCs w:val="20"/>
              <w:rtl w:val="0"/>
            </w:rPr>
            <w:t xml:space="preserve">Подп. и дата</w:t>
          </w:r>
        </w:p>
      </w:tc>
    </w:tr>
  </w:tbl>
  <w:p w:rsidR="00000000" w:rsidDel="00000000" w:rsidP="00000000" w:rsidRDefault="00000000" w:rsidRPr="00000000" w14:paraId="0000018B">
    <w:pPr>
      <w:ind w:left="0" w:firstLine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C">
    <w:pPr>
      <w:ind w:left="0" w:firstLine="0"/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Москва 2025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D">
    <w:pPr>
      <w:ind w:left="0" w:firstLine="0"/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Москва 2025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E">
    <w:pPr>
      <w:ind w:left="0" w:firstLine="0"/>
      <w:rPr/>
    </w:pPr>
    <w:r w:rsidDel="00000000" w:rsidR="00000000" w:rsidRPr="00000000">
      <w:rPr>
        <w:rtl w:val="0"/>
      </w:rPr>
    </w:r>
  </w:p>
  <w:tbl>
    <w:tblPr>
      <w:tblStyle w:val="Table3"/>
      <w:tblW w:w="948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120"/>
      <w:gridCol w:w="1560"/>
      <w:gridCol w:w="1695"/>
      <w:gridCol w:w="1650"/>
      <w:gridCol w:w="1455"/>
      <w:tblGridChange w:id="0">
        <w:tblGrid>
          <w:gridCol w:w="3120"/>
          <w:gridCol w:w="1560"/>
          <w:gridCol w:w="1695"/>
          <w:gridCol w:w="1650"/>
          <w:gridCol w:w="145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8F">
          <w:pPr>
            <w:widowControl w:val="0"/>
            <w:spacing w:line="240" w:lineRule="auto"/>
            <w:ind w:left="0" w:firstLine="0"/>
            <w:rPr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90">
          <w:pPr>
            <w:widowControl w:val="0"/>
            <w:spacing w:line="240" w:lineRule="auto"/>
            <w:ind w:left="0" w:firstLine="0"/>
            <w:rPr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91">
          <w:pPr>
            <w:widowControl w:val="0"/>
            <w:spacing w:line="240" w:lineRule="auto"/>
            <w:ind w:left="0" w:firstLine="0"/>
            <w:rPr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92">
          <w:pPr>
            <w:widowControl w:val="0"/>
            <w:spacing w:line="240" w:lineRule="auto"/>
            <w:ind w:left="0" w:firstLine="0"/>
            <w:rPr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93">
          <w:pPr>
            <w:widowControl w:val="0"/>
            <w:spacing w:line="240" w:lineRule="auto"/>
            <w:ind w:left="0" w:firstLine="0"/>
            <w:rPr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99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94">
          <w:pPr>
            <w:widowControl w:val="0"/>
            <w:spacing w:line="240" w:lineRule="auto"/>
            <w:ind w:firstLine="0"/>
            <w:rPr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i w:val="1"/>
              <w:iCs w:val="1"/>
              <w:sz w:val="20"/>
              <w:szCs w:val="20"/>
              <w:rtl w:val="0"/>
            </w:rPr>
            <w:t xml:space="preserve">Изм.        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95">
          <w:pPr>
            <w:widowControl w:val="0"/>
            <w:spacing w:line="240" w:lineRule="auto"/>
            <w:ind w:firstLine="0"/>
            <w:rPr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i w:val="1"/>
              <w:iCs w:val="1"/>
              <w:sz w:val="20"/>
              <w:szCs w:val="20"/>
              <w:rtl w:val="0"/>
            </w:rPr>
            <w:t xml:space="preserve">Лист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96">
          <w:pPr>
            <w:widowControl w:val="0"/>
            <w:spacing w:line="240" w:lineRule="auto"/>
            <w:ind w:firstLine="0"/>
            <w:rPr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i w:val="1"/>
              <w:iCs w:val="1"/>
              <w:sz w:val="20"/>
              <w:szCs w:val="20"/>
              <w:rtl w:val="0"/>
            </w:rPr>
            <w:t xml:space="preserve">№ докум. 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97">
          <w:pPr>
            <w:widowControl w:val="0"/>
            <w:spacing w:line="240" w:lineRule="auto"/>
            <w:ind w:firstLine="0"/>
            <w:rPr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i w:val="1"/>
              <w:iCs w:val="1"/>
              <w:sz w:val="20"/>
              <w:szCs w:val="20"/>
              <w:rtl w:val="0"/>
            </w:rPr>
            <w:t xml:space="preserve">Подп. 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98">
          <w:pPr>
            <w:widowControl w:val="0"/>
            <w:spacing w:line="240" w:lineRule="auto"/>
            <w:ind w:firstLine="0"/>
            <w:rPr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i w:val="1"/>
              <w:iCs w:val="1"/>
              <w:sz w:val="20"/>
              <w:szCs w:val="20"/>
              <w:rtl w:val="0"/>
            </w:rPr>
            <w:t xml:space="preserve">Дата</w:t>
          </w:r>
        </w:p>
      </w:tc>
    </w:tr>
    <w:tr>
      <w:trPr>
        <w:cantSplit w:val="0"/>
        <w:trHeight w:val="424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99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1440" w:hanging="1440"/>
            <w:rPr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i w:val="1"/>
              <w:iCs w:val="1"/>
              <w:sz w:val="20"/>
              <w:szCs w:val="20"/>
              <w:rtl w:val="0"/>
            </w:rPr>
            <w:t xml:space="preserve">RU.17701729.05.15-01 34 01-1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9A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1440" w:hanging="1440"/>
            <w:rPr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9B">
          <w:pPr>
            <w:widowControl w:val="0"/>
            <w:spacing w:line="240" w:lineRule="auto"/>
            <w:ind w:left="0" w:firstLine="0"/>
            <w:rPr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9C">
          <w:pPr>
            <w:widowControl w:val="0"/>
            <w:spacing w:line="240" w:lineRule="auto"/>
            <w:ind w:left="0" w:firstLine="0"/>
            <w:rPr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9D">
          <w:pPr>
            <w:widowControl w:val="0"/>
            <w:spacing w:line="240" w:lineRule="auto"/>
            <w:ind w:left="0" w:firstLine="0"/>
            <w:rPr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20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9E">
          <w:pPr>
            <w:widowControl w:val="0"/>
            <w:spacing w:line="240" w:lineRule="auto"/>
            <w:ind w:firstLine="0"/>
            <w:rPr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i w:val="1"/>
              <w:iCs w:val="1"/>
              <w:sz w:val="20"/>
              <w:szCs w:val="20"/>
              <w:rtl w:val="0"/>
            </w:rPr>
            <w:t xml:space="preserve">Инв. № подл.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9F">
          <w:pPr>
            <w:widowControl w:val="0"/>
            <w:spacing w:line="240" w:lineRule="auto"/>
            <w:ind w:firstLine="0"/>
            <w:rPr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i w:val="1"/>
              <w:iCs w:val="1"/>
              <w:sz w:val="20"/>
              <w:szCs w:val="20"/>
              <w:rtl w:val="0"/>
            </w:rPr>
            <w:t xml:space="preserve">Подп. и дата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A0">
          <w:pPr>
            <w:widowControl w:val="0"/>
            <w:spacing w:line="240" w:lineRule="auto"/>
            <w:ind w:firstLine="0"/>
            <w:rPr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i w:val="1"/>
              <w:iCs w:val="1"/>
              <w:sz w:val="20"/>
              <w:szCs w:val="20"/>
              <w:rtl w:val="0"/>
            </w:rPr>
            <w:t xml:space="preserve">Взам. инв. №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A1">
          <w:pPr>
            <w:widowControl w:val="0"/>
            <w:spacing w:line="240" w:lineRule="auto"/>
            <w:ind w:firstLine="0"/>
            <w:rPr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i w:val="1"/>
              <w:iCs w:val="1"/>
              <w:sz w:val="20"/>
              <w:szCs w:val="20"/>
              <w:rtl w:val="0"/>
            </w:rPr>
            <w:t xml:space="preserve">Инв. № дубл.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A2">
          <w:pPr>
            <w:widowControl w:val="0"/>
            <w:spacing w:line="240" w:lineRule="auto"/>
            <w:ind w:firstLine="0"/>
            <w:rPr>
              <w:i w:val="1"/>
              <w:iCs w:val="1"/>
              <w:sz w:val="20"/>
              <w:szCs w:val="20"/>
            </w:rPr>
          </w:pPr>
          <w:r w:rsidDel="00000000" w:rsidR="00000000" w:rsidRPr="00000000">
            <w:rPr>
              <w:i w:val="1"/>
              <w:iCs w:val="1"/>
              <w:sz w:val="20"/>
              <w:szCs w:val="20"/>
              <w:rtl w:val="0"/>
            </w:rPr>
            <w:t xml:space="preserve">Подп. и дата</w:t>
          </w:r>
        </w:p>
      </w:tc>
    </w:tr>
  </w:tbl>
  <w:p w:rsidR="00000000" w:rsidDel="00000000" w:rsidP="00000000" w:rsidRDefault="00000000" w:rsidRPr="00000000" w14:paraId="000001A3">
    <w:pPr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C">
    <w:pPr>
      <w:jc w:val="righ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D">
    <w:pPr>
      <w:ind w:left="0" w:firstLine="0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E">
    <w:pPr>
      <w:ind w:left="0" w:firstLine="0"/>
      <w:jc w:val="center"/>
      <w:rPr>
        <w:b w:val="1"/>
        <w:bCs w:val="1"/>
      </w:rPr>
    </w:pPr>
    <w:r w:rsidDel="00000000" w:rsidR="00000000" w:rsidRPr="00000000">
      <w:rPr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b w:val="1"/>
        <w:bCs w:val="1"/>
        <w:rtl w:val="0"/>
      </w:rPr>
      <w:br w:type="textWrapping"/>
      <w:t xml:space="preserve">RU.17701729.05.10-01 ТЗ 01-1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F">
    <w:pPr>
      <w:spacing w:line="240" w:lineRule="auto"/>
      <w:ind w:left="-566" w:firstLine="0"/>
      <w:jc w:val="center"/>
      <w:rPr>
        <w:b w:val="1"/>
        <w:bCs w:val="1"/>
      </w:rPr>
    </w:pPr>
    <w:r w:rsidDel="00000000" w:rsidR="00000000" w:rsidRPr="00000000">
      <w:rPr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0">
    <w:pPr>
      <w:ind w:left="-566" w:firstLine="0"/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RU.17701729.05.10-01 34 01-1</w:t>
    </w:r>
  </w:p>
  <w:p w:rsidR="00000000" w:rsidDel="00000000" w:rsidP="00000000" w:rsidRDefault="00000000" w:rsidRPr="00000000" w14:paraId="00000171">
    <w:pPr>
      <w:ind w:left="0" w:firstLine="0"/>
      <w:jc w:val="center"/>
      <w:rPr>
        <w:b w:val="1"/>
        <w:bCs w:val="1"/>
      </w:rPr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2">
    <w:pPr>
      <w:spacing w:line="240" w:lineRule="auto"/>
      <w:ind w:left="0" w:firstLine="0"/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3</w:t>
      <w:br w:type="textWrapping"/>
      <w:t xml:space="preserve">RU.17701729.05.04-01 ТЗ 01-2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3">
    <w:pPr>
      <w:ind w:left="-566" w:firstLine="0"/>
      <w:jc w:val="center"/>
      <w:rPr>
        <w:b w:val="1"/>
        <w:bCs w:val="1"/>
      </w:rPr>
    </w:pPr>
    <w:r w:rsidDel="00000000" w:rsidR="00000000" w:rsidRPr="00000000">
      <w:rPr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4">
    <w:pPr>
      <w:ind w:left="-566" w:firstLine="0"/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RU.17701729.05.15-01 34 01-1</w:t>
    </w:r>
  </w:p>
  <w:p w:rsidR="00000000" w:rsidDel="00000000" w:rsidP="00000000" w:rsidRDefault="00000000" w:rsidRPr="00000000" w14:paraId="00000175">
    <w:pPr>
      <w:ind w:left="-566" w:firstLine="0"/>
      <w:jc w:val="center"/>
      <w:rPr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-566" w:hanging="283"/>
      </w:pPr>
      <w:rPr>
        <w:sz w:val="24"/>
        <w:szCs w:val="24"/>
        <w:u w:val="none"/>
      </w:rPr>
    </w:lvl>
    <w:lvl w:ilvl="1">
      <w:start w:val="1"/>
      <w:numFmt w:val="decimal"/>
      <w:lvlText w:val="%1.%2."/>
      <w:lvlJc w:val="right"/>
      <w:pPr>
        <w:ind w:left="283" w:firstLine="708"/>
      </w:pPr>
      <w:rPr>
        <w:rFonts w:ascii="Arial" w:cs="Arial" w:eastAsia="Arial" w:hAnsi="Arial"/>
        <w:b w:val="1"/>
        <w:bCs w:val="1"/>
        <w:sz w:val="24"/>
        <w:szCs w:val="24"/>
        <w:u w:val="none"/>
      </w:rPr>
    </w:lvl>
    <w:lvl w:ilvl="2">
      <w:start w:val="1"/>
      <w:numFmt w:val="decimal"/>
      <w:lvlText w:val="%1.%2.%3."/>
      <w:lvlJc w:val="right"/>
      <w:pPr>
        <w:ind w:left="992" w:firstLine="708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1700" w:firstLine="708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2409" w:firstLine="708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3118" w:firstLine="708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3118" w:firstLine="708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line="276" w:lineRule="auto"/>
        <w:ind w:left="992" w:firstLine="708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00" w:line="360" w:lineRule="auto"/>
      <w:ind w:left="0" w:firstLine="0"/>
      <w:jc w:val="right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ind w:left="283"/>
    </w:pPr>
    <w:rPr/>
  </w:style>
  <w:style w:type="paragraph" w:styleId="Heading3">
    <w:name w:val="heading 3"/>
    <w:basedOn w:val="Normal"/>
    <w:next w:val="Normal"/>
    <w:pPr>
      <w:keepNext w:val="1"/>
      <w:keepLines w:val="1"/>
      <w:spacing w:line="360" w:lineRule="auto"/>
      <w:ind w:left="283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360" w:lineRule="auto"/>
      <w:ind w:left="720" w:firstLine="360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image" Target="media/image1.png"/><Relationship Id="rId13" Type="http://schemas.openxmlformats.org/officeDocument/2006/relationships/header" Target="header4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5" Type="http://schemas.openxmlformats.org/officeDocument/2006/relationships/header" Target="header5.xml"/><Relationship Id="rId14" Type="http://schemas.openxmlformats.org/officeDocument/2006/relationships/footer" Target="footer4.xml"/><Relationship Id="rId17" Type="http://schemas.openxmlformats.org/officeDocument/2006/relationships/header" Target="header7.xml"/><Relationship Id="rId16" Type="http://schemas.openxmlformats.org/officeDocument/2006/relationships/header" Target="header6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