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E4F16" w14:textId="77777777" w:rsidR="00E56FB4" w:rsidRPr="004E6C9A" w:rsidRDefault="00E56FB4" w:rsidP="003E426C">
      <w:pPr>
        <w:spacing w:line="360" w:lineRule="auto"/>
        <w:rPr>
          <w:rFonts w:ascii="Cambria" w:hAnsi="Cambria"/>
          <w:b/>
          <w:sz w:val="32"/>
          <w:szCs w:val="32"/>
        </w:rPr>
      </w:pPr>
    </w:p>
    <w:p w14:paraId="0A540010" w14:textId="793788FD" w:rsidR="00E56FB4" w:rsidRPr="003E426C" w:rsidRDefault="008D0885" w:rsidP="003E426C">
      <w:pPr>
        <w:spacing w:line="360" w:lineRule="auto"/>
        <w:jc w:val="center"/>
        <w:rPr>
          <w:rFonts w:ascii="Cambria" w:hAnsi="Cambria"/>
          <w:b/>
          <w:sz w:val="28"/>
        </w:rPr>
      </w:pPr>
      <w:r w:rsidRPr="00C1077A">
        <w:rPr>
          <w:rFonts w:ascii="Cambria" w:hAnsi="Cambria"/>
          <w:b/>
          <w:sz w:val="28"/>
        </w:rPr>
        <w:t>Biomarkers for Alzheimer’s Disease</w:t>
      </w:r>
      <w:r w:rsidR="00BC6DB2" w:rsidRPr="00C1077A">
        <w:rPr>
          <w:rFonts w:ascii="Cambria" w:hAnsi="Cambria"/>
          <w:b/>
          <w:sz w:val="28"/>
        </w:rPr>
        <w:t xml:space="preserve"> :</w:t>
      </w:r>
      <w:r w:rsidRPr="00C1077A">
        <w:rPr>
          <w:rFonts w:ascii="Cambria" w:hAnsi="Cambria"/>
          <w:b/>
          <w:sz w:val="28"/>
        </w:rPr>
        <w:t xml:space="preserve"> Review</w:t>
      </w:r>
    </w:p>
    <w:p w14:paraId="53932487" w14:textId="77777777" w:rsidR="00E56FB4" w:rsidRPr="004E6C9A" w:rsidRDefault="00E56FB4" w:rsidP="003E426C">
      <w:pPr>
        <w:spacing w:line="360" w:lineRule="auto"/>
        <w:jc w:val="center"/>
        <w:rPr>
          <w:rFonts w:ascii="Cambria" w:hAnsi="Cambria"/>
          <w:b/>
          <w:sz w:val="32"/>
        </w:rPr>
      </w:pPr>
    </w:p>
    <w:p w14:paraId="2EA5439B" w14:textId="7332377E" w:rsidR="00D657FE" w:rsidRPr="00305E2B" w:rsidRDefault="00D657FE" w:rsidP="003E426C">
      <w:pPr>
        <w:spacing w:line="360" w:lineRule="auto"/>
        <w:ind w:firstLine="720"/>
        <w:rPr>
          <w:rFonts w:ascii="Cambria" w:hAnsi="Cambria" w:cs="Helvetica Neue"/>
          <w:color w:val="3F3F3F"/>
        </w:rPr>
      </w:pPr>
      <w:r>
        <w:rPr>
          <w:rFonts w:ascii="Cambria" w:hAnsi="Cambria"/>
        </w:rPr>
        <w:t>German neurologist Alois Alzheimerin first described Alzheimer’s Disease (AD) in 1907 (Feng et al, 2014). AD is the most common cause for dementia, accounting for 70% of cases</w:t>
      </w:r>
      <w:r w:rsidR="00205D41" w:rsidRPr="004E6C9A">
        <w:rPr>
          <w:rFonts w:ascii="Cambria" w:hAnsi="Cambria"/>
        </w:rPr>
        <w:t xml:space="preserve">. </w:t>
      </w:r>
      <w:r w:rsidR="00331088" w:rsidRPr="004E6C9A">
        <w:rPr>
          <w:rFonts w:ascii="Cambria" w:hAnsi="Cambria" w:cs="Times"/>
        </w:rPr>
        <w:t xml:space="preserve">The characteristics of </w:t>
      </w:r>
      <w:r w:rsidR="004D2AE6">
        <w:rPr>
          <w:rFonts w:ascii="Cambria" w:hAnsi="Cambria" w:cs="Times"/>
        </w:rPr>
        <w:t>the ultimately fata</w:t>
      </w:r>
      <w:r w:rsidR="00D75201">
        <w:rPr>
          <w:rFonts w:ascii="Cambria" w:hAnsi="Cambria" w:cs="Times"/>
        </w:rPr>
        <w:t>l</w:t>
      </w:r>
      <w:r w:rsidR="004D2AE6">
        <w:rPr>
          <w:rFonts w:ascii="Cambria" w:hAnsi="Cambria" w:cs="Times"/>
        </w:rPr>
        <w:t xml:space="preserve"> </w:t>
      </w:r>
      <w:r w:rsidR="004D2AE6" w:rsidRPr="00D75201">
        <w:rPr>
          <w:rFonts w:ascii="Cambria" w:hAnsi="Cambria" w:cs="Times"/>
        </w:rPr>
        <w:t>neurodegenerative disease</w:t>
      </w:r>
      <w:r w:rsidR="00331088" w:rsidRPr="00D75201">
        <w:rPr>
          <w:rFonts w:ascii="Cambria" w:hAnsi="Cambria" w:cs="Times"/>
        </w:rPr>
        <w:t xml:space="preserve"> are</w:t>
      </w:r>
      <w:r w:rsidR="007050F8" w:rsidRPr="00D75201">
        <w:rPr>
          <w:rFonts w:ascii="Cambria" w:hAnsi="Cambria" w:cs="Times"/>
        </w:rPr>
        <w:t xml:space="preserve"> </w:t>
      </w:r>
      <w:r w:rsidR="007050F8" w:rsidRPr="00D75201">
        <w:rPr>
          <w:rFonts w:ascii="Cambria" w:hAnsi="Cambria"/>
        </w:rPr>
        <w:t>progressive memory impairment, cognitive dysfunction, personality changes, language barriers, and other neuropsychiatric symptoms (</w:t>
      </w:r>
      <w:r w:rsidR="007050F8" w:rsidRPr="00D75201">
        <w:rPr>
          <w:rFonts w:ascii="Cambria" w:hAnsi="Cambria" w:cs="Helvetica Neue"/>
        </w:rPr>
        <w:t>F</w:t>
      </w:r>
      <w:r w:rsidRPr="00D75201">
        <w:rPr>
          <w:rFonts w:ascii="Cambria" w:hAnsi="Cambria" w:cs="Helvetica Neue"/>
        </w:rPr>
        <w:t>eng et a</w:t>
      </w:r>
      <w:r w:rsidR="007050F8" w:rsidRPr="00D75201">
        <w:rPr>
          <w:rFonts w:ascii="Cambria" w:hAnsi="Cambria" w:cs="Helvetica Neue"/>
        </w:rPr>
        <w:t xml:space="preserve">l, 2014). </w:t>
      </w:r>
      <w:r w:rsidR="00331088" w:rsidRPr="00D75201">
        <w:rPr>
          <w:rFonts w:ascii="Cambria" w:hAnsi="Cambria" w:cs="Helvetica Neue"/>
        </w:rPr>
        <w:t xml:space="preserve"> </w:t>
      </w:r>
      <w:r w:rsidR="004D2AE6" w:rsidRPr="00D75201">
        <w:rPr>
          <w:rFonts w:ascii="Cambria" w:hAnsi="Cambria" w:cs="Helvetica Neue"/>
        </w:rPr>
        <w:t xml:space="preserve">Age is a huge factor in getting the disease. </w:t>
      </w:r>
      <w:r w:rsidR="004D2AE6" w:rsidRPr="00D75201">
        <w:rPr>
          <w:rFonts w:ascii="Cambria" w:hAnsi="Cambria"/>
        </w:rPr>
        <w:t>It is estimated that there is an 11% dementia risk at the age of 65, which increases steadily to 50% at the age of 80</w:t>
      </w:r>
      <w:r w:rsidR="00305E2B" w:rsidRPr="00D75201">
        <w:rPr>
          <w:rFonts w:ascii="Cambria" w:hAnsi="Cambria"/>
        </w:rPr>
        <w:t xml:space="preserve"> (Fagan, 2014)</w:t>
      </w:r>
      <w:r w:rsidR="004D2AE6" w:rsidRPr="00D75201">
        <w:rPr>
          <w:rFonts w:ascii="Cambria" w:hAnsi="Cambria"/>
        </w:rPr>
        <w:t>. Since age is such a strong risk factor, there has been a dramatic increase in the number</w:t>
      </w:r>
      <w:r w:rsidR="004D2AE6">
        <w:rPr>
          <w:rFonts w:ascii="Cambria" w:hAnsi="Cambria"/>
        </w:rPr>
        <w:t xml:space="preserve"> of dementia cases because the average life expectancy continues to go up.</w:t>
      </w:r>
      <w:r w:rsidR="004D2AE6">
        <w:rPr>
          <w:rFonts w:ascii="Cambria" w:hAnsi="Cambria" w:cs="Helvetica Neue"/>
          <w:color w:val="3F3F3F"/>
        </w:rPr>
        <w:t xml:space="preserve"> </w:t>
      </w:r>
      <w:r w:rsidR="00C8241B" w:rsidRPr="004E6C9A">
        <w:rPr>
          <w:rFonts w:ascii="Cambria" w:hAnsi="Cambria"/>
        </w:rPr>
        <w:t>Currently 5.2 million people in the United States</w:t>
      </w:r>
      <w:r w:rsidR="00DC210F" w:rsidRPr="004E6C9A">
        <w:rPr>
          <w:rFonts w:ascii="Cambria" w:hAnsi="Cambria"/>
        </w:rPr>
        <w:t xml:space="preserve"> </w:t>
      </w:r>
      <w:r w:rsidR="004D2AE6">
        <w:rPr>
          <w:rFonts w:ascii="Cambria" w:hAnsi="Cambria"/>
        </w:rPr>
        <w:t xml:space="preserve">(US) </w:t>
      </w:r>
      <w:r w:rsidR="00D75201">
        <w:rPr>
          <w:rFonts w:ascii="Cambria" w:hAnsi="Cambria"/>
        </w:rPr>
        <w:t>and 35 million people world</w:t>
      </w:r>
      <w:r w:rsidR="0089464C">
        <w:rPr>
          <w:rFonts w:ascii="Cambria" w:hAnsi="Cambria"/>
        </w:rPr>
        <w:t xml:space="preserve">wide </w:t>
      </w:r>
      <w:r w:rsidR="00DC210F" w:rsidRPr="004E6C9A">
        <w:rPr>
          <w:rFonts w:ascii="Cambria" w:hAnsi="Cambria"/>
        </w:rPr>
        <w:t>have AD</w:t>
      </w:r>
      <w:r>
        <w:rPr>
          <w:rFonts w:ascii="Cambria" w:hAnsi="Cambria"/>
        </w:rPr>
        <w:t xml:space="preserve">. Projecting to 2050, an estimated 13.8 </w:t>
      </w:r>
      <w:r w:rsidR="004D2AE6">
        <w:rPr>
          <w:rFonts w:ascii="Cambria" w:hAnsi="Cambria"/>
        </w:rPr>
        <w:t>million people in the US</w:t>
      </w:r>
      <w:r>
        <w:rPr>
          <w:rFonts w:ascii="Cambria" w:hAnsi="Cambria"/>
        </w:rPr>
        <w:t xml:space="preserve"> and </w:t>
      </w:r>
      <w:r w:rsidR="00E25A26">
        <w:rPr>
          <w:rFonts w:ascii="Cambria" w:hAnsi="Cambria"/>
        </w:rPr>
        <w:t>+7</w:t>
      </w:r>
      <w:r w:rsidR="00102705">
        <w:rPr>
          <w:rFonts w:ascii="Cambria" w:hAnsi="Cambria"/>
        </w:rPr>
        <w:t>5</w:t>
      </w:r>
      <w:r>
        <w:rPr>
          <w:rFonts w:ascii="Cambria" w:hAnsi="Cambria"/>
        </w:rPr>
        <w:t xml:space="preserve"> million people worldwide</w:t>
      </w:r>
      <w:r w:rsidR="004D2AE6">
        <w:rPr>
          <w:rFonts w:ascii="Cambria" w:hAnsi="Cambria"/>
        </w:rPr>
        <w:t xml:space="preserve"> will have AD. Since the disease is debilitating in the </w:t>
      </w:r>
      <w:r w:rsidR="00D75201">
        <w:rPr>
          <w:rFonts w:ascii="Cambria" w:hAnsi="Cambria"/>
        </w:rPr>
        <w:t>final</w:t>
      </w:r>
      <w:r w:rsidR="004D2AE6">
        <w:rPr>
          <w:rFonts w:ascii="Cambria" w:hAnsi="Cambria"/>
        </w:rPr>
        <w:t xml:space="preserve"> stages there is a high cost of care.</w:t>
      </w:r>
      <w:r w:rsidR="004D2AE6">
        <w:rPr>
          <w:rFonts w:ascii="Cambria" w:hAnsi="Cambria" w:cs="Helvetica Neue"/>
          <w:color w:val="3F3F3F"/>
        </w:rPr>
        <w:t xml:space="preserve"> </w:t>
      </w:r>
      <w:r w:rsidR="003B28EB" w:rsidRPr="004E6C9A">
        <w:rPr>
          <w:rFonts w:ascii="Cambria" w:hAnsi="Cambria"/>
        </w:rPr>
        <w:t xml:space="preserve">The 2013 </w:t>
      </w:r>
      <w:r w:rsidR="00102705">
        <w:rPr>
          <w:rFonts w:ascii="Cambria" w:hAnsi="Cambria"/>
        </w:rPr>
        <w:t xml:space="preserve">annual cost of care </w:t>
      </w:r>
      <w:r w:rsidR="00D75201">
        <w:rPr>
          <w:rFonts w:ascii="Cambria" w:hAnsi="Cambria"/>
        </w:rPr>
        <w:t xml:space="preserve">in the US </w:t>
      </w:r>
      <w:r w:rsidR="003B28EB" w:rsidRPr="004E6C9A">
        <w:rPr>
          <w:rFonts w:ascii="Cambria" w:hAnsi="Cambria"/>
        </w:rPr>
        <w:t>was more than $200 billion and projections surpassing $1 trillion annually by the year 2050</w:t>
      </w:r>
      <w:r w:rsidR="00306673" w:rsidRPr="004E6C9A">
        <w:rPr>
          <w:rFonts w:ascii="Cambria" w:hAnsi="Cambria"/>
        </w:rPr>
        <w:t xml:space="preserve"> (Fagan, 2014)</w:t>
      </w:r>
      <w:r w:rsidR="003B28EB" w:rsidRPr="004E6C9A">
        <w:rPr>
          <w:rFonts w:ascii="Cambria" w:hAnsi="Cambria"/>
        </w:rPr>
        <w:t>.</w:t>
      </w:r>
      <w:r w:rsidR="005E1563" w:rsidRPr="004E6C9A">
        <w:rPr>
          <w:rFonts w:ascii="Cambria" w:hAnsi="Cambria"/>
        </w:rPr>
        <w:t xml:space="preserve"> </w:t>
      </w:r>
      <w:r w:rsidR="00305E2B">
        <w:rPr>
          <w:rFonts w:ascii="Cambria" w:hAnsi="Cambria"/>
        </w:rPr>
        <w:t>As AD</w:t>
      </w:r>
      <w:r w:rsidR="005E1563" w:rsidRPr="004E6C9A">
        <w:rPr>
          <w:rFonts w:ascii="Cambria" w:hAnsi="Cambria"/>
        </w:rPr>
        <w:t xml:space="preserve"> </w:t>
      </w:r>
      <w:r w:rsidR="00305E2B">
        <w:rPr>
          <w:rFonts w:ascii="Cambria" w:hAnsi="Cambria"/>
        </w:rPr>
        <w:t>progresses and severely</w:t>
      </w:r>
      <w:r w:rsidR="005E1563" w:rsidRPr="004E6C9A">
        <w:rPr>
          <w:rFonts w:ascii="Cambria" w:hAnsi="Cambria"/>
        </w:rPr>
        <w:t xml:space="preserve"> reduces the quality of life </w:t>
      </w:r>
      <w:r w:rsidR="00305E2B">
        <w:rPr>
          <w:rFonts w:ascii="Cambria" w:hAnsi="Cambria"/>
        </w:rPr>
        <w:t>for</w:t>
      </w:r>
      <w:r w:rsidR="005E1563" w:rsidRPr="004E6C9A">
        <w:rPr>
          <w:rFonts w:ascii="Cambria" w:hAnsi="Cambria"/>
        </w:rPr>
        <w:t xml:space="preserve"> elderly people </w:t>
      </w:r>
      <w:r w:rsidR="00305E2B">
        <w:rPr>
          <w:rFonts w:ascii="Cambria" w:hAnsi="Cambria"/>
        </w:rPr>
        <w:t>there</w:t>
      </w:r>
      <w:r w:rsidR="005E1563" w:rsidRPr="004E6C9A">
        <w:rPr>
          <w:rFonts w:ascii="Cambria" w:hAnsi="Cambria"/>
        </w:rPr>
        <w:t xml:space="preserve"> becomes a personal, societal, and financial </w:t>
      </w:r>
      <w:r w:rsidR="00305E2B">
        <w:rPr>
          <w:rFonts w:ascii="Cambria" w:hAnsi="Cambria"/>
        </w:rPr>
        <w:t xml:space="preserve">burden associated with the disease. </w:t>
      </w:r>
      <w:r w:rsidR="005E1563" w:rsidRPr="004E6C9A">
        <w:rPr>
          <w:rFonts w:ascii="Cambria" w:hAnsi="Cambria"/>
        </w:rPr>
        <w:t>As these burdens increase</w:t>
      </w:r>
      <w:r w:rsidR="003179AE" w:rsidRPr="004E6C9A">
        <w:rPr>
          <w:rFonts w:ascii="Cambria" w:hAnsi="Cambria"/>
        </w:rPr>
        <w:t xml:space="preserve"> </w:t>
      </w:r>
      <w:r w:rsidR="008D75AB" w:rsidRPr="004E6C9A">
        <w:rPr>
          <w:rFonts w:ascii="Cambria" w:hAnsi="Cambria"/>
        </w:rPr>
        <w:t>so does the</w:t>
      </w:r>
      <w:r w:rsidR="003179AE" w:rsidRPr="004E6C9A">
        <w:rPr>
          <w:rFonts w:ascii="Cambria" w:hAnsi="Cambria"/>
        </w:rPr>
        <w:t xml:space="preserve"> demand to </w:t>
      </w:r>
      <w:r w:rsidR="00FC5C36" w:rsidRPr="004E6C9A">
        <w:rPr>
          <w:rFonts w:ascii="Cambria" w:hAnsi="Cambria"/>
        </w:rPr>
        <w:t>find effective treatment</w:t>
      </w:r>
      <w:r w:rsidR="008D75AB" w:rsidRPr="004E6C9A">
        <w:rPr>
          <w:rFonts w:ascii="Cambria" w:hAnsi="Cambria"/>
        </w:rPr>
        <w:t>s</w:t>
      </w:r>
      <w:r w:rsidR="00FC5C36" w:rsidRPr="004E6C9A">
        <w:rPr>
          <w:rFonts w:ascii="Cambria" w:hAnsi="Cambria"/>
        </w:rPr>
        <w:t>.</w:t>
      </w:r>
    </w:p>
    <w:p w14:paraId="6AF39376" w14:textId="77777777" w:rsidR="004167B6" w:rsidRDefault="004167B6" w:rsidP="003E426C">
      <w:pPr>
        <w:spacing w:line="360" w:lineRule="auto"/>
        <w:rPr>
          <w:rFonts w:ascii="Cambria" w:hAnsi="Cambria" w:cs="Times"/>
        </w:rPr>
      </w:pPr>
    </w:p>
    <w:p w14:paraId="1CF24CCA" w14:textId="7CA1197D" w:rsidR="004167B6" w:rsidRDefault="004167B6" w:rsidP="003E426C">
      <w:pPr>
        <w:spacing w:line="360" w:lineRule="auto"/>
        <w:ind w:firstLine="720"/>
        <w:rPr>
          <w:rFonts w:ascii="Cambria" w:hAnsi="Cambria"/>
        </w:rPr>
      </w:pPr>
      <w:r w:rsidRPr="00CF73B6">
        <w:rPr>
          <w:rFonts w:ascii="Cambria" w:hAnsi="Cambria" w:cs="Times"/>
        </w:rPr>
        <w:t>The pathogenesis of AD is very complex. A variety of factors have been found to be involved in AD, such as cholinergic nerve abnormalities, metabolic disorders, free radicals and apoptosis, excitatory amino acid toxicity and genetic background. Despite their multifactorial etiopathogenesis, genetics plays a primary rol</w:t>
      </w:r>
      <w:r>
        <w:rPr>
          <w:rFonts w:ascii="Cambria" w:hAnsi="Cambria" w:cs="Times"/>
        </w:rPr>
        <w:t>e in the progression of disease</w:t>
      </w:r>
      <w:r w:rsidRPr="00CF73B6">
        <w:rPr>
          <w:rFonts w:ascii="Cambria" w:hAnsi="Cambria" w:cs="Times"/>
        </w:rPr>
        <w:t xml:space="preserve"> (Gu et al, 2014)</w:t>
      </w:r>
      <w:r>
        <w:rPr>
          <w:rFonts w:ascii="Cambria" w:hAnsi="Cambria" w:cs="Times"/>
        </w:rPr>
        <w:t xml:space="preserve">. </w:t>
      </w:r>
      <w:r w:rsidRPr="004E6C9A">
        <w:rPr>
          <w:rFonts w:ascii="Cambria" w:hAnsi="Cambria"/>
        </w:rPr>
        <w:t>At present, there is no definitive diagnostic test or therapy to halt the progression or delay of its onset</w:t>
      </w:r>
      <w:r>
        <w:rPr>
          <w:rFonts w:ascii="Cambria" w:hAnsi="Cambria"/>
        </w:rPr>
        <w:t xml:space="preserve"> of AD</w:t>
      </w:r>
      <w:r w:rsidR="00A91D13">
        <w:rPr>
          <w:rFonts w:ascii="Cambria" w:hAnsi="Cambria"/>
        </w:rPr>
        <w:t xml:space="preserve"> (Satoh et al, 2014)</w:t>
      </w:r>
      <w:r w:rsidRPr="004E6C9A">
        <w:rPr>
          <w:rFonts w:ascii="Cambria" w:hAnsi="Cambria"/>
        </w:rPr>
        <w:t xml:space="preserve">. </w:t>
      </w:r>
      <w:r w:rsidRPr="004E6C9A">
        <w:rPr>
          <w:rFonts w:ascii="Cambria" w:hAnsi="Cambria"/>
        </w:rPr>
        <w:lastRenderedPageBreak/>
        <w:t>Developing an intervening treatment that delays the onset of dementia by 5 years will result in an estimated 57% reduction in the number of affected patients and almost 50% reduction in projected Medicare costs (Fagan, 2014).</w:t>
      </w:r>
    </w:p>
    <w:p w14:paraId="16789888" w14:textId="77777777" w:rsidR="004167B6" w:rsidRDefault="004167B6" w:rsidP="003E426C">
      <w:pPr>
        <w:spacing w:line="360" w:lineRule="auto"/>
        <w:rPr>
          <w:rFonts w:ascii="Cambria" w:hAnsi="Cambria"/>
        </w:rPr>
      </w:pPr>
    </w:p>
    <w:p w14:paraId="1ECE48FB" w14:textId="273840D5" w:rsidR="002362B2" w:rsidRPr="004E6C9A" w:rsidRDefault="004167B6" w:rsidP="003E426C">
      <w:pPr>
        <w:spacing w:line="360" w:lineRule="auto"/>
        <w:ind w:firstLine="720"/>
        <w:rPr>
          <w:rFonts w:ascii="Cambria" w:hAnsi="Cambria" w:cs="Times"/>
        </w:rPr>
      </w:pPr>
      <w:r w:rsidRPr="004E6C9A">
        <w:rPr>
          <w:rFonts w:ascii="Cambria" w:hAnsi="Cambria"/>
        </w:rPr>
        <w:t>Researching biomarkers</w:t>
      </w:r>
      <w:r>
        <w:rPr>
          <w:rFonts w:ascii="Cambria" w:hAnsi="Cambria"/>
        </w:rPr>
        <w:t xml:space="preserve"> will</w:t>
      </w:r>
      <w:r w:rsidRPr="004E6C9A">
        <w:rPr>
          <w:rFonts w:ascii="Cambria" w:hAnsi="Cambria"/>
        </w:rPr>
        <w:t xml:space="preserve"> improve the early diagnosis and identification of the disease. </w:t>
      </w:r>
      <w:r w:rsidRPr="004E6C9A">
        <w:rPr>
          <w:rFonts w:ascii="Cambria" w:hAnsi="Cambria" w:cs="Times"/>
        </w:rPr>
        <w:t>Biomarkers are de</w:t>
      </w:r>
      <w:r w:rsidR="00E25A26">
        <w:rPr>
          <w:rFonts w:ascii="Cambria" w:hAnsi="Cambria" w:cs="Times"/>
        </w:rPr>
        <w:t xml:space="preserve">fined as </w:t>
      </w:r>
      <w:r w:rsidRPr="004E6C9A">
        <w:rPr>
          <w:rFonts w:ascii="Cambria" w:hAnsi="Cambria" w:cs="Times"/>
        </w:rPr>
        <w:t>objective measures of a biological or pathogenic process that can be used to evaluate disease risk or prognosis, to guide clinical diagnosis, or to mo</w:t>
      </w:r>
      <w:r w:rsidR="00E25A26">
        <w:rPr>
          <w:rFonts w:ascii="Cambria" w:hAnsi="Cambria" w:cs="Times"/>
        </w:rPr>
        <w:t>nitor therapeutic interventions</w:t>
      </w:r>
      <w:r w:rsidRPr="004E6C9A">
        <w:rPr>
          <w:rFonts w:ascii="Cambria" w:hAnsi="Cambria" w:cs="Times"/>
        </w:rPr>
        <w:t xml:space="preserve"> (Fagan, 2014).</w:t>
      </w:r>
      <w:r>
        <w:rPr>
          <w:rFonts w:ascii="Cambria" w:hAnsi="Cambria" w:cs="Times"/>
        </w:rPr>
        <w:t xml:space="preserve"> </w:t>
      </w:r>
      <w:r w:rsidR="00E25A26">
        <w:rPr>
          <w:rFonts w:ascii="Cambria" w:hAnsi="Cambria" w:cs="Times"/>
        </w:rPr>
        <w:t xml:space="preserve">  </w:t>
      </w:r>
      <w:r w:rsidR="002362B2">
        <w:rPr>
          <w:rFonts w:ascii="Cambria" w:hAnsi="Cambria" w:cs="Times"/>
        </w:rPr>
        <w:t>Biomarker sensitivity and specificity are both important in diagnosis. A high sensitivity is required to minimize false negatives and high specificity is necessary for diagnostic accuracy and exclude symptomatic or prodromal cases that are not related to AD</w:t>
      </w:r>
      <w:r w:rsidR="00102705">
        <w:rPr>
          <w:rFonts w:ascii="Cambria" w:hAnsi="Cambria" w:cs="Times"/>
        </w:rPr>
        <w:t xml:space="preserve"> </w:t>
      </w:r>
      <w:r w:rsidR="00102705" w:rsidRPr="004E6C9A">
        <w:rPr>
          <w:rFonts w:ascii="Cambria" w:hAnsi="Cambria"/>
        </w:rPr>
        <w:t>(Fagan, 2014</w:t>
      </w:r>
      <w:r w:rsidR="00102705">
        <w:rPr>
          <w:rFonts w:ascii="Cambria" w:hAnsi="Cambria"/>
        </w:rPr>
        <w:t>)</w:t>
      </w:r>
      <w:r w:rsidR="002362B2">
        <w:rPr>
          <w:rFonts w:ascii="Cambria" w:hAnsi="Cambria" w:cs="Times"/>
        </w:rPr>
        <w:t>. However, what is considered “high” differs depending on the purpose in which the biomarker is used whether treatment or diagnosis.</w:t>
      </w:r>
      <w:r w:rsidR="00CF7FE8">
        <w:rPr>
          <w:rFonts w:ascii="Cambria" w:hAnsi="Cambria" w:cs="Times"/>
        </w:rPr>
        <w:t xml:space="preserve"> Biomarkers can be </w:t>
      </w:r>
      <w:r>
        <w:rPr>
          <w:rFonts w:ascii="Cambria" w:hAnsi="Cambria" w:cs="Times"/>
        </w:rPr>
        <w:t>found</w:t>
      </w:r>
      <w:r w:rsidR="00CF7FE8">
        <w:rPr>
          <w:rFonts w:ascii="Cambria" w:hAnsi="Cambria" w:cs="Times"/>
        </w:rPr>
        <w:t xml:space="preserve"> by analyzing either brain tissue, cerebrospinal fluid, or blood.</w:t>
      </w:r>
    </w:p>
    <w:p w14:paraId="51B7ED26" w14:textId="39FDBC93" w:rsidR="004B5628" w:rsidRPr="004E6C9A" w:rsidRDefault="004B5628" w:rsidP="003E426C">
      <w:pPr>
        <w:spacing w:line="360" w:lineRule="auto"/>
        <w:rPr>
          <w:rFonts w:ascii="Cambria" w:hAnsi="Cambria" w:cs="Times"/>
        </w:rPr>
      </w:pPr>
    </w:p>
    <w:p w14:paraId="38E91445" w14:textId="21DE0C92" w:rsidR="0025680E" w:rsidRPr="00192789" w:rsidRDefault="00D75201" w:rsidP="003E426C">
      <w:pPr>
        <w:spacing w:line="360" w:lineRule="auto"/>
        <w:ind w:firstLine="720"/>
        <w:rPr>
          <w:rFonts w:ascii="Cambria" w:hAnsi="Cambria" w:cs="Times"/>
          <w:color w:val="FF0000"/>
        </w:rPr>
      </w:pPr>
      <w:r>
        <w:rPr>
          <w:rFonts w:ascii="Cambria" w:hAnsi="Cambria" w:cs="Times"/>
        </w:rPr>
        <w:t>First, let</w:t>
      </w:r>
      <w:r w:rsidR="00C35388">
        <w:rPr>
          <w:rFonts w:ascii="Cambria" w:hAnsi="Cambria" w:cs="Times"/>
        </w:rPr>
        <w:t>’</w:t>
      </w:r>
      <w:r>
        <w:rPr>
          <w:rFonts w:ascii="Cambria" w:hAnsi="Cambria" w:cs="Times"/>
        </w:rPr>
        <w:t>s discuss c</w:t>
      </w:r>
      <w:r w:rsidR="005854B7" w:rsidRPr="004E6C9A">
        <w:rPr>
          <w:rFonts w:ascii="Cambria" w:hAnsi="Cambria" w:cs="Times"/>
        </w:rPr>
        <w:t>erebrospinal fluid (CSF)</w:t>
      </w:r>
      <w:r>
        <w:rPr>
          <w:rFonts w:ascii="Cambria" w:hAnsi="Cambria" w:cs="Times"/>
        </w:rPr>
        <w:t>. It</w:t>
      </w:r>
      <w:r w:rsidR="005854B7" w:rsidRPr="004E6C9A">
        <w:rPr>
          <w:rFonts w:ascii="Cambria" w:hAnsi="Cambria" w:cs="Times"/>
        </w:rPr>
        <w:t xml:space="preserve"> is an optimal source </w:t>
      </w:r>
      <w:r>
        <w:rPr>
          <w:rFonts w:ascii="Cambria" w:hAnsi="Cambria" w:cs="Times"/>
        </w:rPr>
        <w:t>for</w:t>
      </w:r>
      <w:r w:rsidR="005854B7" w:rsidRPr="004E6C9A">
        <w:rPr>
          <w:rFonts w:ascii="Cambria" w:hAnsi="Cambria" w:cs="Times"/>
        </w:rPr>
        <w:t xml:space="preserve"> biomarkers because it is in direct contact with the extra-cellular brain space and reflects </w:t>
      </w:r>
      <w:r>
        <w:rPr>
          <w:rFonts w:ascii="Cambria" w:hAnsi="Cambria" w:cs="Times"/>
        </w:rPr>
        <w:t>the</w:t>
      </w:r>
      <w:r w:rsidR="005854B7" w:rsidRPr="004E6C9A">
        <w:rPr>
          <w:rFonts w:ascii="Cambria" w:hAnsi="Cambria" w:cs="Times"/>
        </w:rPr>
        <w:t xml:space="preserve"> biochemi</w:t>
      </w:r>
      <w:r w:rsidR="0025680E">
        <w:rPr>
          <w:rFonts w:ascii="Cambria" w:hAnsi="Cambria" w:cs="Times"/>
        </w:rPr>
        <w:t xml:space="preserve">cal changes that are happening. </w:t>
      </w:r>
      <w:r w:rsidR="00192789">
        <w:rPr>
          <w:rFonts w:ascii="Cambria" w:hAnsi="Cambria" w:cs="Times"/>
        </w:rPr>
        <w:t>Neuropathological characteristics</w:t>
      </w:r>
      <w:r w:rsidR="004E6C9A" w:rsidRPr="004E6C9A">
        <w:rPr>
          <w:rFonts w:ascii="Cambria" w:hAnsi="Cambria" w:cs="Times"/>
        </w:rPr>
        <w:t xml:space="preserve"> </w:t>
      </w:r>
      <w:r w:rsidR="00192789">
        <w:rPr>
          <w:rFonts w:ascii="Cambria" w:hAnsi="Cambria" w:cs="Times"/>
        </w:rPr>
        <w:t>of AD is</w:t>
      </w:r>
      <w:r w:rsidR="004E6C9A" w:rsidRPr="004E6C9A">
        <w:rPr>
          <w:rFonts w:ascii="Cambria" w:hAnsi="Cambria" w:cs="Times"/>
        </w:rPr>
        <w:t xml:space="preserve"> the presence of </w:t>
      </w:r>
      <w:r w:rsidR="00A94D32" w:rsidRPr="004E6C9A">
        <w:rPr>
          <w:rFonts w:ascii="Cambria" w:hAnsi="Cambria" w:cs="Times"/>
        </w:rPr>
        <w:t xml:space="preserve">extracellular </w:t>
      </w:r>
      <w:r w:rsidR="00A94D32">
        <w:rPr>
          <w:rFonts w:ascii="Cambria" w:hAnsi="Cambria" w:cs="Times"/>
        </w:rPr>
        <w:t>amyloid plaques composed primarily of the aggrega</w:t>
      </w:r>
      <w:r w:rsidR="00CA4B34">
        <w:rPr>
          <w:rFonts w:ascii="Cambria" w:hAnsi="Cambria" w:cs="Times"/>
        </w:rPr>
        <w:t xml:space="preserve">ted amyloid-β (Aβ) </w:t>
      </w:r>
      <w:r w:rsidR="00A94D32">
        <w:rPr>
          <w:rFonts w:ascii="Cambria" w:hAnsi="Cambria" w:cs="Times"/>
        </w:rPr>
        <w:t>peptide and intracellular neur</w:t>
      </w:r>
      <w:r w:rsidR="00DD7779">
        <w:rPr>
          <w:rFonts w:ascii="Cambria" w:hAnsi="Cambria" w:cs="Times"/>
        </w:rPr>
        <w:t>ofibrillary tangles</w:t>
      </w:r>
      <w:r w:rsidR="00192789">
        <w:rPr>
          <w:rFonts w:ascii="Cambria" w:hAnsi="Cambria" w:cs="Times"/>
        </w:rPr>
        <w:t xml:space="preserve"> (NFT)</w:t>
      </w:r>
      <w:r w:rsidR="00DD7779">
        <w:rPr>
          <w:rFonts w:ascii="Cambria" w:hAnsi="Cambria" w:cs="Times"/>
        </w:rPr>
        <w:t xml:space="preserve"> composed mainly of hyper</w:t>
      </w:r>
      <w:r w:rsidR="00DD7779" w:rsidRPr="004E6C9A">
        <w:rPr>
          <w:rFonts w:ascii="Cambria" w:hAnsi="Cambria" w:cs="Times"/>
        </w:rPr>
        <w:t xml:space="preserve">phosphorylated tau </w:t>
      </w:r>
      <w:r w:rsidR="00CA4B34">
        <w:rPr>
          <w:rFonts w:ascii="Cambria" w:hAnsi="Cambria" w:cs="Times"/>
        </w:rPr>
        <w:t>(ptau)</w:t>
      </w:r>
      <w:r w:rsidR="00DD7779">
        <w:rPr>
          <w:rFonts w:ascii="Cambria" w:hAnsi="Cambria" w:cs="Times"/>
        </w:rPr>
        <w:t>, a microtubule-associated protein found predominantly in neurons</w:t>
      </w:r>
      <w:r w:rsidR="00192789">
        <w:rPr>
          <w:rFonts w:ascii="Cambria" w:hAnsi="Cambria" w:cs="Times"/>
        </w:rPr>
        <w:t xml:space="preserve"> (</w:t>
      </w:r>
      <w:r w:rsidR="00192789" w:rsidRPr="004E6C9A">
        <w:rPr>
          <w:rFonts w:ascii="Cambria" w:hAnsi="Cambria" w:cs="Helvetica Neue"/>
        </w:rPr>
        <w:t>Cruchaga</w:t>
      </w:r>
      <w:r w:rsidR="00192789">
        <w:rPr>
          <w:rFonts w:ascii="Cambria" w:hAnsi="Cambria" w:cs="Helvetica Neue"/>
        </w:rPr>
        <w:t xml:space="preserve"> et al, 2013)</w:t>
      </w:r>
      <w:r w:rsidR="00192789">
        <w:rPr>
          <w:rFonts w:ascii="Cambria" w:hAnsi="Cambria" w:cs="Times"/>
        </w:rPr>
        <w:t>.</w:t>
      </w:r>
      <w:r w:rsidR="00DD7779">
        <w:rPr>
          <w:rFonts w:ascii="Cambria" w:hAnsi="Cambria" w:cs="Times"/>
        </w:rPr>
        <w:t xml:space="preserve"> </w:t>
      </w:r>
      <w:r w:rsidR="00192789">
        <w:rPr>
          <w:rFonts w:ascii="Cambria" w:hAnsi="Cambria" w:cs="Times"/>
        </w:rPr>
        <w:t xml:space="preserve">CSF </w:t>
      </w:r>
      <w:r w:rsidR="008B7ACE" w:rsidRPr="004E6C9A">
        <w:rPr>
          <w:rFonts w:ascii="Cambria" w:hAnsi="Cambria" w:cs="Times"/>
        </w:rPr>
        <w:t>Aβ</w:t>
      </w:r>
      <w:r w:rsidR="008B7ACE">
        <w:rPr>
          <w:rFonts w:ascii="Cambria" w:hAnsi="Cambria" w:cs="Times"/>
        </w:rPr>
        <w:t xml:space="preserve"> and tau levels ha</w:t>
      </w:r>
      <w:r w:rsidR="00CA4B34">
        <w:rPr>
          <w:rFonts w:ascii="Cambria" w:hAnsi="Cambria" w:cs="Times"/>
        </w:rPr>
        <w:t>ve become definitive biomarkers</w:t>
      </w:r>
      <w:r w:rsidR="00192789">
        <w:rPr>
          <w:rFonts w:ascii="Cambria" w:hAnsi="Cambria" w:cs="Times"/>
        </w:rPr>
        <w:t xml:space="preserve"> for AD. If the levels of CSF ptau increase it </w:t>
      </w:r>
      <w:r w:rsidR="00DD7779">
        <w:rPr>
          <w:rFonts w:ascii="Cambria" w:hAnsi="Cambria" w:cs="Times"/>
        </w:rPr>
        <w:t>correspond</w:t>
      </w:r>
      <w:r w:rsidR="00192789">
        <w:rPr>
          <w:rFonts w:ascii="Cambria" w:hAnsi="Cambria" w:cs="Times"/>
        </w:rPr>
        <w:t>s</w:t>
      </w:r>
      <w:r w:rsidR="00DD7779">
        <w:rPr>
          <w:rFonts w:ascii="Cambria" w:hAnsi="Cambria" w:cs="Times"/>
        </w:rPr>
        <w:t xml:space="preserve"> with</w:t>
      </w:r>
      <w:r w:rsidR="00DD7779" w:rsidRPr="004E6C9A">
        <w:rPr>
          <w:rFonts w:ascii="Cambria" w:hAnsi="Cambria" w:cs="Times"/>
        </w:rPr>
        <w:t xml:space="preserve"> neuronal loss and cognitive decline</w:t>
      </w:r>
      <w:r w:rsidR="00954DA9">
        <w:rPr>
          <w:rFonts w:ascii="Cambria" w:hAnsi="Cambria" w:cs="Times"/>
        </w:rPr>
        <w:t>.</w:t>
      </w:r>
    </w:p>
    <w:p w14:paraId="36770DA9" w14:textId="77777777" w:rsidR="00E43F90" w:rsidRDefault="00E43F90" w:rsidP="003E426C">
      <w:pPr>
        <w:spacing w:line="360" w:lineRule="auto"/>
        <w:ind w:firstLine="720"/>
        <w:rPr>
          <w:rFonts w:ascii="Cambria" w:hAnsi="Cambria" w:cs="Times"/>
        </w:rPr>
      </w:pPr>
    </w:p>
    <w:p w14:paraId="7F475418" w14:textId="17296215" w:rsidR="00877861" w:rsidRDefault="00192789" w:rsidP="003E426C">
      <w:pPr>
        <w:spacing w:line="360" w:lineRule="auto"/>
        <w:ind w:firstLine="720"/>
        <w:rPr>
          <w:rFonts w:ascii="Cambria" w:hAnsi="Cambria" w:cs="Times"/>
        </w:rPr>
      </w:pPr>
      <w:r>
        <w:rPr>
          <w:rFonts w:ascii="Cambria" w:hAnsi="Cambria" w:cs="Times"/>
        </w:rPr>
        <w:t xml:space="preserve">One source of </w:t>
      </w:r>
      <w:r w:rsidR="00E43F90">
        <w:rPr>
          <w:rFonts w:ascii="Cambria" w:hAnsi="Cambria" w:cs="Times"/>
        </w:rPr>
        <w:t xml:space="preserve">the </w:t>
      </w:r>
      <w:r w:rsidR="00E43F90" w:rsidRPr="00E43F90">
        <w:rPr>
          <w:rFonts w:ascii="Cambria" w:hAnsi="Cambria" w:cs="Times"/>
        </w:rPr>
        <w:t>varying levels of ptau and Aβ is genetic variants. These genes may be linked to autosomal dominant or familial early onset AD</w:t>
      </w:r>
      <w:r w:rsidR="00942B8E">
        <w:rPr>
          <w:rFonts w:ascii="Cambria" w:hAnsi="Cambria" w:cs="Times"/>
        </w:rPr>
        <w:t xml:space="preserve"> (Gu et al, 2014)</w:t>
      </w:r>
      <w:r w:rsidR="00E43F90" w:rsidRPr="00E43F90">
        <w:rPr>
          <w:rFonts w:ascii="Cambria" w:hAnsi="Cambria" w:cs="Times"/>
        </w:rPr>
        <w:t>. There are four genes: amy</w:t>
      </w:r>
      <w:r w:rsidR="00E43F90">
        <w:rPr>
          <w:rFonts w:ascii="Cambria" w:hAnsi="Cambria" w:cs="Times"/>
        </w:rPr>
        <w:t xml:space="preserve">loid precursor protein (APP), presenilin 1 (PS1), presenilin 2 (PS2) </w:t>
      </w:r>
      <w:r w:rsidR="00E43F90" w:rsidRPr="00E43F90">
        <w:rPr>
          <w:rFonts w:ascii="Cambria" w:hAnsi="Cambria" w:cs="Times"/>
        </w:rPr>
        <w:t>and apolipoprotein E (ApoE)</w:t>
      </w:r>
      <w:r w:rsidR="00E43F90">
        <w:rPr>
          <w:rFonts w:ascii="Cambria" w:hAnsi="Cambria" w:cs="Times"/>
        </w:rPr>
        <w:t xml:space="preserve">. </w:t>
      </w:r>
      <w:r w:rsidR="00024720">
        <w:rPr>
          <w:rFonts w:ascii="Cambria" w:hAnsi="Cambria" w:cs="Times"/>
        </w:rPr>
        <w:t xml:space="preserve">A </w:t>
      </w:r>
      <w:r w:rsidR="00024720">
        <w:rPr>
          <w:rFonts w:ascii="Cambria" w:hAnsi="Cambria"/>
        </w:rPr>
        <w:t xml:space="preserve">genome-wide association study (GWAS) </w:t>
      </w:r>
      <w:r w:rsidR="009B7DD3">
        <w:rPr>
          <w:rFonts w:ascii="Cambria" w:hAnsi="Cambria"/>
        </w:rPr>
        <w:t>detected four genetic loci associated w</w:t>
      </w:r>
      <w:r w:rsidR="00CC199C">
        <w:rPr>
          <w:rFonts w:ascii="Cambria" w:hAnsi="Cambria"/>
        </w:rPr>
        <w:t xml:space="preserve">ith CSF levels. The first </w:t>
      </w:r>
      <w:r w:rsidR="00942B8E">
        <w:rPr>
          <w:rFonts w:ascii="Cambria" w:hAnsi="Cambria"/>
        </w:rPr>
        <w:t xml:space="preserve">genetic locus </w:t>
      </w:r>
      <w:r w:rsidR="00CC199C">
        <w:rPr>
          <w:rFonts w:ascii="Cambria" w:hAnsi="Cambria"/>
        </w:rPr>
        <w:t>that</w:t>
      </w:r>
      <w:r w:rsidR="000E0B87">
        <w:rPr>
          <w:rFonts w:ascii="Cambria" w:hAnsi="Cambria"/>
        </w:rPr>
        <w:t xml:space="preserve"> </w:t>
      </w:r>
      <w:r w:rsidR="00655EE8">
        <w:rPr>
          <w:rFonts w:ascii="Cambria" w:hAnsi="Cambria"/>
        </w:rPr>
        <w:t xml:space="preserve">is associated with CSF tau and </w:t>
      </w:r>
      <w:r w:rsidR="00655EE8" w:rsidRPr="004E6C9A">
        <w:rPr>
          <w:rFonts w:ascii="Cambria" w:hAnsi="Cambria" w:cs="Times"/>
        </w:rPr>
        <w:t>Aβ</w:t>
      </w:r>
      <w:r w:rsidR="00942B8E">
        <w:rPr>
          <w:rFonts w:ascii="Cambria" w:hAnsi="Cambria" w:cs="Times"/>
        </w:rPr>
        <w:t>,</w:t>
      </w:r>
      <w:r w:rsidR="00CC199C">
        <w:rPr>
          <w:rFonts w:ascii="Cambria" w:hAnsi="Cambria" w:cs="Times"/>
        </w:rPr>
        <w:t xml:space="preserve"> and </w:t>
      </w:r>
      <w:r w:rsidR="00942B8E">
        <w:rPr>
          <w:rFonts w:ascii="Cambria" w:hAnsi="Cambria" w:cs="Times"/>
        </w:rPr>
        <w:t>has</w:t>
      </w:r>
      <w:r w:rsidR="00991E37">
        <w:rPr>
          <w:rFonts w:ascii="Cambria" w:hAnsi="Cambria" w:cs="Times"/>
        </w:rPr>
        <w:t xml:space="preserve"> a</w:t>
      </w:r>
      <w:r w:rsidR="00655EE8">
        <w:rPr>
          <w:rFonts w:ascii="Cambria" w:hAnsi="Cambria" w:cs="Times"/>
        </w:rPr>
        <w:t xml:space="preserve"> risk for AD</w:t>
      </w:r>
      <w:r w:rsidR="00CC199C">
        <w:rPr>
          <w:rFonts w:ascii="Cambria" w:hAnsi="Cambria" w:cs="Times"/>
        </w:rPr>
        <w:t xml:space="preserve"> is </w:t>
      </w:r>
      <w:r w:rsidR="008F2282">
        <w:rPr>
          <w:rFonts w:ascii="Cambria" w:hAnsi="Cambria"/>
        </w:rPr>
        <w:t>Apo</w:t>
      </w:r>
      <w:r w:rsidR="00CC199C">
        <w:rPr>
          <w:rFonts w:ascii="Cambria" w:hAnsi="Cambria"/>
        </w:rPr>
        <w:t>E</w:t>
      </w:r>
      <w:r w:rsidR="00655EE8">
        <w:rPr>
          <w:rFonts w:ascii="Cambria" w:hAnsi="Cambria" w:cs="Times"/>
        </w:rPr>
        <w:t xml:space="preserve">. </w:t>
      </w:r>
      <w:r w:rsidR="008F2282">
        <w:rPr>
          <w:rFonts w:ascii="Cambria" w:hAnsi="Cambria" w:cs="Times"/>
        </w:rPr>
        <w:t xml:space="preserve">The </w:t>
      </w:r>
      <w:r w:rsidR="00CC199C">
        <w:rPr>
          <w:rFonts w:ascii="Cambria" w:hAnsi="Cambria" w:cs="Times"/>
        </w:rPr>
        <w:t xml:space="preserve">second is </w:t>
      </w:r>
      <w:r w:rsidR="008F2282">
        <w:rPr>
          <w:rFonts w:ascii="Cambria" w:hAnsi="Cambria" w:cs="Times"/>
        </w:rPr>
        <w:t>newly discovered and is at</w:t>
      </w:r>
      <w:r w:rsidR="00CC199C">
        <w:rPr>
          <w:rFonts w:ascii="Cambria" w:hAnsi="Cambria" w:cs="Times"/>
        </w:rPr>
        <w:t xml:space="preserve"> </w:t>
      </w:r>
      <w:r w:rsidR="008F2282">
        <w:rPr>
          <w:rFonts w:ascii="Cambria" w:hAnsi="Cambria"/>
        </w:rPr>
        <w:t xml:space="preserve">3q28. This loci </w:t>
      </w:r>
      <w:r w:rsidR="00E10A25">
        <w:rPr>
          <w:rFonts w:ascii="Cambria" w:hAnsi="Cambria"/>
        </w:rPr>
        <w:t>is the top hit for CSF tau and is associated with AD risk, tangle pathology</w:t>
      </w:r>
      <w:r w:rsidR="008F2282">
        <w:rPr>
          <w:rFonts w:ascii="Cambria" w:hAnsi="Cambria"/>
        </w:rPr>
        <w:t>,</w:t>
      </w:r>
      <w:r w:rsidR="00E10A25">
        <w:rPr>
          <w:rFonts w:ascii="Cambria" w:hAnsi="Cambria"/>
        </w:rPr>
        <w:t xml:space="preserve"> and global decline. </w:t>
      </w:r>
      <w:r w:rsidR="00991E37">
        <w:rPr>
          <w:rFonts w:ascii="Cambria" w:hAnsi="Cambria"/>
        </w:rPr>
        <w:t>The third</w:t>
      </w:r>
      <w:r w:rsidR="00E10A25">
        <w:rPr>
          <w:rFonts w:ascii="Cambria" w:hAnsi="Cambria"/>
        </w:rPr>
        <w:t xml:space="preserve"> locus </w:t>
      </w:r>
      <w:r w:rsidR="00991E37">
        <w:rPr>
          <w:rFonts w:ascii="Cambria" w:hAnsi="Cambria"/>
        </w:rPr>
        <w:t xml:space="preserve">is </w:t>
      </w:r>
      <w:r w:rsidR="00E10A25">
        <w:rPr>
          <w:rFonts w:ascii="Cambria" w:hAnsi="Cambria"/>
        </w:rPr>
        <w:t>at 6q21.1, which is located in the TREM gene cluster near TREM2</w:t>
      </w:r>
      <w:r w:rsidR="008F2282">
        <w:rPr>
          <w:rFonts w:ascii="Cambria" w:hAnsi="Cambria"/>
        </w:rPr>
        <w:t xml:space="preserve"> </w:t>
      </w:r>
      <w:r w:rsidR="008F2282">
        <w:rPr>
          <w:rFonts w:ascii="Cambria" w:hAnsi="Cambria" w:cs="Helvetica Neue"/>
        </w:rPr>
        <w:t>(</w:t>
      </w:r>
      <w:r w:rsidR="008F2282" w:rsidRPr="004E6C9A">
        <w:rPr>
          <w:rFonts w:ascii="Cambria" w:hAnsi="Cambria" w:cs="Helvetica Neue"/>
        </w:rPr>
        <w:t>Cruchaga</w:t>
      </w:r>
      <w:r w:rsidR="008F2282">
        <w:rPr>
          <w:rFonts w:ascii="Cambria" w:hAnsi="Cambria" w:cs="Helvetica Neue"/>
        </w:rPr>
        <w:t xml:space="preserve"> et al, 2013)</w:t>
      </w:r>
      <w:r w:rsidR="00E10A25">
        <w:rPr>
          <w:rFonts w:ascii="Cambria" w:hAnsi="Cambria"/>
        </w:rPr>
        <w:t xml:space="preserve">. This gene has rare variants recently reported substantial increase in </w:t>
      </w:r>
      <w:r w:rsidR="00991E37">
        <w:rPr>
          <w:rFonts w:ascii="Cambria" w:hAnsi="Cambria"/>
        </w:rPr>
        <w:t>the risk of AD</w:t>
      </w:r>
      <w:r w:rsidR="00E10A25">
        <w:rPr>
          <w:rFonts w:ascii="Cambria" w:hAnsi="Cambria" w:cs="Helvetica Neue"/>
        </w:rPr>
        <w:t xml:space="preserve">. </w:t>
      </w:r>
      <w:r w:rsidR="00847E93" w:rsidRPr="00847E93">
        <w:rPr>
          <w:rFonts w:ascii="Cambria" w:hAnsi="Cambria" w:cs="Times"/>
        </w:rPr>
        <w:t xml:space="preserve">The </w:t>
      </w:r>
      <w:r w:rsidR="00991E37">
        <w:rPr>
          <w:rFonts w:ascii="Cambria" w:hAnsi="Cambria" w:cs="Times"/>
        </w:rPr>
        <w:t>last</w:t>
      </w:r>
      <w:r w:rsidR="00847E93" w:rsidRPr="00847E93">
        <w:rPr>
          <w:rFonts w:ascii="Cambria" w:hAnsi="Cambria" w:cs="Times"/>
        </w:rPr>
        <w:t xml:space="preserve"> locus identified in this study did not show association with risk for disease, tangle pathology or me</w:t>
      </w:r>
      <w:r w:rsidR="008F2282">
        <w:rPr>
          <w:rFonts w:ascii="Cambria" w:hAnsi="Cambria" w:cs="Times"/>
        </w:rPr>
        <w:t>mory decline.</w:t>
      </w:r>
    </w:p>
    <w:p w14:paraId="29A47F78" w14:textId="77777777" w:rsidR="00266496" w:rsidRDefault="00266496" w:rsidP="003E426C">
      <w:pPr>
        <w:spacing w:line="360" w:lineRule="auto"/>
        <w:ind w:firstLine="720"/>
        <w:rPr>
          <w:rFonts w:ascii="Cambria" w:hAnsi="Cambria" w:cs="Times"/>
        </w:rPr>
      </w:pPr>
    </w:p>
    <w:p w14:paraId="26BAEF25" w14:textId="6E157942" w:rsidR="00266496" w:rsidRPr="00266496" w:rsidRDefault="00266496" w:rsidP="003E426C">
      <w:pPr>
        <w:spacing w:line="360" w:lineRule="auto"/>
        <w:ind w:firstLine="720"/>
        <w:rPr>
          <w:rFonts w:ascii="Cambria" w:hAnsi="Cambria" w:cs="Helvetica Neue"/>
        </w:rPr>
      </w:pPr>
      <w:r>
        <w:rPr>
          <w:rFonts w:ascii="Cambria" w:hAnsi="Cambria" w:cs="Helvetica Neue"/>
        </w:rPr>
        <w:t xml:space="preserve">ApoE plays an essential role in the delivery of fat, cholesterol, and antioxidants from the liver to all the cells of the body (Lin et al, 2013). The cholesterol deficiency in neurons may be caused by the advanced glycation end products in plasma proteins that are damaged in AD. A cascading response leads to impaired glutamate signaling, increased oxidative damage, mitochondrial and lysosomal dysfunction, increased risk of microbial infection, and ultimately apoptosis (Lin et al, 2013). Simple </w:t>
      </w:r>
      <w:r>
        <w:rPr>
          <w:rFonts w:ascii="Cambria" w:hAnsi="Cambria" w:cs="Times"/>
        </w:rPr>
        <w:t>dietary modifica</w:t>
      </w:r>
      <w:r w:rsidRPr="008512E3">
        <w:rPr>
          <w:rFonts w:ascii="Cambria" w:hAnsi="Cambria" w:cs="Times"/>
        </w:rPr>
        <w:t xml:space="preserve">tion </w:t>
      </w:r>
      <w:r>
        <w:rPr>
          <w:rFonts w:ascii="Cambria" w:hAnsi="Cambria" w:cs="Times"/>
        </w:rPr>
        <w:t>could likely be a</w:t>
      </w:r>
      <w:r w:rsidRPr="008512E3">
        <w:rPr>
          <w:rFonts w:ascii="Cambria" w:hAnsi="Cambria" w:cs="Times"/>
        </w:rPr>
        <w:t xml:space="preserve"> prote</w:t>
      </w:r>
      <w:r>
        <w:rPr>
          <w:rFonts w:ascii="Cambria" w:hAnsi="Cambria" w:cs="Times"/>
        </w:rPr>
        <w:t>ctive measure against AD.</w:t>
      </w:r>
    </w:p>
    <w:p w14:paraId="1E7608D6" w14:textId="77777777" w:rsidR="006C7C3D" w:rsidRDefault="006C7C3D" w:rsidP="003E426C">
      <w:pPr>
        <w:spacing w:line="360" w:lineRule="auto"/>
        <w:ind w:firstLine="720"/>
        <w:rPr>
          <w:rFonts w:ascii="Cambria" w:hAnsi="Cambria" w:cs="Times"/>
        </w:rPr>
      </w:pPr>
    </w:p>
    <w:p w14:paraId="4FE1A4A4" w14:textId="6F0E17AC" w:rsidR="006C7C3D" w:rsidRDefault="006C7C3D" w:rsidP="003E426C">
      <w:pPr>
        <w:spacing w:line="360" w:lineRule="auto"/>
        <w:ind w:firstLine="720"/>
        <w:rPr>
          <w:rFonts w:ascii="Cambria" w:hAnsi="Cambria" w:cs="Helvetica Neue"/>
        </w:rPr>
      </w:pPr>
      <w:r>
        <w:rPr>
          <w:rFonts w:ascii="Cambria" w:hAnsi="Cambria" w:cs="Times"/>
        </w:rPr>
        <w:t xml:space="preserve">TREM2 is expressed throughout the central nervous system and </w:t>
      </w:r>
      <w:r w:rsidR="003D2A97">
        <w:rPr>
          <w:rFonts w:ascii="Cambria" w:hAnsi="Cambria" w:cs="Times"/>
        </w:rPr>
        <w:t>has</w:t>
      </w:r>
      <w:r>
        <w:rPr>
          <w:rFonts w:ascii="Cambria" w:hAnsi="Cambria" w:cs="Times"/>
        </w:rPr>
        <w:t xml:space="preserve"> high concentrations in white matter. </w:t>
      </w:r>
      <w:r w:rsidR="003D2A97">
        <w:rPr>
          <w:rFonts w:ascii="Cambria" w:hAnsi="Cambria" w:cs="Times"/>
        </w:rPr>
        <w:t>It</w:t>
      </w:r>
      <w:r>
        <w:rPr>
          <w:rFonts w:ascii="Cambria" w:hAnsi="Cambria" w:cs="Times"/>
        </w:rPr>
        <w:t xml:space="preserve"> acts as a gateway for controlling microglial responses. When TREM2’s function is compromised it is likely to have ramifications on the clearance of cell debris and possibly the removal of beta amyloid</w:t>
      </w:r>
      <w:r w:rsidR="003D2A97">
        <w:rPr>
          <w:rFonts w:ascii="Cambria" w:hAnsi="Cambria" w:cs="Times"/>
        </w:rPr>
        <w:t xml:space="preserve"> (</w:t>
      </w:r>
      <w:r w:rsidR="003D2A97" w:rsidRPr="004E6C9A">
        <w:rPr>
          <w:rFonts w:ascii="Cambria" w:hAnsi="Cambria" w:cs="Helvetica Neue"/>
        </w:rPr>
        <w:t>Guerreiro</w:t>
      </w:r>
      <w:r w:rsidR="003D2A97">
        <w:rPr>
          <w:rFonts w:ascii="Cambria" w:hAnsi="Cambria" w:cs="Helvetica Neue"/>
        </w:rPr>
        <w:t xml:space="preserve"> et al, 2013)</w:t>
      </w:r>
      <w:r>
        <w:rPr>
          <w:rFonts w:ascii="Cambria" w:hAnsi="Cambria" w:cs="Times"/>
        </w:rPr>
        <w:t xml:space="preserve">. This fuels an inflammatory cascade, which leads to systemic inflammatory response </w:t>
      </w:r>
      <w:r w:rsidR="003D2A97">
        <w:rPr>
          <w:rFonts w:ascii="Cambria" w:hAnsi="Cambria" w:cs="Times"/>
        </w:rPr>
        <w:t>and incidental death of neurons.</w:t>
      </w:r>
    </w:p>
    <w:p w14:paraId="4D8A3854" w14:textId="77777777" w:rsidR="004B5628" w:rsidRDefault="004B5628" w:rsidP="003E426C">
      <w:pPr>
        <w:spacing w:line="360" w:lineRule="auto"/>
        <w:rPr>
          <w:rFonts w:ascii="Cambria" w:hAnsi="Cambria" w:cs="Times"/>
        </w:rPr>
      </w:pPr>
    </w:p>
    <w:p w14:paraId="565ED6C1" w14:textId="5277A795" w:rsidR="00A1534C" w:rsidRPr="00A1534C" w:rsidRDefault="00877861" w:rsidP="003E426C">
      <w:pPr>
        <w:spacing w:line="360" w:lineRule="auto"/>
        <w:ind w:firstLine="720"/>
        <w:rPr>
          <w:rFonts w:ascii="Cambria" w:hAnsi="Cambria" w:cs="Helvetica Neue"/>
          <w:color w:val="FF0000"/>
        </w:rPr>
      </w:pPr>
      <w:r>
        <w:rPr>
          <w:rFonts w:ascii="Cambria" w:hAnsi="Cambria" w:cs="Times"/>
        </w:rPr>
        <w:t xml:space="preserve">There was a </w:t>
      </w:r>
      <w:r w:rsidR="00C1701B">
        <w:rPr>
          <w:rFonts w:ascii="Cambria" w:hAnsi="Cambria" w:cs="Times"/>
        </w:rPr>
        <w:t>study</w:t>
      </w:r>
      <w:r>
        <w:rPr>
          <w:rFonts w:ascii="Cambria" w:hAnsi="Cambria" w:cs="Times"/>
        </w:rPr>
        <w:t xml:space="preserve"> </w:t>
      </w:r>
      <w:r w:rsidR="00C1701B">
        <w:rPr>
          <w:rFonts w:ascii="Cambria" w:hAnsi="Cambria" w:cs="Times"/>
        </w:rPr>
        <w:t>that focused directly</w:t>
      </w:r>
      <w:r>
        <w:rPr>
          <w:rFonts w:ascii="Cambria" w:hAnsi="Cambria" w:cs="Times"/>
        </w:rPr>
        <w:t xml:space="preserve"> on </w:t>
      </w:r>
      <w:r w:rsidR="00C1701B">
        <w:rPr>
          <w:rFonts w:ascii="Cambria" w:hAnsi="Cambria" w:cs="Times"/>
        </w:rPr>
        <w:t>the TREM2 (triggering receptor expressed on m</w:t>
      </w:r>
      <w:r w:rsidR="006C7C3D">
        <w:rPr>
          <w:rFonts w:ascii="Cambria" w:hAnsi="Cambria" w:cs="Times"/>
        </w:rPr>
        <w:t>yeloid cells 2 protein) genetic variant</w:t>
      </w:r>
      <w:r w:rsidR="00C1701B">
        <w:rPr>
          <w:rFonts w:ascii="Cambria" w:hAnsi="Cambria" w:cs="Times"/>
        </w:rPr>
        <w:t xml:space="preserve">. </w:t>
      </w:r>
      <w:r w:rsidR="006C7C3D">
        <w:rPr>
          <w:rFonts w:ascii="Cambria" w:hAnsi="Cambria" w:cs="Times"/>
        </w:rPr>
        <w:t>This study</w:t>
      </w:r>
      <w:r w:rsidR="00C1701B">
        <w:rPr>
          <w:rFonts w:ascii="Cambria" w:hAnsi="Cambria" w:cs="Times"/>
        </w:rPr>
        <w:t xml:space="preserve"> used genome, exome,</w:t>
      </w:r>
      <w:r w:rsidR="00121136">
        <w:rPr>
          <w:rFonts w:ascii="Cambria" w:hAnsi="Cambria" w:cs="Times"/>
        </w:rPr>
        <w:t xml:space="preserve"> and Sanger sequencing to analyze</w:t>
      </w:r>
      <w:r w:rsidR="00C1701B">
        <w:rPr>
          <w:rFonts w:ascii="Cambria" w:hAnsi="Cambria" w:cs="Times"/>
        </w:rPr>
        <w:t xml:space="preserve"> the genetic variability in TREM2. </w:t>
      </w:r>
      <w:r w:rsidR="00121136">
        <w:rPr>
          <w:rFonts w:ascii="Cambria" w:hAnsi="Cambria" w:cs="Times"/>
        </w:rPr>
        <w:t xml:space="preserve">It was found that there were significantly more variants in exon 2 of TREM2 when comparing AD patients to normal controls. The </w:t>
      </w:r>
      <w:r w:rsidR="00D924D0">
        <w:rPr>
          <w:rFonts w:ascii="Cambria" w:hAnsi="Cambria" w:cs="Times"/>
        </w:rPr>
        <w:t>seven</w:t>
      </w:r>
      <w:r w:rsidR="00121136">
        <w:rPr>
          <w:rFonts w:ascii="Cambria" w:hAnsi="Cambria" w:cs="Times"/>
        </w:rPr>
        <w:t xml:space="preserve"> main variants were </w:t>
      </w:r>
      <w:r w:rsidR="00D924D0">
        <w:rPr>
          <w:rFonts w:ascii="Cambria" w:hAnsi="Cambria" w:cs="Times"/>
        </w:rPr>
        <w:t xml:space="preserve">R47H, </w:t>
      </w:r>
      <w:r w:rsidR="00121136">
        <w:rPr>
          <w:rFonts w:ascii="Cambria" w:hAnsi="Cambria" w:cs="Times"/>
        </w:rPr>
        <w:t>H157Y, R98W, D87N, T66M, Y38C, and Q33X. D87</w:t>
      </w:r>
      <w:r w:rsidR="00D924D0">
        <w:rPr>
          <w:rFonts w:ascii="Cambria" w:hAnsi="Cambria" w:cs="Times"/>
        </w:rPr>
        <w:t xml:space="preserve"> and R47H</w:t>
      </w:r>
      <w:r w:rsidR="00121136">
        <w:rPr>
          <w:rFonts w:ascii="Cambria" w:hAnsi="Cambria" w:cs="Times"/>
        </w:rPr>
        <w:t xml:space="preserve"> </w:t>
      </w:r>
      <w:r w:rsidR="006C7C3D">
        <w:rPr>
          <w:rFonts w:ascii="Cambria" w:hAnsi="Cambria" w:cs="Times"/>
        </w:rPr>
        <w:t>are</w:t>
      </w:r>
      <w:r w:rsidR="00121136">
        <w:rPr>
          <w:rFonts w:ascii="Cambria" w:hAnsi="Cambria" w:cs="Times"/>
        </w:rPr>
        <w:t xml:space="preserve"> associated with AD, T66M, Y38C, and Q33X were associated with frontotemporal dementia</w:t>
      </w:r>
      <w:r w:rsidR="0073440E">
        <w:rPr>
          <w:rFonts w:ascii="Cambria" w:hAnsi="Cambria" w:cs="Times"/>
        </w:rPr>
        <w:t xml:space="preserve"> (</w:t>
      </w:r>
      <w:r w:rsidR="0073440E" w:rsidRPr="004E6C9A">
        <w:rPr>
          <w:rFonts w:ascii="Cambria" w:hAnsi="Cambria" w:cs="Helvetica Neue"/>
        </w:rPr>
        <w:t>Guerreiro</w:t>
      </w:r>
      <w:r w:rsidR="0073440E">
        <w:rPr>
          <w:rFonts w:ascii="Cambria" w:hAnsi="Cambria" w:cs="Helvetica Neue"/>
        </w:rPr>
        <w:t xml:space="preserve"> et al, 2013)</w:t>
      </w:r>
      <w:r w:rsidR="00121136">
        <w:rPr>
          <w:rFonts w:ascii="Cambria" w:hAnsi="Cambria" w:cs="Times"/>
        </w:rPr>
        <w:t>.</w:t>
      </w:r>
    </w:p>
    <w:p w14:paraId="117CECF9" w14:textId="77777777" w:rsidR="00451518" w:rsidRDefault="00451518" w:rsidP="003E426C">
      <w:pPr>
        <w:spacing w:line="360" w:lineRule="auto"/>
        <w:ind w:firstLine="720"/>
        <w:rPr>
          <w:rFonts w:ascii="Cambria" w:hAnsi="Cambria" w:cs="Helvetica Neue"/>
        </w:rPr>
      </w:pPr>
    </w:p>
    <w:p w14:paraId="40492A70" w14:textId="47429573" w:rsidR="0079150C" w:rsidRDefault="00A1534C" w:rsidP="003E426C">
      <w:pPr>
        <w:spacing w:line="360" w:lineRule="auto"/>
        <w:ind w:firstLine="720"/>
        <w:rPr>
          <w:rFonts w:ascii="Cambria" w:hAnsi="Cambria" w:cs="Helvetica Neue"/>
        </w:rPr>
      </w:pPr>
      <w:r>
        <w:rPr>
          <w:rFonts w:ascii="Cambria" w:hAnsi="Cambria" w:cs="Helvetica Neue"/>
        </w:rPr>
        <w:t xml:space="preserve">Besides </w:t>
      </w:r>
      <w:r w:rsidR="00451518">
        <w:rPr>
          <w:rFonts w:ascii="Cambria" w:hAnsi="Cambria" w:cs="Helvetica Neue"/>
        </w:rPr>
        <w:t>cerebrospinal fluid</w:t>
      </w:r>
      <w:r>
        <w:rPr>
          <w:rFonts w:ascii="Cambria" w:hAnsi="Cambria" w:cs="Helvetica Neue"/>
        </w:rPr>
        <w:t xml:space="preserve">, blood is another way to check for biomarkers. </w:t>
      </w:r>
      <w:r w:rsidR="005A34CD">
        <w:rPr>
          <w:rFonts w:ascii="Cambria" w:hAnsi="Cambria" w:cs="Helvetica Neue"/>
        </w:rPr>
        <w:t xml:space="preserve">Among the various technologies </w:t>
      </w:r>
      <w:r w:rsidR="00451518">
        <w:rPr>
          <w:rFonts w:ascii="Cambria" w:hAnsi="Cambria" w:cs="Helvetica Neue"/>
        </w:rPr>
        <w:t>in the scientific field</w:t>
      </w:r>
      <w:r w:rsidR="005A34CD">
        <w:rPr>
          <w:rFonts w:ascii="Cambria" w:hAnsi="Cambria" w:cs="Helvetica Neue"/>
        </w:rPr>
        <w:t xml:space="preserve">, microarray is a powerful and convenient tool to find biomarkers. Microarray technology </w:t>
      </w:r>
      <w:r w:rsidR="00451518">
        <w:rPr>
          <w:rFonts w:ascii="Cambria" w:hAnsi="Cambria" w:cs="Helvetica Neue"/>
        </w:rPr>
        <w:t>is</w:t>
      </w:r>
      <w:r w:rsidR="005A34CD">
        <w:rPr>
          <w:rFonts w:ascii="Cambria" w:hAnsi="Cambria" w:cs="Helvetica Neue"/>
        </w:rPr>
        <w:t xml:space="preserve"> a tool to assess the expression levels of thousands of genes simultaneously (Hu et al, 2015). The goal is to obtain possible molecular clues regarding the underlying mechanisms of AD pathophysiology.</w:t>
      </w:r>
      <w:r w:rsidR="00451518">
        <w:rPr>
          <w:rFonts w:ascii="Cambria" w:hAnsi="Cambria" w:cs="Helvetica Neue"/>
        </w:rPr>
        <w:t xml:space="preserve"> </w:t>
      </w:r>
      <w:r>
        <w:rPr>
          <w:rFonts w:ascii="Cambria" w:hAnsi="Cambria" w:cs="Helvetica Neue"/>
        </w:rPr>
        <w:t>Peripheral blood mononuclear cells were taken from patients that had AD</w:t>
      </w:r>
      <w:r w:rsidR="00451518">
        <w:rPr>
          <w:rFonts w:ascii="Cambria" w:hAnsi="Cambria" w:cs="Helvetica Neue"/>
        </w:rPr>
        <w:t xml:space="preserve"> and the expression levels were analyzed using microarray</w:t>
      </w:r>
      <w:r>
        <w:rPr>
          <w:rFonts w:ascii="Cambria" w:hAnsi="Cambria" w:cs="Helvetica Neue"/>
        </w:rPr>
        <w:t>.</w:t>
      </w:r>
      <w:r w:rsidR="00451518">
        <w:rPr>
          <w:rFonts w:ascii="Cambria" w:hAnsi="Cambria" w:cs="Helvetica Neue"/>
        </w:rPr>
        <w:t xml:space="preserve"> </w:t>
      </w:r>
      <w:r w:rsidR="00D67741">
        <w:rPr>
          <w:rFonts w:ascii="Cambria" w:hAnsi="Cambria" w:cs="Helvetica Neue"/>
        </w:rPr>
        <w:t>The expression profiles were extracted from the Gene Expression Omnibus (GEO), GSE18309, and compared with the Affymetri</w:t>
      </w:r>
      <w:r w:rsidR="00BB1867">
        <w:rPr>
          <w:rFonts w:ascii="Cambria" w:hAnsi="Cambria" w:cs="Helvetica Neue"/>
        </w:rPr>
        <w:t xml:space="preserve">x Human Genome platform GPL570. </w:t>
      </w:r>
      <w:r w:rsidR="00D67741">
        <w:rPr>
          <w:rFonts w:ascii="Cambria" w:hAnsi="Cambria" w:cs="Helvetica Neue"/>
        </w:rPr>
        <w:t xml:space="preserve">There were </w:t>
      </w:r>
      <w:r w:rsidR="00CC7110">
        <w:rPr>
          <w:rFonts w:ascii="Cambria" w:hAnsi="Cambria" w:cs="Helvetica Neue"/>
        </w:rPr>
        <w:t>60 gene expression levels</w:t>
      </w:r>
      <w:r w:rsidR="00451518">
        <w:rPr>
          <w:rFonts w:ascii="Cambria" w:hAnsi="Cambria" w:cs="Helvetica Neue"/>
        </w:rPr>
        <w:t xml:space="preserve"> that</w:t>
      </w:r>
      <w:r w:rsidR="00CD46BA">
        <w:rPr>
          <w:rFonts w:ascii="Cambria" w:hAnsi="Cambria" w:cs="Helvetica Neue"/>
        </w:rPr>
        <w:t xml:space="preserve"> were altered in AD patients when com</w:t>
      </w:r>
      <w:r w:rsidR="00451518">
        <w:rPr>
          <w:rFonts w:ascii="Cambria" w:hAnsi="Cambria" w:cs="Helvetica Neue"/>
        </w:rPr>
        <w:t>pared to</w:t>
      </w:r>
      <w:r w:rsidR="00660BED">
        <w:rPr>
          <w:rFonts w:ascii="Cambria" w:hAnsi="Cambria" w:cs="Helvetica Neue"/>
        </w:rPr>
        <w:t xml:space="preserve"> normal control</w:t>
      </w:r>
      <w:r w:rsidR="00451518">
        <w:rPr>
          <w:rFonts w:ascii="Cambria" w:hAnsi="Cambria" w:cs="Helvetica Neue"/>
        </w:rPr>
        <w:t>s</w:t>
      </w:r>
      <w:r w:rsidR="00660BED">
        <w:rPr>
          <w:rFonts w:ascii="Cambria" w:hAnsi="Cambria" w:cs="Helvetica Neue"/>
        </w:rPr>
        <w:t xml:space="preserve"> (NC).</w:t>
      </w:r>
    </w:p>
    <w:p w14:paraId="417967A8" w14:textId="77777777" w:rsidR="00660BED" w:rsidRDefault="00660BED" w:rsidP="003E426C">
      <w:pPr>
        <w:spacing w:line="360" w:lineRule="auto"/>
        <w:ind w:firstLine="720"/>
        <w:rPr>
          <w:rFonts w:ascii="Cambria" w:hAnsi="Cambria" w:cs="Helvetica Neue"/>
        </w:rPr>
      </w:pPr>
    </w:p>
    <w:p w14:paraId="6692937F" w14:textId="68240CD0" w:rsidR="00B01E5F" w:rsidRDefault="008512E3" w:rsidP="003E426C">
      <w:pPr>
        <w:spacing w:line="360" w:lineRule="auto"/>
        <w:ind w:firstLine="720"/>
        <w:rPr>
          <w:rFonts w:ascii="Cambria" w:hAnsi="Cambria" w:cs="Helvetica Neue"/>
        </w:rPr>
      </w:pPr>
      <w:r>
        <w:rPr>
          <w:rFonts w:ascii="Cambria" w:hAnsi="Cambria" w:cs="Helvetica Neue"/>
        </w:rPr>
        <w:t xml:space="preserve">A functional enrichment analysis was then performed on the </w:t>
      </w:r>
      <w:r w:rsidR="00BB1867">
        <w:rPr>
          <w:rFonts w:ascii="Cambria" w:hAnsi="Cambria" w:cs="Helvetica Neue"/>
        </w:rPr>
        <w:t xml:space="preserve">DEGs using </w:t>
      </w:r>
      <w:r>
        <w:rPr>
          <w:rFonts w:ascii="Cambria" w:hAnsi="Cambria" w:cs="Helvetica Neue"/>
        </w:rPr>
        <w:t xml:space="preserve">FuncAssociate with Gene Ontology (GO) attributes. The functional enrichment showed </w:t>
      </w:r>
      <w:r w:rsidR="00CE76F0">
        <w:rPr>
          <w:rFonts w:ascii="Cambria" w:hAnsi="Cambria" w:cs="Helvetica Neue"/>
        </w:rPr>
        <w:t>a dysregulation in response to nutrient</w:t>
      </w:r>
      <w:r w:rsidR="00BB1867">
        <w:rPr>
          <w:rFonts w:ascii="Cambria" w:hAnsi="Cambria" w:cs="Helvetica Neue"/>
        </w:rPr>
        <w:t>, muscle contraction and cellular homeostasis</w:t>
      </w:r>
      <w:r w:rsidR="00CE76F0">
        <w:rPr>
          <w:rFonts w:ascii="Cambria" w:hAnsi="Cambria" w:cs="Helvetica Neue"/>
        </w:rPr>
        <w:t xml:space="preserve">. Response to nutrients (GO: 0007584) was the most significantly dysregulated, which can lead to the suggestion that nutrient </w:t>
      </w:r>
      <w:r w:rsidR="00660BED">
        <w:rPr>
          <w:rFonts w:ascii="Cambria" w:hAnsi="Cambria" w:cs="Helvetica Neue"/>
        </w:rPr>
        <w:t>supply,</w:t>
      </w:r>
      <w:r w:rsidR="00CE76F0">
        <w:rPr>
          <w:rFonts w:ascii="Cambria" w:hAnsi="Cambria" w:cs="Helvetica Neue"/>
        </w:rPr>
        <w:t xml:space="preserve"> is related to AD.</w:t>
      </w:r>
      <w:r w:rsidR="00660BED">
        <w:rPr>
          <w:rFonts w:ascii="Cambria" w:hAnsi="Cambria" w:cs="Helvetica Neue"/>
        </w:rPr>
        <w:t xml:space="preserve"> </w:t>
      </w:r>
      <w:r w:rsidR="00266496">
        <w:rPr>
          <w:rFonts w:ascii="Cambria" w:hAnsi="Cambria" w:cs="Helvetica Neue"/>
        </w:rPr>
        <w:t xml:space="preserve">There are four genes associated </w:t>
      </w:r>
      <w:r w:rsidR="00266496" w:rsidRPr="00CF73B6">
        <w:rPr>
          <w:rFonts w:ascii="Cambria" w:hAnsi="Cambria" w:cs="Times"/>
        </w:rPr>
        <w:t>Interleukin 6 signal transducer (IL6ST</w:t>
      </w:r>
      <w:r w:rsidR="00266496">
        <w:rPr>
          <w:rFonts w:ascii="Cambria" w:hAnsi="Cambria" w:cs="Times"/>
        </w:rPr>
        <w:t xml:space="preserve">), </w:t>
      </w:r>
      <w:r w:rsidR="00266496" w:rsidRPr="00CF73B6">
        <w:rPr>
          <w:rFonts w:ascii="Cambria" w:hAnsi="Cambria" w:cs="Times"/>
        </w:rPr>
        <w:t>Cyclin-dependent kinase inhibitor 2D (CDKN2D</w:t>
      </w:r>
      <w:r w:rsidR="00266496">
        <w:rPr>
          <w:rFonts w:ascii="Cambria" w:hAnsi="Cambria" w:cs="Times"/>
        </w:rPr>
        <w:t xml:space="preserve">), </w:t>
      </w:r>
      <w:r w:rsidR="00266496" w:rsidRPr="00CF73B6">
        <w:rPr>
          <w:rFonts w:ascii="Cambria" w:hAnsi="Cambria" w:cs="Times"/>
        </w:rPr>
        <w:t>Cholecystokinin A receptor (CCKAR</w:t>
      </w:r>
      <w:r w:rsidR="00266496">
        <w:rPr>
          <w:rFonts w:ascii="Cambria" w:hAnsi="Cambria" w:cs="Times"/>
        </w:rPr>
        <w:t xml:space="preserve">), </w:t>
      </w:r>
      <w:r w:rsidR="00266496" w:rsidRPr="00CF73B6">
        <w:rPr>
          <w:rFonts w:ascii="Cambria" w:hAnsi="Cambria" w:cs="Times"/>
        </w:rPr>
        <w:t>Microtubule-associated protein 1 B (MAP1B)</w:t>
      </w:r>
      <w:r w:rsidR="002E784E">
        <w:rPr>
          <w:rFonts w:ascii="Cambria" w:hAnsi="Cambria" w:cs="Times"/>
        </w:rPr>
        <w:t xml:space="preserve">. IL6ST is a signal transducer shared by many cytokines, like IL6. MAP1B is involved in microtubule assembly, which is essential in neurogenesis. </w:t>
      </w:r>
      <w:r w:rsidR="00712CAB">
        <w:rPr>
          <w:rFonts w:ascii="Cambria" w:hAnsi="Cambria" w:cs="Times"/>
        </w:rPr>
        <w:t>It has also been detected in sites of neurofibrillary degeneration (</w:t>
      </w:r>
      <w:r w:rsidR="00712CAB" w:rsidRPr="00CF73B6">
        <w:rPr>
          <w:rFonts w:ascii="Cambria" w:hAnsi="Cambria" w:cs="Times"/>
        </w:rPr>
        <w:t>Gu et al, 2014)</w:t>
      </w:r>
      <w:r w:rsidR="00712CAB">
        <w:rPr>
          <w:rFonts w:ascii="Cambria" w:hAnsi="Cambria" w:cs="Times"/>
        </w:rPr>
        <w:t>. CCKAR is associated with th</w:t>
      </w:r>
      <w:r w:rsidR="00B01E5F">
        <w:rPr>
          <w:rFonts w:ascii="Cambria" w:hAnsi="Cambria" w:cs="Times"/>
        </w:rPr>
        <w:t xml:space="preserve">is particular nutrient pathway. </w:t>
      </w:r>
      <w:r w:rsidR="00B01E5F">
        <w:rPr>
          <w:rFonts w:ascii="Cambria" w:hAnsi="Cambria" w:cs="Helvetica Neue"/>
        </w:rPr>
        <w:t>It</w:t>
      </w:r>
      <w:r w:rsidR="00A65958">
        <w:rPr>
          <w:rFonts w:ascii="Cambria" w:hAnsi="Cambria" w:cs="Helvetica Neue"/>
        </w:rPr>
        <w:t xml:space="preserve"> encodes a G-protein-coupled receptor that binds non</w:t>
      </w:r>
      <w:r w:rsidR="00EA6387">
        <w:rPr>
          <w:rFonts w:ascii="Cambria" w:hAnsi="Cambria" w:cs="Helvetica Neue"/>
        </w:rPr>
        <w:t>-</w:t>
      </w:r>
      <w:r w:rsidR="00A65958">
        <w:rPr>
          <w:rFonts w:ascii="Cambria" w:hAnsi="Cambria" w:cs="Helvetica Neue"/>
        </w:rPr>
        <w:t xml:space="preserve">sulfated members of the CCK family of peptide hormones. </w:t>
      </w:r>
    </w:p>
    <w:p w14:paraId="21784613" w14:textId="77777777" w:rsidR="00B01E5F" w:rsidRDefault="00B01E5F" w:rsidP="003E426C">
      <w:pPr>
        <w:spacing w:line="360" w:lineRule="auto"/>
        <w:ind w:firstLine="720"/>
        <w:rPr>
          <w:rFonts w:ascii="Cambria" w:hAnsi="Cambria" w:cs="Helvetica Neue"/>
        </w:rPr>
      </w:pPr>
    </w:p>
    <w:p w14:paraId="089F81EB" w14:textId="77777777" w:rsidR="003837B3" w:rsidRDefault="00B01E5F" w:rsidP="003E426C">
      <w:pPr>
        <w:spacing w:line="360" w:lineRule="auto"/>
        <w:ind w:firstLine="720"/>
        <w:rPr>
          <w:rFonts w:ascii="Cambria" w:hAnsi="Cambria" w:cs="Helvetica Neue"/>
        </w:rPr>
      </w:pPr>
      <w:r>
        <w:rPr>
          <w:rFonts w:ascii="Cambria" w:hAnsi="Cambria" w:cs="Helvetica Neue"/>
        </w:rPr>
        <w:t>CCKAR is w</w:t>
      </w:r>
      <w:r w:rsidR="0091001C">
        <w:rPr>
          <w:rFonts w:ascii="Cambria" w:hAnsi="Cambria" w:cs="Helvetica Neue"/>
        </w:rPr>
        <w:t>idely distributed in the CNS and plays an important role in CNS function by interacting with dopamine and neur</w:t>
      </w:r>
      <w:r w:rsidR="00EA6387">
        <w:rPr>
          <w:rFonts w:ascii="Cambria" w:hAnsi="Cambria" w:cs="Helvetica Neue"/>
        </w:rPr>
        <w:t>otransmitters. Since CCK</w:t>
      </w:r>
      <w:r>
        <w:rPr>
          <w:rFonts w:ascii="Cambria" w:hAnsi="Cambria" w:cs="Helvetica Neue"/>
        </w:rPr>
        <w:t>AR</w:t>
      </w:r>
      <w:r w:rsidR="00EA6387">
        <w:rPr>
          <w:rFonts w:ascii="Cambria" w:hAnsi="Cambria" w:cs="Helvetica Neue"/>
        </w:rPr>
        <w:t xml:space="preserve"> </w:t>
      </w:r>
      <w:r>
        <w:rPr>
          <w:rFonts w:ascii="Cambria" w:hAnsi="Cambria" w:cs="Helvetica Neue"/>
        </w:rPr>
        <w:t>is</w:t>
      </w:r>
      <w:r w:rsidR="0091001C">
        <w:rPr>
          <w:rFonts w:ascii="Cambria" w:hAnsi="Cambria" w:cs="Helvetica Neue"/>
        </w:rPr>
        <w:t xml:space="preserve"> abundant in the CNS it is consistent with </w:t>
      </w:r>
      <w:r>
        <w:rPr>
          <w:rFonts w:ascii="Cambria" w:hAnsi="Cambria" w:cs="Helvetica Neue"/>
        </w:rPr>
        <w:t xml:space="preserve">the various functions </w:t>
      </w:r>
      <w:r w:rsidR="0091001C">
        <w:rPr>
          <w:rFonts w:ascii="Cambria" w:hAnsi="Cambria" w:cs="Helvetica Neue"/>
        </w:rPr>
        <w:t xml:space="preserve">like regulation of satiety, learning and memory, </w:t>
      </w:r>
      <w:r w:rsidR="0091001C" w:rsidRPr="00CF73B6">
        <w:rPr>
          <w:rFonts w:ascii="Cambria" w:hAnsi="Cambria" w:cs="Helvetica Neue"/>
        </w:rPr>
        <w:t>analgesia, and neuropsychiatric disorders</w:t>
      </w:r>
      <w:r>
        <w:rPr>
          <w:rFonts w:ascii="Cambria" w:hAnsi="Cambria" w:cs="Helvetica Neue"/>
        </w:rPr>
        <w:t xml:space="preserve"> (Lin et al, 2013). </w:t>
      </w:r>
      <w:r w:rsidR="0091001C" w:rsidRPr="00CF73B6">
        <w:rPr>
          <w:rFonts w:ascii="Cambria" w:hAnsi="Cambria" w:cs="Helvetica Neue"/>
        </w:rPr>
        <w:t xml:space="preserve">When CCKAR is downregulated </w:t>
      </w:r>
      <w:r w:rsidR="00AB01BD" w:rsidRPr="00CF73B6">
        <w:rPr>
          <w:rFonts w:ascii="Cambria" w:hAnsi="Cambria" w:cs="Helvetica Neue"/>
        </w:rPr>
        <w:t>there is a dysfunction of the dopaminergic system</w:t>
      </w:r>
      <w:r w:rsidR="00EA6387" w:rsidRPr="00CF73B6">
        <w:rPr>
          <w:rFonts w:ascii="Cambria" w:hAnsi="Cambria" w:cs="Helvetica Neue"/>
        </w:rPr>
        <w:t>,</w:t>
      </w:r>
      <w:r w:rsidR="00AB01BD" w:rsidRPr="00CF73B6">
        <w:rPr>
          <w:rFonts w:ascii="Cambria" w:hAnsi="Cambria" w:cs="Helvetica Neue"/>
        </w:rPr>
        <w:t xml:space="preserve"> which contributes to the decline in cognitive functioning. </w:t>
      </w:r>
      <w:r w:rsidR="00712CAB">
        <w:rPr>
          <w:rFonts w:ascii="Cambria" w:hAnsi="Cambria" w:cs="Helvetica Neue"/>
        </w:rPr>
        <w:t>It is found that CCKAR is significantly downregulated in AD and is closely related to both the response to nutrients and neuroacti</w:t>
      </w:r>
      <w:r>
        <w:rPr>
          <w:rFonts w:ascii="Cambria" w:hAnsi="Cambria" w:cs="Helvetica Neue"/>
        </w:rPr>
        <w:t>ve ligand-receptor interaction. The most common pathway associated with DEGs is the neuroactive ligand</w:t>
      </w:r>
      <w:r w:rsidR="00712CAB" w:rsidRPr="00B01E5F">
        <w:rPr>
          <w:rFonts w:ascii="Cambria" w:hAnsi="Cambria" w:cs="Helvetica Neue"/>
        </w:rPr>
        <w:t xml:space="preserve">-receptor interaction </w:t>
      </w:r>
      <w:r>
        <w:rPr>
          <w:rFonts w:ascii="Cambria" w:hAnsi="Cambria" w:cs="Helvetica Neue"/>
        </w:rPr>
        <w:t>pathway. It is</w:t>
      </w:r>
      <w:r w:rsidR="00712CAB" w:rsidRPr="00B01E5F">
        <w:rPr>
          <w:rFonts w:ascii="Cambria" w:hAnsi="Cambria" w:cs="Helvetica Neue"/>
        </w:rPr>
        <w:t xml:space="preserve"> significantly </w:t>
      </w:r>
      <w:r>
        <w:rPr>
          <w:rFonts w:ascii="Cambria" w:hAnsi="Cambria" w:cs="Helvetica Neue"/>
        </w:rPr>
        <w:t>dysfunctional in AD. Two DEG</w:t>
      </w:r>
      <w:r w:rsidR="00712CAB" w:rsidRPr="00B01E5F">
        <w:rPr>
          <w:rFonts w:ascii="Cambria" w:hAnsi="Cambria" w:cs="Helvetica Neue"/>
        </w:rPr>
        <w:t>s (OPRM1 and OPRD1) in the opioid receptor family were enriched. Opioid receptors help with regulation of neurotransmitters and play a role in the patho</w:t>
      </w:r>
      <w:r w:rsidR="00590DF3">
        <w:rPr>
          <w:rFonts w:ascii="Cambria" w:hAnsi="Cambria" w:cs="Helvetica Neue"/>
        </w:rPr>
        <w:t xml:space="preserve">genesis of AD. </w:t>
      </w:r>
    </w:p>
    <w:p w14:paraId="68F2A23A" w14:textId="77777777" w:rsidR="003837B3" w:rsidRDefault="003837B3" w:rsidP="003E426C">
      <w:pPr>
        <w:spacing w:line="360" w:lineRule="auto"/>
        <w:ind w:firstLine="720"/>
        <w:rPr>
          <w:rFonts w:ascii="Cambria" w:hAnsi="Cambria" w:cs="Helvetica Neue"/>
        </w:rPr>
      </w:pPr>
    </w:p>
    <w:p w14:paraId="5F34FCB8" w14:textId="7B35E682" w:rsidR="003837B3" w:rsidRDefault="003837B3" w:rsidP="003E426C">
      <w:pPr>
        <w:spacing w:line="360" w:lineRule="auto"/>
        <w:ind w:firstLine="720"/>
        <w:rPr>
          <w:rFonts w:ascii="Cambria" w:hAnsi="Cambria" w:cs="Times"/>
        </w:rPr>
      </w:pPr>
      <w:r>
        <w:rPr>
          <w:rFonts w:ascii="Cambria" w:hAnsi="Cambria" w:cs="Helvetica Neue"/>
        </w:rPr>
        <w:t>Besides cerebrospinal fluid and blood, brain tissue is another way to check for biomarkers. There are altered gene expressions in the hippocampus that if identified can provide diagnostic factors and therapeutic targets for AD.</w:t>
      </w:r>
      <w:r>
        <w:rPr>
          <w:rFonts w:ascii="Cambria" w:hAnsi="Cambria" w:cs="Times"/>
        </w:rPr>
        <w:t xml:space="preserve"> The hippocampal CA1 pyramidial neurons are particularly vulnerable to neurdegeneration and bear NFTS during the early stages of AD </w:t>
      </w:r>
      <w:r w:rsidRPr="000C187F">
        <w:rPr>
          <w:rFonts w:ascii="Cambria" w:hAnsi="Cambria" w:cs="Times"/>
        </w:rPr>
        <w:t>(Hu et al, 2015)</w:t>
      </w:r>
      <w:r>
        <w:rPr>
          <w:rFonts w:ascii="Cambria" w:hAnsi="Cambria" w:cs="Times"/>
        </w:rPr>
        <w:t>. The underlying mechanism of degeneration is still unknown. Performing a GO enrichment analysis separated DEGs into three categories: Biological processes, cellular components, and molecular function. Of these three categories there were 2 significant genes in each. Biological processes shows genes associated with respiratory electron transport chain (GO:</w:t>
      </w:r>
      <w:r w:rsidRPr="00CF73B6">
        <w:rPr>
          <w:rFonts w:ascii="Cambria" w:hAnsi="Cambria" w:cs="Times"/>
        </w:rPr>
        <w:t xml:space="preserve"> 0022904</w:t>
      </w:r>
      <w:r>
        <w:rPr>
          <w:rFonts w:ascii="Cambria" w:hAnsi="Cambria" w:cs="Times"/>
        </w:rPr>
        <w:t xml:space="preserve">) </w:t>
      </w:r>
      <w:r w:rsidRPr="00CF73B6">
        <w:rPr>
          <w:rFonts w:ascii="Cambria" w:hAnsi="Cambria" w:cs="Times"/>
        </w:rPr>
        <w:t>and gluconeogenesis (GO: 0006094</w:t>
      </w:r>
      <w:r>
        <w:rPr>
          <w:rFonts w:ascii="Cambria" w:hAnsi="Cambria" w:cs="Times"/>
        </w:rPr>
        <w:t>) are signifi</w:t>
      </w:r>
      <w:r w:rsidRPr="00CF73B6">
        <w:rPr>
          <w:rFonts w:ascii="Cambria" w:hAnsi="Cambria" w:cs="Times"/>
        </w:rPr>
        <w:t>cantly enriched</w:t>
      </w:r>
      <w:r>
        <w:rPr>
          <w:rFonts w:ascii="Cambria" w:hAnsi="Cambria" w:cs="Times"/>
        </w:rPr>
        <w:t>. C</w:t>
      </w:r>
      <w:r w:rsidRPr="007F7808">
        <w:rPr>
          <w:rFonts w:ascii="Cambria" w:hAnsi="Cambria" w:cs="Times"/>
        </w:rPr>
        <w:t>ellular components</w:t>
      </w:r>
      <w:r>
        <w:rPr>
          <w:rFonts w:ascii="Cambria" w:hAnsi="Cambria" w:cs="Times"/>
        </w:rPr>
        <w:t xml:space="preserve"> shows genes associated with the cytoplasm (GO:0005737</w:t>
      </w:r>
      <w:r w:rsidRPr="007F7808">
        <w:rPr>
          <w:rFonts w:ascii="Cambria" w:hAnsi="Cambria" w:cs="Times"/>
        </w:rPr>
        <w:t>) and mitochondrion (GO: 0005739</w:t>
      </w:r>
      <w:r>
        <w:rPr>
          <w:rFonts w:ascii="Cambria" w:hAnsi="Cambria" w:cs="Times"/>
        </w:rPr>
        <w:t>) are signifi</w:t>
      </w:r>
      <w:r w:rsidRPr="007F7808">
        <w:rPr>
          <w:rFonts w:ascii="Cambria" w:hAnsi="Cambria" w:cs="Times"/>
        </w:rPr>
        <w:t>cantly enriched</w:t>
      </w:r>
      <w:r>
        <w:rPr>
          <w:rFonts w:ascii="Cambria" w:hAnsi="Cambria" w:cs="Times"/>
        </w:rPr>
        <w:t>. M</w:t>
      </w:r>
      <w:r w:rsidRPr="007F7808">
        <w:rPr>
          <w:rFonts w:ascii="Cambria" w:hAnsi="Cambria" w:cs="Times"/>
        </w:rPr>
        <w:t>olecular function</w:t>
      </w:r>
      <w:r>
        <w:rPr>
          <w:rFonts w:ascii="Cambria" w:hAnsi="Cambria" w:cs="Times"/>
        </w:rPr>
        <w:t xml:space="preserve"> shows genes related to </w:t>
      </w:r>
      <w:r w:rsidRPr="007F7808">
        <w:rPr>
          <w:rFonts w:ascii="Cambria" w:hAnsi="Cambria" w:cs="Times"/>
        </w:rPr>
        <w:t>protein binding (GO:0005515) and nucleotide binding (GO: 0000166</w:t>
      </w:r>
      <w:r>
        <w:rPr>
          <w:rFonts w:ascii="Cambria" w:hAnsi="Cambria" w:cs="Times"/>
        </w:rPr>
        <w:t>) are signifi</w:t>
      </w:r>
      <w:r w:rsidRPr="007F7808">
        <w:rPr>
          <w:rFonts w:ascii="Cambria" w:hAnsi="Cambria" w:cs="Times"/>
        </w:rPr>
        <w:t>cantly enriched</w:t>
      </w:r>
      <w:r>
        <w:rPr>
          <w:rFonts w:ascii="Cambria" w:hAnsi="Cambria" w:cs="Times"/>
        </w:rPr>
        <w:t xml:space="preserve"> [Figure 1]</w:t>
      </w:r>
      <w:r w:rsidRPr="007F7808">
        <w:rPr>
          <w:rFonts w:ascii="Cambria" w:hAnsi="Cambria" w:cs="Times"/>
        </w:rPr>
        <w:t xml:space="preserve"> </w:t>
      </w:r>
      <w:r w:rsidRPr="000C187F">
        <w:rPr>
          <w:rFonts w:ascii="Cambria" w:hAnsi="Cambria" w:cs="Times"/>
        </w:rPr>
        <w:t>(Hu et al, 2015)</w:t>
      </w:r>
      <w:r>
        <w:rPr>
          <w:rFonts w:ascii="Cambria" w:hAnsi="Cambria" w:cs="Times"/>
        </w:rPr>
        <w:t>.</w:t>
      </w:r>
    </w:p>
    <w:p w14:paraId="5DD90070" w14:textId="77777777" w:rsidR="003837B3" w:rsidRDefault="003837B3" w:rsidP="003E426C">
      <w:pPr>
        <w:spacing w:line="360" w:lineRule="auto"/>
        <w:ind w:firstLine="720"/>
        <w:rPr>
          <w:rFonts w:ascii="Cambria" w:hAnsi="Cambria" w:cs="Helvetica Neue"/>
        </w:rPr>
      </w:pPr>
    </w:p>
    <w:p w14:paraId="723FC7C7" w14:textId="740ADD80" w:rsidR="0096135C" w:rsidRPr="0096135C" w:rsidRDefault="0096135C" w:rsidP="003E426C">
      <w:pPr>
        <w:spacing w:line="360" w:lineRule="auto"/>
        <w:ind w:firstLine="720"/>
        <w:rPr>
          <w:rFonts w:ascii="Cambria" w:hAnsi="Cambria" w:cs="Times"/>
        </w:rPr>
      </w:pPr>
      <w:r w:rsidRPr="003837B3">
        <w:rPr>
          <w:rFonts w:ascii="Cambria" w:hAnsi="Cambria" w:cs="Times"/>
        </w:rPr>
        <w:t xml:space="preserve">According to functional similarity clustering, </w:t>
      </w:r>
      <w:r>
        <w:rPr>
          <w:rFonts w:ascii="Cambria" w:hAnsi="Cambria" w:cs="Times"/>
        </w:rPr>
        <w:t>the DEGs were</w:t>
      </w:r>
      <w:r w:rsidRPr="003837B3">
        <w:rPr>
          <w:rFonts w:ascii="Cambria" w:hAnsi="Cambria" w:cs="Times"/>
        </w:rPr>
        <w:t xml:space="preserve"> clustered into 5 functions including protein transport, RNA splicing, intracellular protein transport, regulation of cell motion,</w:t>
      </w:r>
      <w:r>
        <w:rPr>
          <w:rFonts w:ascii="Cambria" w:hAnsi="Cambria" w:cs="Times"/>
        </w:rPr>
        <w:t xml:space="preserve"> and protein complex assembly (Zhao, 2015). Bai et al showed that liquid chromatography-tandem mass spectrometry (LC-MS/MS) was used and reveal an enrichment of U1snRNP (small nuclear ribonucleoprotein) in AD. U1snRNP is a constituent of the spliceosome complex responsible for RNA processing and were found accumulated in neural cell bodies with AD. The functional consequence is reflected in widespread alterations in RNA processing, which plays a key role in AD pathogenesis (Bai et al, 2013). </w:t>
      </w:r>
    </w:p>
    <w:p w14:paraId="5405E940" w14:textId="77777777" w:rsidR="0096135C" w:rsidRDefault="0096135C" w:rsidP="003E426C">
      <w:pPr>
        <w:spacing w:line="360" w:lineRule="auto"/>
        <w:ind w:firstLine="720"/>
        <w:rPr>
          <w:rFonts w:ascii="Cambria" w:hAnsi="Cambria" w:cs="Helvetica Neue"/>
        </w:rPr>
      </w:pPr>
    </w:p>
    <w:p w14:paraId="1F3E5449" w14:textId="486FDD49" w:rsidR="0049547B" w:rsidRDefault="0096135C" w:rsidP="003E426C">
      <w:pPr>
        <w:spacing w:line="360" w:lineRule="auto"/>
        <w:ind w:firstLine="720"/>
        <w:rPr>
          <w:rFonts w:ascii="Cambria" w:hAnsi="Cambria" w:cs="Times"/>
        </w:rPr>
      </w:pPr>
      <w:r>
        <w:rPr>
          <w:rFonts w:ascii="Cambria" w:hAnsi="Cambria" w:cs="Helvetica Neue"/>
        </w:rPr>
        <w:t xml:space="preserve">The three different </w:t>
      </w:r>
      <w:r w:rsidR="009414E3">
        <w:rPr>
          <w:rFonts w:ascii="Cambria" w:hAnsi="Cambria" w:cs="Helvetica Neue"/>
        </w:rPr>
        <w:t>sources</w:t>
      </w:r>
      <w:r>
        <w:rPr>
          <w:rFonts w:ascii="Cambria" w:hAnsi="Cambria" w:cs="Helvetica Neue"/>
        </w:rPr>
        <w:t xml:space="preserve"> for biomarkers have allowed a variety of </w:t>
      </w:r>
      <w:r w:rsidR="009414E3">
        <w:rPr>
          <w:rFonts w:ascii="Cambria" w:hAnsi="Cambria" w:cs="Helvetica Neue"/>
        </w:rPr>
        <w:t>possible drug targets</w:t>
      </w:r>
      <w:r w:rsidRPr="0049547B">
        <w:rPr>
          <w:rFonts w:ascii="Cambria" w:hAnsi="Cambria" w:cs="Helvetica Neue"/>
        </w:rPr>
        <w:t xml:space="preserve"> to focus therapeutic treatments. There is also </w:t>
      </w:r>
      <w:r w:rsidR="006227E6" w:rsidRPr="0049547B">
        <w:rPr>
          <w:rFonts w:ascii="Cambria" w:hAnsi="Cambria" w:cs="Helvetica Neue"/>
        </w:rPr>
        <w:t>a new, non-invasive, cheap biomarker called Electroencephalography (EEG) that is not yet considered accurate enough for clinical practice. There are multiple EEG biomarkers related to activity in the beta-frequency range (13-30Hz) that can</w:t>
      </w:r>
      <w:r w:rsidR="00833F85">
        <w:rPr>
          <w:rFonts w:ascii="Cambria" w:hAnsi="Cambria" w:cs="Helvetica Neue"/>
        </w:rPr>
        <w:t>’</w:t>
      </w:r>
      <w:r w:rsidR="006227E6" w:rsidRPr="0049547B">
        <w:rPr>
          <w:rFonts w:ascii="Cambria" w:hAnsi="Cambria" w:cs="Helvetica Neue"/>
        </w:rPr>
        <w:t>t show conversion from Mild Cognitive Impairment (MCI) to AD</w:t>
      </w:r>
      <w:r w:rsidR="0049547B">
        <w:rPr>
          <w:rFonts w:ascii="Cambria" w:hAnsi="Cambria" w:cs="Helvetica Neue"/>
        </w:rPr>
        <w:t xml:space="preserve"> </w:t>
      </w:r>
      <w:r w:rsidR="0049547B" w:rsidRPr="0049547B">
        <w:rPr>
          <w:rFonts w:ascii="Cambria" w:hAnsi="Cambria" w:cs="Helvetica Neue"/>
        </w:rPr>
        <w:t>(Poil, 2013)</w:t>
      </w:r>
      <w:r w:rsidR="006227E6" w:rsidRPr="0049547B">
        <w:rPr>
          <w:rFonts w:ascii="Cambria" w:hAnsi="Cambria" w:cs="Helvetica Neue"/>
        </w:rPr>
        <w:t xml:space="preserve">. It has a </w:t>
      </w:r>
      <w:r w:rsidR="006227E6" w:rsidRPr="0049547B">
        <w:rPr>
          <w:rFonts w:ascii="Cambria" w:hAnsi="Cambria" w:cs="Times"/>
        </w:rPr>
        <w:t>sensitivity of 88% and speci</w:t>
      </w:r>
      <w:r w:rsidR="0049547B" w:rsidRPr="0049547B">
        <w:rPr>
          <w:rFonts w:ascii="Cambria" w:hAnsi="Cambria" w:cs="Times"/>
        </w:rPr>
        <w:t xml:space="preserve">ficity of 82%. </w:t>
      </w:r>
      <w:r w:rsidR="0049547B">
        <w:rPr>
          <w:rFonts w:ascii="Cambria" w:hAnsi="Cambria" w:cs="Times"/>
        </w:rPr>
        <w:t>It is not suggested to base therapies off EEG biomarkers, but in combination to other biomarkers it could be helpful and potentially reliable.</w:t>
      </w:r>
    </w:p>
    <w:p w14:paraId="5D665CE2" w14:textId="77777777" w:rsidR="00867A34" w:rsidRDefault="00867A34" w:rsidP="003E426C">
      <w:pPr>
        <w:spacing w:line="360" w:lineRule="auto"/>
        <w:ind w:firstLine="720"/>
        <w:rPr>
          <w:rFonts w:ascii="Cambria" w:hAnsi="Cambria" w:cs="Times"/>
        </w:rPr>
      </w:pPr>
    </w:p>
    <w:p w14:paraId="493DA817" w14:textId="0689253C" w:rsidR="00867A34" w:rsidRDefault="00867A34" w:rsidP="003E426C">
      <w:pPr>
        <w:spacing w:line="360" w:lineRule="auto"/>
        <w:ind w:firstLine="720"/>
        <w:rPr>
          <w:rFonts w:ascii="Cambria" w:hAnsi="Cambria" w:cs="Times"/>
        </w:rPr>
      </w:pPr>
      <w:r>
        <w:rPr>
          <w:rFonts w:ascii="Cambria" w:hAnsi="Cambria" w:cs="Times"/>
        </w:rPr>
        <w:t xml:space="preserve">Despite the optimism that arises with biomarkers, there are some challenges. Biomarkers must have maximized sensitivity and reliability. There are usually variations between laboratories and marker levels. There are worldwide efforts to commercialize assay platforms with automated, high-throughput capabilities to create standardization (Fagan, 2014). Also, depending on the medium chosen for the biomarker because CSF requires a lumbar puncture and is more invasive than a simple blood draw and brain tissue is obtained post mortem. </w:t>
      </w:r>
    </w:p>
    <w:p w14:paraId="306D2B17" w14:textId="77777777" w:rsidR="0049547B" w:rsidRDefault="0049547B" w:rsidP="003E426C">
      <w:pPr>
        <w:spacing w:line="360" w:lineRule="auto"/>
        <w:ind w:firstLine="720"/>
        <w:rPr>
          <w:rFonts w:ascii="Cambria" w:hAnsi="Cambria" w:cs="Times"/>
        </w:rPr>
      </w:pPr>
    </w:p>
    <w:p w14:paraId="32E26713" w14:textId="7B5FA5B8" w:rsidR="000579B5" w:rsidRDefault="00867A34" w:rsidP="000579B5">
      <w:pPr>
        <w:spacing w:line="360" w:lineRule="auto"/>
        <w:ind w:firstLine="720"/>
        <w:rPr>
          <w:rFonts w:ascii="Cambria" w:hAnsi="Cambria"/>
          <w:b/>
          <w:sz w:val="28"/>
          <w:szCs w:val="28"/>
        </w:rPr>
      </w:pPr>
      <w:r>
        <w:rPr>
          <w:rFonts w:ascii="Cambria" w:hAnsi="Cambria" w:cs="Times"/>
        </w:rPr>
        <w:t xml:space="preserve">Researchers are getting close to standardizing </w:t>
      </w:r>
      <w:r w:rsidR="00AA44DF">
        <w:rPr>
          <w:rFonts w:ascii="Cambria" w:hAnsi="Cambria" w:cs="Times"/>
        </w:rPr>
        <w:t>biomarkers. It is well known that aggregated Aβ</w:t>
      </w:r>
      <w:r w:rsidR="007B3D6A">
        <w:rPr>
          <w:rFonts w:ascii="Cambria" w:hAnsi="Cambria" w:cs="Times"/>
        </w:rPr>
        <w:t xml:space="preserve"> peptide and intrac</w:t>
      </w:r>
      <w:r w:rsidR="00AA44DF">
        <w:rPr>
          <w:rFonts w:ascii="Cambria" w:hAnsi="Cambria" w:cs="Times"/>
        </w:rPr>
        <w:t xml:space="preserve">ellular neurofibrillary tangles </w:t>
      </w:r>
      <w:r w:rsidR="007B3D6A">
        <w:rPr>
          <w:rFonts w:ascii="Cambria" w:hAnsi="Cambria" w:cs="Times"/>
        </w:rPr>
        <w:t>composed mainly of ptau</w:t>
      </w:r>
      <w:r w:rsidR="00833F85">
        <w:rPr>
          <w:rFonts w:ascii="Cambria" w:hAnsi="Cambria" w:cs="Times"/>
        </w:rPr>
        <w:t xml:space="preserve"> are markers for Alzheimer’s Disease</w:t>
      </w:r>
      <w:r w:rsidR="00AA44DF">
        <w:rPr>
          <w:rFonts w:ascii="Cambria" w:hAnsi="Cambria"/>
          <w:b/>
          <w:sz w:val="28"/>
          <w:szCs w:val="28"/>
        </w:rPr>
        <w:t xml:space="preserve">. </w:t>
      </w:r>
      <w:r w:rsidR="00AA44DF">
        <w:rPr>
          <w:rFonts w:ascii="Cambria" w:hAnsi="Cambria" w:cs="Times"/>
        </w:rPr>
        <w:t>The</w:t>
      </w:r>
      <w:r w:rsidR="007B3D6A" w:rsidRPr="00E43F90">
        <w:rPr>
          <w:rFonts w:ascii="Cambria" w:hAnsi="Cambria" w:cs="Times"/>
        </w:rPr>
        <w:t xml:space="preserve"> four </w:t>
      </w:r>
      <w:r w:rsidR="00AA44DF">
        <w:rPr>
          <w:rFonts w:ascii="Cambria" w:hAnsi="Cambria" w:cs="Times"/>
        </w:rPr>
        <w:t>main genes associated</w:t>
      </w:r>
      <w:r w:rsidR="00833F85">
        <w:rPr>
          <w:rFonts w:ascii="Cambria" w:hAnsi="Cambria" w:cs="Times"/>
        </w:rPr>
        <w:t xml:space="preserve"> are</w:t>
      </w:r>
      <w:r w:rsidR="007B3D6A" w:rsidRPr="00E43F90">
        <w:rPr>
          <w:rFonts w:ascii="Cambria" w:hAnsi="Cambria" w:cs="Times"/>
        </w:rPr>
        <w:t>: amy</w:t>
      </w:r>
      <w:r w:rsidR="007B3D6A">
        <w:rPr>
          <w:rFonts w:ascii="Cambria" w:hAnsi="Cambria" w:cs="Times"/>
        </w:rPr>
        <w:t xml:space="preserve">loid precursor protein (APP), presenilin 1 (PS1), presenilin 2 (PS2) </w:t>
      </w:r>
      <w:r w:rsidR="007B3D6A" w:rsidRPr="00E43F90">
        <w:rPr>
          <w:rFonts w:ascii="Cambria" w:hAnsi="Cambria" w:cs="Times"/>
        </w:rPr>
        <w:t>and apolipoprotein E (ApoE)</w:t>
      </w:r>
      <w:r w:rsidR="00AA44DF">
        <w:rPr>
          <w:rFonts w:ascii="Cambria" w:hAnsi="Cambria" w:cs="Times"/>
        </w:rPr>
        <w:t xml:space="preserve">. </w:t>
      </w:r>
      <w:r w:rsidR="00AA44DF">
        <w:rPr>
          <w:rFonts w:ascii="Cambria" w:hAnsi="Cambria" w:cs="Helvetica Neue"/>
        </w:rPr>
        <w:t>The</w:t>
      </w:r>
      <w:r w:rsidR="007B3D6A">
        <w:rPr>
          <w:rFonts w:ascii="Cambria" w:hAnsi="Cambria" w:cs="Helvetica Neue"/>
        </w:rPr>
        <w:t xml:space="preserve"> dysregulation </w:t>
      </w:r>
      <w:r w:rsidR="008B12F0">
        <w:rPr>
          <w:rFonts w:ascii="Cambria" w:hAnsi="Cambria" w:cs="Helvetica Neue"/>
        </w:rPr>
        <w:t>of</w:t>
      </w:r>
      <w:r w:rsidR="007B3D6A">
        <w:rPr>
          <w:rFonts w:ascii="Cambria" w:hAnsi="Cambria" w:cs="Helvetica Neue"/>
        </w:rPr>
        <w:t xml:space="preserve"> response to nutrient, muscle contraction and cellular homeostasis</w:t>
      </w:r>
      <w:r w:rsidR="008B12F0">
        <w:rPr>
          <w:rFonts w:ascii="Cambria" w:hAnsi="Cambria" w:cs="Helvetica Neue"/>
        </w:rPr>
        <w:t xml:space="preserve"> makes AD a complicated neurodegenerative disease</w:t>
      </w:r>
      <w:r w:rsidR="007B3D6A">
        <w:rPr>
          <w:rFonts w:ascii="Cambria" w:hAnsi="Cambria" w:cs="Helvetica Neue"/>
        </w:rPr>
        <w:t xml:space="preserve">. </w:t>
      </w:r>
      <w:r w:rsidR="00E621AA">
        <w:rPr>
          <w:rFonts w:ascii="Cambria" w:hAnsi="Cambria" w:cs="Helvetica Neue"/>
        </w:rPr>
        <w:t>With</w:t>
      </w:r>
      <w:r w:rsidR="00833F85">
        <w:rPr>
          <w:rFonts w:ascii="Cambria" w:hAnsi="Cambria" w:cs="Helvetica Neue"/>
        </w:rPr>
        <w:t xml:space="preserve"> more funding being spent</w:t>
      </w:r>
      <w:r w:rsidR="00E621AA">
        <w:rPr>
          <w:rFonts w:ascii="Cambria" w:hAnsi="Cambria" w:cs="Helvetica Neue"/>
        </w:rPr>
        <w:t xml:space="preserve"> on definitive diagnostic tests and therapy to halt the progression or delay the onset of AD, we have identified where and what</w:t>
      </w:r>
      <w:r w:rsidR="00833F85">
        <w:rPr>
          <w:rFonts w:ascii="Cambria" w:hAnsi="Cambria" w:cs="Helvetica Neue"/>
        </w:rPr>
        <w:t xml:space="preserve"> we should focus research on. Every publication is one step close to finding an answer and improving the quality of life for millions.</w:t>
      </w:r>
      <w:bookmarkStart w:id="0" w:name="_GoBack"/>
      <w:bookmarkEnd w:id="0"/>
    </w:p>
    <w:p w14:paraId="76202DB9" w14:textId="77777777" w:rsidR="00331088" w:rsidRDefault="000579B5" w:rsidP="000579B5">
      <w:pPr>
        <w:spacing w:line="360" w:lineRule="auto"/>
        <w:ind w:firstLine="720"/>
        <w:rPr>
          <w:rFonts w:ascii="Cambria" w:hAnsi="Cambria" w:cs="Helvetica Neue"/>
        </w:rPr>
      </w:pPr>
      <w:r>
        <w:rPr>
          <w:rFonts w:ascii="Cambria" w:hAnsi="Cambria"/>
          <w:b/>
          <w:sz w:val="28"/>
          <w:szCs w:val="28"/>
        </w:rPr>
        <w:br w:type="column"/>
      </w:r>
    </w:p>
    <w:p w14:paraId="764CD048" w14:textId="77777777" w:rsidR="001721C3" w:rsidRDefault="001721C3" w:rsidP="00D20763">
      <w:pPr>
        <w:widowControl w:val="0"/>
        <w:autoSpaceDE w:val="0"/>
        <w:autoSpaceDN w:val="0"/>
        <w:adjustRightInd w:val="0"/>
        <w:spacing w:line="360" w:lineRule="auto"/>
        <w:ind w:left="720" w:hanging="720"/>
        <w:rPr>
          <w:rFonts w:ascii="Cambria" w:hAnsi="Cambria" w:cs="Helvetica Neue"/>
        </w:rPr>
      </w:pPr>
    </w:p>
    <w:p w14:paraId="7BDF53D6" w14:textId="41A03858" w:rsidR="001721C3" w:rsidRDefault="001721C3" w:rsidP="001721C3">
      <w:pPr>
        <w:widowControl w:val="0"/>
        <w:autoSpaceDE w:val="0"/>
        <w:autoSpaceDN w:val="0"/>
        <w:adjustRightInd w:val="0"/>
        <w:spacing w:line="360" w:lineRule="auto"/>
        <w:ind w:left="720" w:hanging="720"/>
        <w:jc w:val="center"/>
        <w:rPr>
          <w:rFonts w:ascii="Cambria" w:hAnsi="Cambria" w:cs="Helvetica Neue"/>
          <w:b/>
          <w:sz w:val="28"/>
          <w:szCs w:val="28"/>
        </w:rPr>
      </w:pPr>
      <w:r w:rsidRPr="001721C3">
        <w:rPr>
          <w:rFonts w:ascii="Cambria" w:hAnsi="Cambria" w:cs="Helvetica Neue"/>
          <w:b/>
          <w:sz w:val="28"/>
          <w:szCs w:val="28"/>
        </w:rPr>
        <w:t>Figures</w:t>
      </w:r>
    </w:p>
    <w:p w14:paraId="6B097DA0" w14:textId="727B1896" w:rsidR="001721C3" w:rsidRPr="001721C3" w:rsidRDefault="001721C3" w:rsidP="001721C3">
      <w:pPr>
        <w:widowControl w:val="0"/>
        <w:autoSpaceDE w:val="0"/>
        <w:autoSpaceDN w:val="0"/>
        <w:adjustRightInd w:val="0"/>
        <w:spacing w:line="360" w:lineRule="auto"/>
        <w:ind w:left="720" w:hanging="720"/>
        <w:rPr>
          <w:rFonts w:ascii="Cambria" w:hAnsi="Cambria" w:cs="Helvetica Neue"/>
          <w:szCs w:val="28"/>
        </w:rPr>
      </w:pPr>
      <w:r w:rsidRPr="001721C3">
        <w:rPr>
          <w:rFonts w:ascii="Cambria" w:hAnsi="Cambria" w:cs="Helvetica Neue"/>
          <w:szCs w:val="28"/>
        </w:rPr>
        <w:t>Figure 1</w:t>
      </w:r>
      <w:r>
        <w:rPr>
          <w:rFonts w:ascii="Cambria" w:hAnsi="Cambria" w:cs="Helvetica Neue"/>
          <w:szCs w:val="28"/>
        </w:rPr>
        <w:t>:</w:t>
      </w:r>
    </w:p>
    <w:p w14:paraId="66255098" w14:textId="20D8A54F" w:rsidR="001721C3" w:rsidRDefault="001721C3" w:rsidP="001721C3">
      <w:pPr>
        <w:widowControl w:val="0"/>
        <w:autoSpaceDE w:val="0"/>
        <w:autoSpaceDN w:val="0"/>
        <w:adjustRightInd w:val="0"/>
        <w:spacing w:line="360" w:lineRule="auto"/>
        <w:ind w:left="720" w:hanging="720"/>
        <w:jc w:val="center"/>
        <w:rPr>
          <w:rFonts w:ascii="Cambria" w:hAnsi="Cambria" w:cs="Helvetica Neue"/>
          <w:szCs w:val="28"/>
        </w:rPr>
      </w:pPr>
      <w:r>
        <w:rPr>
          <w:rFonts w:ascii="Cambria" w:hAnsi="Cambria" w:cs="Helvetica Neue"/>
          <w:noProof/>
          <w:szCs w:val="28"/>
        </w:rPr>
        <w:drawing>
          <wp:inline distT="0" distB="0" distL="0" distR="0" wp14:anchorId="0E7DE371" wp14:editId="44AF4CDE">
            <wp:extent cx="4690827" cy="6363019"/>
            <wp:effectExtent l="0" t="0" r="8255" b="12700"/>
            <wp:docPr id="8" name="Picture 8" descr="Macintosh HD:Users:msumner:Desktop:Screen Shot 2016-01-28 at 7.5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sumner:Desktop:Screen Shot 2016-01-28 at 7.57.3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1161" cy="6363472"/>
                    </a:xfrm>
                    <a:prstGeom prst="rect">
                      <a:avLst/>
                    </a:prstGeom>
                    <a:noFill/>
                    <a:ln>
                      <a:noFill/>
                    </a:ln>
                  </pic:spPr>
                </pic:pic>
              </a:graphicData>
            </a:graphic>
          </wp:inline>
        </w:drawing>
      </w:r>
    </w:p>
    <w:p w14:paraId="776B1AA4" w14:textId="62E9F1FF" w:rsidR="001721C3" w:rsidRDefault="001721C3" w:rsidP="001721C3">
      <w:pPr>
        <w:widowControl w:val="0"/>
        <w:autoSpaceDE w:val="0"/>
        <w:autoSpaceDN w:val="0"/>
        <w:adjustRightInd w:val="0"/>
        <w:spacing w:line="360" w:lineRule="auto"/>
        <w:ind w:left="720" w:hanging="720"/>
        <w:jc w:val="center"/>
        <w:rPr>
          <w:rFonts w:ascii="Cambria" w:hAnsi="Cambria" w:cs="Helvetica Neue"/>
          <w:szCs w:val="28"/>
        </w:rPr>
      </w:pPr>
      <w:r>
        <w:rPr>
          <w:rFonts w:ascii="Cambria" w:hAnsi="Cambria" w:cs="Helvetica Neue"/>
          <w:szCs w:val="28"/>
        </w:rPr>
        <w:t>(Hu et al, 2015)</w:t>
      </w:r>
    </w:p>
    <w:p w14:paraId="79483548" w14:textId="77777777" w:rsidR="000579B5" w:rsidRPr="00E621AA" w:rsidRDefault="000579B5" w:rsidP="000579B5">
      <w:pPr>
        <w:spacing w:line="360" w:lineRule="auto"/>
        <w:ind w:firstLine="720"/>
        <w:rPr>
          <w:rFonts w:ascii="Cambria" w:hAnsi="Cambria" w:cs="Helvetica Neue"/>
        </w:rPr>
      </w:pPr>
    </w:p>
    <w:p w14:paraId="62310177" w14:textId="77777777" w:rsidR="000579B5" w:rsidRPr="00191F56" w:rsidRDefault="000579B5" w:rsidP="000579B5">
      <w:pPr>
        <w:ind w:left="540" w:hanging="540"/>
        <w:jc w:val="center"/>
        <w:rPr>
          <w:rFonts w:ascii="Cambria" w:hAnsi="Cambria"/>
          <w:b/>
          <w:sz w:val="28"/>
          <w:szCs w:val="28"/>
        </w:rPr>
      </w:pPr>
      <w:r w:rsidRPr="00191F56">
        <w:rPr>
          <w:rFonts w:ascii="Cambria" w:hAnsi="Cambria"/>
          <w:b/>
          <w:sz w:val="28"/>
          <w:szCs w:val="28"/>
        </w:rPr>
        <w:t>References</w:t>
      </w:r>
    </w:p>
    <w:p w14:paraId="0D122B3E" w14:textId="77777777" w:rsidR="000579B5" w:rsidRPr="00191F56" w:rsidRDefault="000579B5" w:rsidP="000579B5">
      <w:pPr>
        <w:ind w:left="540" w:hanging="540"/>
        <w:rPr>
          <w:rFonts w:ascii="Cambria" w:hAnsi="Cambria"/>
          <w:sz w:val="28"/>
          <w:szCs w:val="28"/>
        </w:rPr>
      </w:pPr>
    </w:p>
    <w:p w14:paraId="0D11AA6A" w14:textId="77777777" w:rsidR="000579B5" w:rsidRPr="00191F56" w:rsidRDefault="000579B5" w:rsidP="000579B5">
      <w:pPr>
        <w:ind w:left="540" w:hanging="540"/>
        <w:rPr>
          <w:rFonts w:ascii="Cambria" w:hAnsi="Cambria"/>
          <w:sz w:val="28"/>
          <w:szCs w:val="28"/>
        </w:rPr>
      </w:pPr>
    </w:p>
    <w:p w14:paraId="79C36385" w14:textId="77777777" w:rsidR="000579B5" w:rsidRPr="004E6C9A" w:rsidRDefault="000579B5" w:rsidP="000579B5">
      <w:pPr>
        <w:spacing w:line="360" w:lineRule="auto"/>
        <w:ind w:left="720" w:hanging="720"/>
        <w:rPr>
          <w:rFonts w:ascii="Cambria" w:hAnsi="Cambria" w:cs="Helvetica Neue"/>
        </w:rPr>
      </w:pPr>
      <w:r w:rsidRPr="00191F56">
        <w:rPr>
          <w:rFonts w:ascii="Cambria" w:hAnsi="Cambria" w:cs="Helvetica Neue"/>
        </w:rPr>
        <w:t>Bai, Bing</w:t>
      </w:r>
      <w:r w:rsidRPr="004E6C9A">
        <w:rPr>
          <w:rFonts w:ascii="Cambria" w:hAnsi="Cambria" w:cs="Helvetica Neue"/>
        </w:rPr>
        <w:t xml:space="preserve">, Chadwick Hales, Ping-Chung Chen, Yair Goal, et al. "U1 Small Nuclear Ribonucleoprotein Complex and RNA Splicing Alterations in Alzheimer’s Disease." </w:t>
      </w:r>
      <w:r w:rsidRPr="004E6C9A">
        <w:rPr>
          <w:rFonts w:ascii="Cambria" w:hAnsi="Cambria" w:cs="Helvetica Neue"/>
          <w:i/>
          <w:iCs/>
        </w:rPr>
        <w:t>Proceedings of the National Academy of Sciences</w:t>
      </w:r>
      <w:r w:rsidRPr="004E6C9A">
        <w:rPr>
          <w:rFonts w:ascii="Cambria" w:hAnsi="Cambria" w:cs="Helvetica Neue"/>
        </w:rPr>
        <w:t xml:space="preserve"> 110.41 (2013): 16562-6567. Print.</w:t>
      </w:r>
    </w:p>
    <w:p w14:paraId="57CDDC4D" w14:textId="77777777" w:rsidR="000579B5" w:rsidRPr="004E6C9A" w:rsidRDefault="000579B5" w:rsidP="000579B5">
      <w:pPr>
        <w:spacing w:line="360" w:lineRule="auto"/>
        <w:ind w:left="720" w:hanging="720"/>
        <w:rPr>
          <w:rFonts w:ascii="Cambria" w:hAnsi="Cambria" w:cs="Helvetica Neue"/>
        </w:rPr>
      </w:pPr>
    </w:p>
    <w:p w14:paraId="0F8960E6"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Cruchaga, Carlos, John S.K. Kauwe, Oscar Harari, Sheng Chih Jin, et al. "GWAS of Cerebrospinal Fluid Tau Levels Identifies Risk Variants for Alzheimer’s Disease." </w:t>
      </w:r>
      <w:r w:rsidRPr="004E6C9A">
        <w:rPr>
          <w:rFonts w:ascii="Cambria" w:hAnsi="Cambria" w:cs="Helvetica Neue"/>
          <w:i/>
          <w:iCs/>
        </w:rPr>
        <w:t>Neuron</w:t>
      </w:r>
      <w:r w:rsidRPr="004E6C9A">
        <w:rPr>
          <w:rFonts w:ascii="Cambria" w:hAnsi="Cambria" w:cs="Helvetica Neue"/>
        </w:rPr>
        <w:t xml:space="preserve"> 78 (2013): 256-68. Print.</w:t>
      </w:r>
    </w:p>
    <w:p w14:paraId="245712C0" w14:textId="77777777" w:rsidR="000579B5" w:rsidRPr="004E6C9A" w:rsidRDefault="000579B5" w:rsidP="000579B5">
      <w:pPr>
        <w:spacing w:line="360" w:lineRule="auto"/>
        <w:ind w:left="720" w:hanging="720"/>
        <w:rPr>
          <w:rFonts w:ascii="Cambria" w:hAnsi="Cambria" w:cs="Helvetica Neue"/>
        </w:rPr>
      </w:pPr>
    </w:p>
    <w:p w14:paraId="3B771642"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Fagan, Anne M. "CSF Biomarkers of Alzheimer’s Disease: Impact on Disease Concept, Diagnosis, and Clinical Trial Design." </w:t>
      </w:r>
      <w:r w:rsidRPr="004E6C9A">
        <w:rPr>
          <w:rFonts w:ascii="Cambria" w:hAnsi="Cambria" w:cs="Helvetica Neue"/>
          <w:i/>
          <w:iCs/>
        </w:rPr>
        <w:t>Advances in Geriatrics</w:t>
      </w:r>
      <w:r w:rsidRPr="004E6C9A">
        <w:rPr>
          <w:rFonts w:ascii="Cambria" w:hAnsi="Cambria" w:cs="Helvetica Neue"/>
        </w:rPr>
        <w:t xml:space="preserve"> 2014 (2014): 1-14. Print.</w:t>
      </w:r>
    </w:p>
    <w:p w14:paraId="629DB8E4" w14:textId="77777777" w:rsidR="000579B5" w:rsidRPr="004E6C9A" w:rsidRDefault="000579B5" w:rsidP="000579B5">
      <w:pPr>
        <w:spacing w:line="360" w:lineRule="auto"/>
        <w:ind w:left="720" w:hanging="720"/>
        <w:rPr>
          <w:rFonts w:ascii="Cambria" w:hAnsi="Cambria" w:cs="Helvetica Neue"/>
        </w:rPr>
      </w:pPr>
    </w:p>
    <w:p w14:paraId="57CAF7A4"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Fargo, Keith, and Laura Bleiler. "2014 Alzheimer’s Disease Facts and Figures." </w:t>
      </w:r>
      <w:r w:rsidRPr="004E6C9A">
        <w:rPr>
          <w:rFonts w:ascii="Cambria" w:hAnsi="Cambria" w:cs="Helvetica Neue"/>
          <w:i/>
          <w:iCs/>
        </w:rPr>
        <w:t>Alzheimer’s &amp; Dementia</w:t>
      </w:r>
      <w:r w:rsidRPr="004E6C9A">
        <w:rPr>
          <w:rFonts w:ascii="Cambria" w:hAnsi="Cambria" w:cs="Helvetica Neue"/>
        </w:rPr>
        <w:t xml:space="preserve"> 10 (2014): E47-92. Print.</w:t>
      </w:r>
    </w:p>
    <w:p w14:paraId="208B2F3D" w14:textId="77777777" w:rsidR="000579B5" w:rsidRPr="004E6C9A" w:rsidRDefault="000579B5" w:rsidP="000579B5">
      <w:pPr>
        <w:spacing w:line="360" w:lineRule="auto"/>
        <w:ind w:left="720" w:hanging="720"/>
        <w:rPr>
          <w:rFonts w:ascii="Cambria" w:hAnsi="Cambria" w:cs="Helvetica Neue"/>
        </w:rPr>
      </w:pPr>
    </w:p>
    <w:p w14:paraId="169FF6C7"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Feng, Bo, Peng Hu, Jinbo Chen, Qingxin Liu, Xizhi Li, and Yifeng Du. "Analysis of Differentially Expressed Genes Associated With Alzheimer’s Disease Based on Bioinformatics Methods." </w:t>
      </w:r>
      <w:r w:rsidRPr="004E6C9A">
        <w:rPr>
          <w:rFonts w:ascii="Cambria" w:hAnsi="Cambria" w:cs="Helvetica Neue"/>
          <w:i/>
          <w:iCs/>
        </w:rPr>
        <w:t>American Journal of Alzheimer’s Disease &amp; Other Dementias</w:t>
      </w:r>
      <w:r w:rsidRPr="004E6C9A">
        <w:rPr>
          <w:rFonts w:ascii="Cambria" w:hAnsi="Cambria" w:cs="Helvetica Neue"/>
        </w:rPr>
        <w:t xml:space="preserve"> (2014): 1-6. Print.</w:t>
      </w:r>
    </w:p>
    <w:p w14:paraId="11CAEBF0" w14:textId="77777777" w:rsidR="000579B5" w:rsidRPr="004E6C9A" w:rsidRDefault="000579B5" w:rsidP="000579B5">
      <w:pPr>
        <w:spacing w:line="360" w:lineRule="auto"/>
        <w:ind w:left="720" w:hanging="720"/>
        <w:rPr>
          <w:rFonts w:ascii="Cambria" w:hAnsi="Cambria" w:cs="Helvetica Neue"/>
        </w:rPr>
      </w:pPr>
    </w:p>
    <w:p w14:paraId="30CA2025"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Gu, Chao, and Ting Shen. "CDNA Microarray and Bioinformatic Analysis for the Identi Cation of Key Genes in Alzheimer's Disease." </w:t>
      </w:r>
      <w:r w:rsidRPr="004E6C9A">
        <w:rPr>
          <w:rFonts w:ascii="Cambria" w:hAnsi="Cambria" w:cs="Helvetica Neue"/>
          <w:i/>
          <w:iCs/>
        </w:rPr>
        <w:t>INTERNATIONAL JOURNAL OF MOLECULAR MEDICINE</w:t>
      </w:r>
      <w:r w:rsidRPr="004E6C9A">
        <w:rPr>
          <w:rFonts w:ascii="Cambria" w:hAnsi="Cambria" w:cs="Helvetica Neue"/>
        </w:rPr>
        <w:t xml:space="preserve"> 33 (2014): 457-61. Print.</w:t>
      </w:r>
    </w:p>
    <w:p w14:paraId="553FE9A2" w14:textId="77777777" w:rsidR="000579B5" w:rsidRPr="004E6C9A" w:rsidRDefault="000579B5" w:rsidP="000579B5">
      <w:pPr>
        <w:spacing w:line="360" w:lineRule="auto"/>
        <w:ind w:left="720" w:hanging="720"/>
        <w:rPr>
          <w:rFonts w:ascii="Cambria" w:hAnsi="Cambria" w:cs="Helvetica Neue"/>
        </w:rPr>
      </w:pPr>
    </w:p>
    <w:p w14:paraId="0FF2BC8D" w14:textId="77777777" w:rsidR="000579B5" w:rsidRPr="004E6C9A" w:rsidRDefault="000579B5" w:rsidP="000579B5">
      <w:pPr>
        <w:spacing w:line="360" w:lineRule="auto"/>
        <w:rPr>
          <w:rFonts w:ascii="Cambria" w:hAnsi="Cambria" w:cs="Helvetica Neue"/>
        </w:rPr>
      </w:pPr>
    </w:p>
    <w:p w14:paraId="6E3838BF"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Guerreiro, Rita, Aleksandra Wojtas, Minerva Crrasquillo, Ekaterina Rogaeva, et al. "TREM2 Variants in Alzheimer’s Disease." </w:t>
      </w:r>
      <w:r w:rsidRPr="004E6C9A">
        <w:rPr>
          <w:rFonts w:ascii="Cambria" w:hAnsi="Cambria" w:cs="Helvetica Neue"/>
          <w:i/>
          <w:iCs/>
        </w:rPr>
        <w:t>The New England Journal of Medicine</w:t>
      </w:r>
      <w:r w:rsidRPr="004E6C9A">
        <w:rPr>
          <w:rFonts w:ascii="Cambria" w:hAnsi="Cambria" w:cs="Helvetica Neue"/>
        </w:rPr>
        <w:t xml:space="preserve"> 368.3 (2013): 117-27. Print.</w:t>
      </w:r>
    </w:p>
    <w:p w14:paraId="7DE5FB2F" w14:textId="77777777" w:rsidR="000579B5" w:rsidRPr="004E6C9A" w:rsidRDefault="000579B5" w:rsidP="000579B5">
      <w:pPr>
        <w:spacing w:line="360" w:lineRule="auto"/>
        <w:ind w:left="720" w:hanging="720"/>
        <w:rPr>
          <w:rFonts w:ascii="Cambria" w:hAnsi="Cambria" w:cs="Helvetica Neue"/>
        </w:rPr>
      </w:pPr>
    </w:p>
    <w:p w14:paraId="7AE22764"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Hu, Wanhua, Xiaodong Lin, and Kelong Chen. "Integrated Analysis of Differential Gene Expression Pro Les in Hippocampi to Identify Candidate Genes Involved in Alzheimer's Disease." </w:t>
      </w:r>
      <w:r w:rsidRPr="004E6C9A">
        <w:rPr>
          <w:rFonts w:ascii="Cambria" w:hAnsi="Cambria" w:cs="Helvetica Neue"/>
          <w:i/>
          <w:iCs/>
        </w:rPr>
        <w:t>Molecular Medicine Reports</w:t>
      </w:r>
      <w:r w:rsidRPr="004E6C9A">
        <w:rPr>
          <w:rFonts w:ascii="Cambria" w:hAnsi="Cambria" w:cs="Helvetica Neue"/>
        </w:rPr>
        <w:t xml:space="preserve"> 12 (2015): 6679-687. Print.</w:t>
      </w:r>
    </w:p>
    <w:p w14:paraId="510E2821" w14:textId="77777777" w:rsidR="000579B5" w:rsidRPr="004E6C9A" w:rsidRDefault="000579B5" w:rsidP="000579B5">
      <w:pPr>
        <w:spacing w:line="360" w:lineRule="auto"/>
        <w:ind w:left="720" w:hanging="720"/>
        <w:rPr>
          <w:rFonts w:ascii="Cambria" w:hAnsi="Cambria"/>
        </w:rPr>
      </w:pPr>
    </w:p>
    <w:p w14:paraId="27265D1F"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Ling, Hang, Tao Zhang, Yuxian Wu, Yunxia Wang, Weiwen Wang, and Qingsong Wang. "Related Genes and Potential Biomarkers for Early Diagnosis of Alzheimer’s Disease: A Preliminary Study Based on DNA Microarray." </w:t>
      </w:r>
      <w:r w:rsidRPr="004E6C9A">
        <w:rPr>
          <w:rFonts w:ascii="Cambria" w:hAnsi="Cambria" w:cs="Helvetica Neue"/>
          <w:i/>
          <w:iCs/>
        </w:rPr>
        <w:t>American Journal of Alzheimer’s Disease &amp; Other Dementias</w:t>
      </w:r>
      <w:r w:rsidRPr="004E6C9A">
        <w:rPr>
          <w:rFonts w:ascii="Cambria" w:hAnsi="Cambria" w:cs="Helvetica Neue"/>
        </w:rPr>
        <w:t xml:space="preserve"> 0 (2013): 1-6. Print.</w:t>
      </w:r>
    </w:p>
    <w:p w14:paraId="05CF2DA8" w14:textId="77777777" w:rsidR="000579B5" w:rsidRPr="004E6C9A" w:rsidRDefault="000579B5" w:rsidP="000579B5">
      <w:pPr>
        <w:spacing w:line="360" w:lineRule="auto"/>
        <w:ind w:left="720" w:hanging="720"/>
        <w:rPr>
          <w:rFonts w:ascii="Cambria" w:hAnsi="Cambria"/>
        </w:rPr>
      </w:pPr>
    </w:p>
    <w:p w14:paraId="78172CC4"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Poil, Simon-Shlomo, Willem De Haan, Wiesje M. Van Der Flier, Huibert D. Mansvelder, Phillip Scheltens, and Klaus Linkenkaer-Hansen. "Integrative EEG Biomarkers Predict Progression to Alzheimer’s Disease at the MCI Stage." </w:t>
      </w:r>
      <w:r w:rsidRPr="004E6C9A">
        <w:rPr>
          <w:rFonts w:ascii="Cambria" w:hAnsi="Cambria" w:cs="Helvetica Neue"/>
          <w:i/>
          <w:iCs/>
        </w:rPr>
        <w:t>Frontiers in Aging Neuroscience</w:t>
      </w:r>
      <w:r w:rsidRPr="004E6C9A">
        <w:rPr>
          <w:rFonts w:ascii="Cambria" w:hAnsi="Cambria" w:cs="Helvetica Neue"/>
        </w:rPr>
        <w:t xml:space="preserve"> 5 (2013): 1-12. Print.</w:t>
      </w:r>
    </w:p>
    <w:p w14:paraId="2C1D57E3" w14:textId="77777777" w:rsidR="000579B5" w:rsidRPr="004E6C9A" w:rsidRDefault="000579B5" w:rsidP="000579B5">
      <w:pPr>
        <w:spacing w:line="360" w:lineRule="auto"/>
        <w:rPr>
          <w:rFonts w:ascii="Cambria" w:hAnsi="Cambria" w:cs="Helvetica Neue"/>
        </w:rPr>
      </w:pPr>
    </w:p>
    <w:p w14:paraId="7CC15C87" w14:textId="77777777" w:rsidR="000579B5" w:rsidRPr="004E6C9A" w:rsidRDefault="000579B5" w:rsidP="000579B5">
      <w:pPr>
        <w:spacing w:line="360" w:lineRule="auto"/>
        <w:ind w:left="720" w:hanging="720"/>
        <w:rPr>
          <w:rFonts w:ascii="Cambria" w:hAnsi="Cambria" w:cs="Helvetica Neue"/>
        </w:rPr>
      </w:pPr>
      <w:r w:rsidRPr="004E6C9A">
        <w:rPr>
          <w:rFonts w:ascii="Cambria" w:hAnsi="Cambria" w:cs="Helvetica Neue"/>
        </w:rPr>
        <w:t xml:space="preserve">Satoh, Jun-ichi, Yoji Yamamoto, Naohiro Asahina, Shouta Kitano, and Yoshihiro Kino. "RNA-Seq Data Mining: Downregulation of NeuroD6 Serves as a Possible Biomarker for Alzheimer’s Disease Brains." </w:t>
      </w:r>
      <w:r w:rsidRPr="004E6C9A">
        <w:rPr>
          <w:rFonts w:ascii="Cambria" w:hAnsi="Cambria" w:cs="Helvetica Neue"/>
          <w:i/>
          <w:iCs/>
        </w:rPr>
        <w:t>Disease Markers</w:t>
      </w:r>
      <w:r w:rsidRPr="004E6C9A">
        <w:rPr>
          <w:rFonts w:ascii="Cambria" w:hAnsi="Cambria" w:cs="Helvetica Neue"/>
        </w:rPr>
        <w:t xml:space="preserve"> 2014 (2014): 1-10. Print.</w:t>
      </w:r>
    </w:p>
    <w:p w14:paraId="2107A8AC" w14:textId="77777777" w:rsidR="000579B5" w:rsidRPr="004E6C9A" w:rsidRDefault="000579B5" w:rsidP="000579B5">
      <w:pPr>
        <w:spacing w:line="360" w:lineRule="auto"/>
        <w:ind w:left="720" w:hanging="720"/>
        <w:rPr>
          <w:rFonts w:ascii="Cambria" w:hAnsi="Cambria" w:cs="Helvetica Neue"/>
        </w:rPr>
      </w:pPr>
    </w:p>
    <w:p w14:paraId="192D48A2" w14:textId="1D90FC01" w:rsidR="000579B5" w:rsidRPr="000579B5" w:rsidRDefault="000579B5" w:rsidP="000579B5">
      <w:pPr>
        <w:widowControl w:val="0"/>
        <w:autoSpaceDE w:val="0"/>
        <w:autoSpaceDN w:val="0"/>
        <w:adjustRightInd w:val="0"/>
        <w:spacing w:line="360" w:lineRule="auto"/>
        <w:ind w:left="720" w:hanging="720"/>
        <w:rPr>
          <w:rFonts w:ascii="Cambria" w:hAnsi="Cambria" w:cs="Helvetica Neue"/>
        </w:rPr>
      </w:pPr>
      <w:r w:rsidRPr="004E6C9A">
        <w:rPr>
          <w:rFonts w:ascii="Cambria" w:hAnsi="Cambria" w:cs="Helvetica Neue"/>
        </w:rPr>
        <w:t xml:space="preserve">Zhao, Yanxin, Wei Tan, Wenhua Sheng, and Xiaohong Li. "Identification of Biomarkers Associated With Alzheimer’s Disease by Bioinformatics Analysis." </w:t>
      </w:r>
      <w:r w:rsidRPr="004E6C9A">
        <w:rPr>
          <w:rFonts w:ascii="Cambria" w:hAnsi="Cambria" w:cs="Helvetica Neue"/>
          <w:i/>
          <w:iCs/>
        </w:rPr>
        <w:t>American Journal of Alzheimer’s Disease &amp; Other Dementias</w:t>
      </w:r>
      <w:r w:rsidRPr="004E6C9A">
        <w:rPr>
          <w:rFonts w:ascii="Cambria" w:hAnsi="Cambria" w:cs="Helvetica Neue"/>
        </w:rPr>
        <w:t xml:space="preserve"> (2015): 1-6. Print.</w:t>
      </w:r>
    </w:p>
    <w:sectPr w:rsidR="000579B5" w:rsidRPr="000579B5" w:rsidSect="00CC199C">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98F6C" w14:textId="77777777" w:rsidR="009414E3" w:rsidRDefault="009414E3" w:rsidP="00680E99">
      <w:r>
        <w:separator/>
      </w:r>
    </w:p>
  </w:endnote>
  <w:endnote w:type="continuationSeparator" w:id="0">
    <w:p w14:paraId="03D3B3E1" w14:textId="77777777" w:rsidR="009414E3" w:rsidRDefault="009414E3" w:rsidP="00680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7197D" w14:textId="77777777" w:rsidR="009414E3" w:rsidRDefault="009414E3" w:rsidP="00BB10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677132" w14:textId="77777777" w:rsidR="009414E3" w:rsidRDefault="009414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98CA8" w14:textId="3E5EE403" w:rsidR="009414E3" w:rsidRDefault="009414E3" w:rsidP="00BB109A">
    <w:pPr>
      <w:pStyle w:val="Foot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833F85">
      <w:rPr>
        <w:rStyle w:val="PageNumber"/>
        <w:noProof/>
      </w:rPr>
      <w:t>1</w:t>
    </w:r>
    <w:r>
      <w:rPr>
        <w:rStyle w:val="PageNumber"/>
      </w:rPr>
      <w:fldChar w:fldCharType="end"/>
    </w:r>
    <w:r>
      <w:rPr>
        <w:rStyle w:val="PageNumber"/>
      </w:rPr>
      <w:t xml:space="preserve"> -</w:t>
    </w:r>
  </w:p>
  <w:p w14:paraId="22EE88F7" w14:textId="3185BE02" w:rsidR="009414E3" w:rsidRDefault="009414E3" w:rsidP="0093676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40B6B" w14:textId="77777777" w:rsidR="009414E3" w:rsidRDefault="009414E3" w:rsidP="00680E99">
      <w:r>
        <w:separator/>
      </w:r>
    </w:p>
  </w:footnote>
  <w:footnote w:type="continuationSeparator" w:id="0">
    <w:p w14:paraId="2F4E7061" w14:textId="77777777" w:rsidR="009414E3" w:rsidRDefault="009414E3" w:rsidP="00680E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87FDC" w14:textId="77777777" w:rsidR="009414E3" w:rsidRDefault="009414E3" w:rsidP="00680E99">
    <w:pPr>
      <w:pStyle w:val="Header"/>
      <w:jc w:val="right"/>
    </w:pPr>
    <w:r>
      <w:t>Meg Sumner</w:t>
    </w:r>
  </w:p>
  <w:p w14:paraId="563DFA74" w14:textId="77777777" w:rsidR="009414E3" w:rsidRDefault="009414E3" w:rsidP="00680E99">
    <w:pPr>
      <w:pStyle w:val="Header"/>
      <w:jc w:val="right"/>
    </w:pPr>
    <w:r>
      <w:t>Bioinformatics</w:t>
    </w:r>
  </w:p>
  <w:p w14:paraId="22BE24AF" w14:textId="77777777" w:rsidR="009414E3" w:rsidRDefault="009414E3" w:rsidP="00680E99">
    <w:pPr>
      <w:pStyle w:val="Header"/>
      <w:tabs>
        <w:tab w:val="left" w:pos="6059"/>
      </w:tabs>
    </w:pPr>
    <w:r>
      <w:tab/>
    </w:r>
    <w:r>
      <w:tab/>
    </w:r>
    <w:r>
      <w:tab/>
      <w:t>BI-880 : Direct Study</w:t>
    </w:r>
  </w:p>
  <w:p w14:paraId="1B7DDE53" w14:textId="77777777" w:rsidR="009414E3" w:rsidRDefault="009414E3" w:rsidP="00680E99">
    <w:pPr>
      <w:pStyle w:val="Header"/>
      <w:tabs>
        <w:tab w:val="left" w:pos="6059"/>
      </w:tabs>
    </w:pPr>
  </w:p>
  <w:p w14:paraId="739220AB" w14:textId="77777777" w:rsidR="009414E3" w:rsidRDefault="009414E3" w:rsidP="00680E99">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2040"/>
    <w:multiLevelType w:val="hybridMultilevel"/>
    <w:tmpl w:val="BB683990"/>
    <w:lvl w:ilvl="0" w:tplc="B5B46D58">
      <w:start w:val="1"/>
      <w:numFmt w:val="bullet"/>
      <w:lvlText w:val=""/>
      <w:lvlJc w:val="left"/>
      <w:pPr>
        <w:tabs>
          <w:tab w:val="num" w:pos="720"/>
        </w:tabs>
        <w:ind w:left="720" w:hanging="360"/>
      </w:pPr>
      <w:rPr>
        <w:rFonts w:ascii="Wingdings 2" w:hAnsi="Wingdings 2" w:hint="default"/>
      </w:rPr>
    </w:lvl>
    <w:lvl w:ilvl="1" w:tplc="37AA0794" w:tentative="1">
      <w:start w:val="1"/>
      <w:numFmt w:val="bullet"/>
      <w:lvlText w:val=""/>
      <w:lvlJc w:val="left"/>
      <w:pPr>
        <w:tabs>
          <w:tab w:val="num" w:pos="1440"/>
        </w:tabs>
        <w:ind w:left="1440" w:hanging="360"/>
      </w:pPr>
      <w:rPr>
        <w:rFonts w:ascii="Wingdings 2" w:hAnsi="Wingdings 2" w:hint="default"/>
      </w:rPr>
    </w:lvl>
    <w:lvl w:ilvl="2" w:tplc="F216C676" w:tentative="1">
      <w:start w:val="1"/>
      <w:numFmt w:val="bullet"/>
      <w:lvlText w:val=""/>
      <w:lvlJc w:val="left"/>
      <w:pPr>
        <w:tabs>
          <w:tab w:val="num" w:pos="2160"/>
        </w:tabs>
        <w:ind w:left="2160" w:hanging="360"/>
      </w:pPr>
      <w:rPr>
        <w:rFonts w:ascii="Wingdings 2" w:hAnsi="Wingdings 2" w:hint="default"/>
      </w:rPr>
    </w:lvl>
    <w:lvl w:ilvl="3" w:tplc="13C867A2" w:tentative="1">
      <w:start w:val="1"/>
      <w:numFmt w:val="bullet"/>
      <w:lvlText w:val=""/>
      <w:lvlJc w:val="left"/>
      <w:pPr>
        <w:tabs>
          <w:tab w:val="num" w:pos="2880"/>
        </w:tabs>
        <w:ind w:left="2880" w:hanging="360"/>
      </w:pPr>
      <w:rPr>
        <w:rFonts w:ascii="Wingdings 2" w:hAnsi="Wingdings 2" w:hint="default"/>
      </w:rPr>
    </w:lvl>
    <w:lvl w:ilvl="4" w:tplc="2E10638A" w:tentative="1">
      <w:start w:val="1"/>
      <w:numFmt w:val="bullet"/>
      <w:lvlText w:val=""/>
      <w:lvlJc w:val="left"/>
      <w:pPr>
        <w:tabs>
          <w:tab w:val="num" w:pos="3600"/>
        </w:tabs>
        <w:ind w:left="3600" w:hanging="360"/>
      </w:pPr>
      <w:rPr>
        <w:rFonts w:ascii="Wingdings 2" w:hAnsi="Wingdings 2" w:hint="default"/>
      </w:rPr>
    </w:lvl>
    <w:lvl w:ilvl="5" w:tplc="1F14A7A2" w:tentative="1">
      <w:start w:val="1"/>
      <w:numFmt w:val="bullet"/>
      <w:lvlText w:val=""/>
      <w:lvlJc w:val="left"/>
      <w:pPr>
        <w:tabs>
          <w:tab w:val="num" w:pos="4320"/>
        </w:tabs>
        <w:ind w:left="4320" w:hanging="360"/>
      </w:pPr>
      <w:rPr>
        <w:rFonts w:ascii="Wingdings 2" w:hAnsi="Wingdings 2" w:hint="default"/>
      </w:rPr>
    </w:lvl>
    <w:lvl w:ilvl="6" w:tplc="9B80F618" w:tentative="1">
      <w:start w:val="1"/>
      <w:numFmt w:val="bullet"/>
      <w:lvlText w:val=""/>
      <w:lvlJc w:val="left"/>
      <w:pPr>
        <w:tabs>
          <w:tab w:val="num" w:pos="5040"/>
        </w:tabs>
        <w:ind w:left="5040" w:hanging="360"/>
      </w:pPr>
      <w:rPr>
        <w:rFonts w:ascii="Wingdings 2" w:hAnsi="Wingdings 2" w:hint="default"/>
      </w:rPr>
    </w:lvl>
    <w:lvl w:ilvl="7" w:tplc="BE4AB45A" w:tentative="1">
      <w:start w:val="1"/>
      <w:numFmt w:val="bullet"/>
      <w:lvlText w:val=""/>
      <w:lvlJc w:val="left"/>
      <w:pPr>
        <w:tabs>
          <w:tab w:val="num" w:pos="5760"/>
        </w:tabs>
        <w:ind w:left="5760" w:hanging="360"/>
      </w:pPr>
      <w:rPr>
        <w:rFonts w:ascii="Wingdings 2" w:hAnsi="Wingdings 2" w:hint="default"/>
      </w:rPr>
    </w:lvl>
    <w:lvl w:ilvl="8" w:tplc="816EBFBA" w:tentative="1">
      <w:start w:val="1"/>
      <w:numFmt w:val="bullet"/>
      <w:lvlText w:val=""/>
      <w:lvlJc w:val="left"/>
      <w:pPr>
        <w:tabs>
          <w:tab w:val="num" w:pos="6480"/>
        </w:tabs>
        <w:ind w:left="6480" w:hanging="360"/>
      </w:pPr>
      <w:rPr>
        <w:rFonts w:ascii="Wingdings 2" w:hAnsi="Wingdings 2" w:hint="default"/>
      </w:rPr>
    </w:lvl>
  </w:abstractNum>
  <w:abstractNum w:abstractNumId="1">
    <w:nsid w:val="0F24148C"/>
    <w:multiLevelType w:val="hybridMultilevel"/>
    <w:tmpl w:val="0AE09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97531"/>
    <w:multiLevelType w:val="hybridMultilevel"/>
    <w:tmpl w:val="36BC1F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6A4E5C"/>
    <w:multiLevelType w:val="hybridMultilevel"/>
    <w:tmpl w:val="A5A65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DA22FB8"/>
    <w:multiLevelType w:val="hybridMultilevel"/>
    <w:tmpl w:val="B218D0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B21E8F"/>
    <w:multiLevelType w:val="hybridMultilevel"/>
    <w:tmpl w:val="43C06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B3CCA"/>
    <w:multiLevelType w:val="hybridMultilevel"/>
    <w:tmpl w:val="A6244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0A007A"/>
    <w:multiLevelType w:val="hybridMultilevel"/>
    <w:tmpl w:val="B066B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933C22"/>
    <w:multiLevelType w:val="hybridMultilevel"/>
    <w:tmpl w:val="670EFD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F9446AE"/>
    <w:multiLevelType w:val="hybridMultilevel"/>
    <w:tmpl w:val="72022DE4"/>
    <w:lvl w:ilvl="0" w:tplc="CF129C00">
      <w:start w:val="1"/>
      <w:numFmt w:val="bullet"/>
      <w:lvlText w:val=""/>
      <w:lvlJc w:val="left"/>
      <w:pPr>
        <w:tabs>
          <w:tab w:val="num" w:pos="720"/>
        </w:tabs>
        <w:ind w:left="720" w:hanging="360"/>
      </w:pPr>
      <w:rPr>
        <w:rFonts w:ascii="Wingdings 2" w:hAnsi="Wingdings 2" w:hint="default"/>
      </w:rPr>
    </w:lvl>
    <w:lvl w:ilvl="1" w:tplc="299A4440" w:tentative="1">
      <w:start w:val="1"/>
      <w:numFmt w:val="bullet"/>
      <w:lvlText w:val=""/>
      <w:lvlJc w:val="left"/>
      <w:pPr>
        <w:tabs>
          <w:tab w:val="num" w:pos="1440"/>
        </w:tabs>
        <w:ind w:left="1440" w:hanging="360"/>
      </w:pPr>
      <w:rPr>
        <w:rFonts w:ascii="Wingdings 2" w:hAnsi="Wingdings 2" w:hint="default"/>
      </w:rPr>
    </w:lvl>
    <w:lvl w:ilvl="2" w:tplc="9A6A49BA" w:tentative="1">
      <w:start w:val="1"/>
      <w:numFmt w:val="bullet"/>
      <w:lvlText w:val=""/>
      <w:lvlJc w:val="left"/>
      <w:pPr>
        <w:tabs>
          <w:tab w:val="num" w:pos="2160"/>
        </w:tabs>
        <w:ind w:left="2160" w:hanging="360"/>
      </w:pPr>
      <w:rPr>
        <w:rFonts w:ascii="Wingdings 2" w:hAnsi="Wingdings 2" w:hint="default"/>
      </w:rPr>
    </w:lvl>
    <w:lvl w:ilvl="3" w:tplc="BD307B92" w:tentative="1">
      <w:start w:val="1"/>
      <w:numFmt w:val="bullet"/>
      <w:lvlText w:val=""/>
      <w:lvlJc w:val="left"/>
      <w:pPr>
        <w:tabs>
          <w:tab w:val="num" w:pos="2880"/>
        </w:tabs>
        <w:ind w:left="2880" w:hanging="360"/>
      </w:pPr>
      <w:rPr>
        <w:rFonts w:ascii="Wingdings 2" w:hAnsi="Wingdings 2" w:hint="default"/>
      </w:rPr>
    </w:lvl>
    <w:lvl w:ilvl="4" w:tplc="0046F074" w:tentative="1">
      <w:start w:val="1"/>
      <w:numFmt w:val="bullet"/>
      <w:lvlText w:val=""/>
      <w:lvlJc w:val="left"/>
      <w:pPr>
        <w:tabs>
          <w:tab w:val="num" w:pos="3600"/>
        </w:tabs>
        <w:ind w:left="3600" w:hanging="360"/>
      </w:pPr>
      <w:rPr>
        <w:rFonts w:ascii="Wingdings 2" w:hAnsi="Wingdings 2" w:hint="default"/>
      </w:rPr>
    </w:lvl>
    <w:lvl w:ilvl="5" w:tplc="5706DAE8" w:tentative="1">
      <w:start w:val="1"/>
      <w:numFmt w:val="bullet"/>
      <w:lvlText w:val=""/>
      <w:lvlJc w:val="left"/>
      <w:pPr>
        <w:tabs>
          <w:tab w:val="num" w:pos="4320"/>
        </w:tabs>
        <w:ind w:left="4320" w:hanging="360"/>
      </w:pPr>
      <w:rPr>
        <w:rFonts w:ascii="Wingdings 2" w:hAnsi="Wingdings 2" w:hint="default"/>
      </w:rPr>
    </w:lvl>
    <w:lvl w:ilvl="6" w:tplc="7F0A35EC" w:tentative="1">
      <w:start w:val="1"/>
      <w:numFmt w:val="bullet"/>
      <w:lvlText w:val=""/>
      <w:lvlJc w:val="left"/>
      <w:pPr>
        <w:tabs>
          <w:tab w:val="num" w:pos="5040"/>
        </w:tabs>
        <w:ind w:left="5040" w:hanging="360"/>
      </w:pPr>
      <w:rPr>
        <w:rFonts w:ascii="Wingdings 2" w:hAnsi="Wingdings 2" w:hint="default"/>
      </w:rPr>
    </w:lvl>
    <w:lvl w:ilvl="7" w:tplc="2A1E1F10" w:tentative="1">
      <w:start w:val="1"/>
      <w:numFmt w:val="bullet"/>
      <w:lvlText w:val=""/>
      <w:lvlJc w:val="left"/>
      <w:pPr>
        <w:tabs>
          <w:tab w:val="num" w:pos="5760"/>
        </w:tabs>
        <w:ind w:left="5760" w:hanging="360"/>
      </w:pPr>
      <w:rPr>
        <w:rFonts w:ascii="Wingdings 2" w:hAnsi="Wingdings 2" w:hint="default"/>
      </w:rPr>
    </w:lvl>
    <w:lvl w:ilvl="8" w:tplc="21CA9B58" w:tentative="1">
      <w:start w:val="1"/>
      <w:numFmt w:val="bullet"/>
      <w:lvlText w:val=""/>
      <w:lvlJc w:val="left"/>
      <w:pPr>
        <w:tabs>
          <w:tab w:val="num" w:pos="6480"/>
        </w:tabs>
        <w:ind w:left="6480" w:hanging="360"/>
      </w:pPr>
      <w:rPr>
        <w:rFonts w:ascii="Wingdings 2" w:hAnsi="Wingdings 2" w:hint="default"/>
      </w:rPr>
    </w:lvl>
  </w:abstractNum>
  <w:num w:numId="1">
    <w:abstractNumId w:val="8"/>
  </w:num>
  <w:num w:numId="2">
    <w:abstractNumId w:val="5"/>
  </w:num>
  <w:num w:numId="3">
    <w:abstractNumId w:val="1"/>
  </w:num>
  <w:num w:numId="4">
    <w:abstractNumId w:val="2"/>
  </w:num>
  <w:num w:numId="5">
    <w:abstractNumId w:val="3"/>
  </w:num>
  <w:num w:numId="6">
    <w:abstractNumId w:val="6"/>
  </w:num>
  <w:num w:numId="7">
    <w:abstractNumId w:val="4"/>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50F"/>
    <w:rsid w:val="00000622"/>
    <w:rsid w:val="000229F9"/>
    <w:rsid w:val="00024720"/>
    <w:rsid w:val="000579B5"/>
    <w:rsid w:val="00095D98"/>
    <w:rsid w:val="000C1717"/>
    <w:rsid w:val="000C187F"/>
    <w:rsid w:val="000C3C7F"/>
    <w:rsid w:val="000E0B87"/>
    <w:rsid w:val="00102705"/>
    <w:rsid w:val="00121136"/>
    <w:rsid w:val="0014667A"/>
    <w:rsid w:val="001721C3"/>
    <w:rsid w:val="001858F4"/>
    <w:rsid w:val="00191F56"/>
    <w:rsid w:val="00192789"/>
    <w:rsid w:val="001B0BFF"/>
    <w:rsid w:val="00205D41"/>
    <w:rsid w:val="002178DA"/>
    <w:rsid w:val="0022750D"/>
    <w:rsid w:val="0023516A"/>
    <w:rsid w:val="002362B2"/>
    <w:rsid w:val="00245F5D"/>
    <w:rsid w:val="0025680E"/>
    <w:rsid w:val="00266496"/>
    <w:rsid w:val="00280653"/>
    <w:rsid w:val="00281B0C"/>
    <w:rsid w:val="00291EE4"/>
    <w:rsid w:val="002C1578"/>
    <w:rsid w:val="002E784E"/>
    <w:rsid w:val="002E7E86"/>
    <w:rsid w:val="00300734"/>
    <w:rsid w:val="003032E8"/>
    <w:rsid w:val="00305E2B"/>
    <w:rsid w:val="00306673"/>
    <w:rsid w:val="003179AE"/>
    <w:rsid w:val="00331088"/>
    <w:rsid w:val="00355C65"/>
    <w:rsid w:val="003643B1"/>
    <w:rsid w:val="00371711"/>
    <w:rsid w:val="00376303"/>
    <w:rsid w:val="00380F58"/>
    <w:rsid w:val="003837B3"/>
    <w:rsid w:val="003A774F"/>
    <w:rsid w:val="003B28EB"/>
    <w:rsid w:val="003D2A97"/>
    <w:rsid w:val="003E426C"/>
    <w:rsid w:val="003F2409"/>
    <w:rsid w:val="004167B6"/>
    <w:rsid w:val="00451518"/>
    <w:rsid w:val="0045564E"/>
    <w:rsid w:val="00460B86"/>
    <w:rsid w:val="00462418"/>
    <w:rsid w:val="0049547B"/>
    <w:rsid w:val="004B5628"/>
    <w:rsid w:val="004C32D9"/>
    <w:rsid w:val="004D2AE6"/>
    <w:rsid w:val="004E6C9A"/>
    <w:rsid w:val="00503A1E"/>
    <w:rsid w:val="00522A11"/>
    <w:rsid w:val="00537A7A"/>
    <w:rsid w:val="005854B7"/>
    <w:rsid w:val="00590DF3"/>
    <w:rsid w:val="00597150"/>
    <w:rsid w:val="005A34CD"/>
    <w:rsid w:val="005A5BC0"/>
    <w:rsid w:val="005B5B3A"/>
    <w:rsid w:val="005D0875"/>
    <w:rsid w:val="005E1563"/>
    <w:rsid w:val="00610822"/>
    <w:rsid w:val="006227E6"/>
    <w:rsid w:val="00637AD3"/>
    <w:rsid w:val="0065263D"/>
    <w:rsid w:val="00655EE8"/>
    <w:rsid w:val="00660BED"/>
    <w:rsid w:val="00680E99"/>
    <w:rsid w:val="006C042D"/>
    <w:rsid w:val="006C6995"/>
    <w:rsid w:val="006C7C3D"/>
    <w:rsid w:val="006D677F"/>
    <w:rsid w:val="007050F8"/>
    <w:rsid w:val="00712CAB"/>
    <w:rsid w:val="007165DA"/>
    <w:rsid w:val="00731549"/>
    <w:rsid w:val="00732842"/>
    <w:rsid w:val="0073440E"/>
    <w:rsid w:val="007901EC"/>
    <w:rsid w:val="0079150C"/>
    <w:rsid w:val="0079496E"/>
    <w:rsid w:val="0079540A"/>
    <w:rsid w:val="007A2BF8"/>
    <w:rsid w:val="007B3D6A"/>
    <w:rsid w:val="007D21A8"/>
    <w:rsid w:val="007F66FD"/>
    <w:rsid w:val="007F7808"/>
    <w:rsid w:val="0080214D"/>
    <w:rsid w:val="00813A76"/>
    <w:rsid w:val="00833F85"/>
    <w:rsid w:val="008408CF"/>
    <w:rsid w:val="008474FB"/>
    <w:rsid w:val="00847E93"/>
    <w:rsid w:val="008512E3"/>
    <w:rsid w:val="00867A34"/>
    <w:rsid w:val="00875863"/>
    <w:rsid w:val="00877861"/>
    <w:rsid w:val="0089464C"/>
    <w:rsid w:val="008B12F0"/>
    <w:rsid w:val="008B7ACE"/>
    <w:rsid w:val="008D0885"/>
    <w:rsid w:val="008D75AB"/>
    <w:rsid w:val="008F2282"/>
    <w:rsid w:val="008F6A88"/>
    <w:rsid w:val="0091001C"/>
    <w:rsid w:val="0093676A"/>
    <w:rsid w:val="009414E3"/>
    <w:rsid w:val="00942B8E"/>
    <w:rsid w:val="00954DA9"/>
    <w:rsid w:val="0096135C"/>
    <w:rsid w:val="00975D7A"/>
    <w:rsid w:val="00982F39"/>
    <w:rsid w:val="00991E37"/>
    <w:rsid w:val="009A356A"/>
    <w:rsid w:val="009B7DD3"/>
    <w:rsid w:val="009C4497"/>
    <w:rsid w:val="009E3B5C"/>
    <w:rsid w:val="009E3C65"/>
    <w:rsid w:val="00A1534C"/>
    <w:rsid w:val="00A50A87"/>
    <w:rsid w:val="00A65958"/>
    <w:rsid w:val="00A8732D"/>
    <w:rsid w:val="00A91D13"/>
    <w:rsid w:val="00A94D32"/>
    <w:rsid w:val="00AA44DF"/>
    <w:rsid w:val="00AB01BD"/>
    <w:rsid w:val="00AC32DD"/>
    <w:rsid w:val="00AD3E87"/>
    <w:rsid w:val="00AE6B8C"/>
    <w:rsid w:val="00AF3113"/>
    <w:rsid w:val="00B01E5F"/>
    <w:rsid w:val="00B05B4A"/>
    <w:rsid w:val="00B2050F"/>
    <w:rsid w:val="00B318A2"/>
    <w:rsid w:val="00B463C7"/>
    <w:rsid w:val="00BA3F95"/>
    <w:rsid w:val="00BB109A"/>
    <w:rsid w:val="00BB1867"/>
    <w:rsid w:val="00BC6DB2"/>
    <w:rsid w:val="00C007E1"/>
    <w:rsid w:val="00C1077A"/>
    <w:rsid w:val="00C1701B"/>
    <w:rsid w:val="00C35388"/>
    <w:rsid w:val="00C43087"/>
    <w:rsid w:val="00C6425A"/>
    <w:rsid w:val="00C8241B"/>
    <w:rsid w:val="00CA4B34"/>
    <w:rsid w:val="00CC199C"/>
    <w:rsid w:val="00CC7110"/>
    <w:rsid w:val="00CD46BA"/>
    <w:rsid w:val="00CE76F0"/>
    <w:rsid w:val="00CF73B6"/>
    <w:rsid w:val="00CF7FE8"/>
    <w:rsid w:val="00D17ACD"/>
    <w:rsid w:val="00D20763"/>
    <w:rsid w:val="00D21EA2"/>
    <w:rsid w:val="00D245F8"/>
    <w:rsid w:val="00D32197"/>
    <w:rsid w:val="00D333C9"/>
    <w:rsid w:val="00D657FE"/>
    <w:rsid w:val="00D67741"/>
    <w:rsid w:val="00D75201"/>
    <w:rsid w:val="00D924D0"/>
    <w:rsid w:val="00DA1F3C"/>
    <w:rsid w:val="00DA67F6"/>
    <w:rsid w:val="00DC210F"/>
    <w:rsid w:val="00DC58DA"/>
    <w:rsid w:val="00DD7779"/>
    <w:rsid w:val="00DE4E12"/>
    <w:rsid w:val="00DF274D"/>
    <w:rsid w:val="00DF76BF"/>
    <w:rsid w:val="00E10A25"/>
    <w:rsid w:val="00E25397"/>
    <w:rsid w:val="00E25A26"/>
    <w:rsid w:val="00E32977"/>
    <w:rsid w:val="00E43F90"/>
    <w:rsid w:val="00E56FB4"/>
    <w:rsid w:val="00E621AA"/>
    <w:rsid w:val="00E653DC"/>
    <w:rsid w:val="00EA6387"/>
    <w:rsid w:val="00EB4968"/>
    <w:rsid w:val="00EB7173"/>
    <w:rsid w:val="00EC6894"/>
    <w:rsid w:val="00ED53BD"/>
    <w:rsid w:val="00EE6886"/>
    <w:rsid w:val="00F51494"/>
    <w:rsid w:val="00F5728A"/>
    <w:rsid w:val="00F75722"/>
    <w:rsid w:val="00F85107"/>
    <w:rsid w:val="00F854F6"/>
    <w:rsid w:val="00FC5C36"/>
    <w:rsid w:val="00FE4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66B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E99"/>
    <w:pPr>
      <w:tabs>
        <w:tab w:val="center" w:pos="4320"/>
        <w:tab w:val="right" w:pos="8640"/>
      </w:tabs>
    </w:pPr>
  </w:style>
  <w:style w:type="character" w:customStyle="1" w:styleId="HeaderChar">
    <w:name w:val="Header Char"/>
    <w:basedOn w:val="DefaultParagraphFont"/>
    <w:link w:val="Header"/>
    <w:uiPriority w:val="99"/>
    <w:rsid w:val="00680E99"/>
  </w:style>
  <w:style w:type="paragraph" w:styleId="Footer">
    <w:name w:val="footer"/>
    <w:basedOn w:val="Normal"/>
    <w:link w:val="FooterChar"/>
    <w:uiPriority w:val="99"/>
    <w:unhideWhenUsed/>
    <w:rsid w:val="00680E99"/>
    <w:pPr>
      <w:tabs>
        <w:tab w:val="center" w:pos="4320"/>
        <w:tab w:val="right" w:pos="8640"/>
      </w:tabs>
    </w:pPr>
  </w:style>
  <w:style w:type="character" w:customStyle="1" w:styleId="FooterChar">
    <w:name w:val="Footer Char"/>
    <w:basedOn w:val="DefaultParagraphFont"/>
    <w:link w:val="Footer"/>
    <w:uiPriority w:val="99"/>
    <w:rsid w:val="00680E99"/>
  </w:style>
  <w:style w:type="character" w:styleId="PageNumber">
    <w:name w:val="page number"/>
    <w:basedOn w:val="DefaultParagraphFont"/>
    <w:uiPriority w:val="99"/>
    <w:semiHidden/>
    <w:unhideWhenUsed/>
    <w:rsid w:val="0093676A"/>
  </w:style>
  <w:style w:type="paragraph" w:styleId="BalloonText">
    <w:name w:val="Balloon Text"/>
    <w:basedOn w:val="Normal"/>
    <w:link w:val="BalloonTextChar"/>
    <w:uiPriority w:val="99"/>
    <w:semiHidden/>
    <w:unhideWhenUsed/>
    <w:rsid w:val="00B05B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B4A"/>
    <w:rPr>
      <w:rFonts w:ascii="Lucida Grande" w:hAnsi="Lucida Grande" w:cs="Lucida Grande"/>
      <w:sz w:val="18"/>
      <w:szCs w:val="18"/>
    </w:rPr>
  </w:style>
  <w:style w:type="paragraph" w:styleId="ListParagraph">
    <w:name w:val="List Paragraph"/>
    <w:basedOn w:val="Normal"/>
    <w:uiPriority w:val="34"/>
    <w:qFormat/>
    <w:rsid w:val="00ED53BD"/>
    <w:pPr>
      <w:spacing w:after="200"/>
      <w:ind w:left="720"/>
      <w:contextualSpacing/>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E99"/>
    <w:pPr>
      <w:tabs>
        <w:tab w:val="center" w:pos="4320"/>
        <w:tab w:val="right" w:pos="8640"/>
      </w:tabs>
    </w:pPr>
  </w:style>
  <w:style w:type="character" w:customStyle="1" w:styleId="HeaderChar">
    <w:name w:val="Header Char"/>
    <w:basedOn w:val="DefaultParagraphFont"/>
    <w:link w:val="Header"/>
    <w:uiPriority w:val="99"/>
    <w:rsid w:val="00680E99"/>
  </w:style>
  <w:style w:type="paragraph" w:styleId="Footer">
    <w:name w:val="footer"/>
    <w:basedOn w:val="Normal"/>
    <w:link w:val="FooterChar"/>
    <w:uiPriority w:val="99"/>
    <w:unhideWhenUsed/>
    <w:rsid w:val="00680E99"/>
    <w:pPr>
      <w:tabs>
        <w:tab w:val="center" w:pos="4320"/>
        <w:tab w:val="right" w:pos="8640"/>
      </w:tabs>
    </w:pPr>
  </w:style>
  <w:style w:type="character" w:customStyle="1" w:styleId="FooterChar">
    <w:name w:val="Footer Char"/>
    <w:basedOn w:val="DefaultParagraphFont"/>
    <w:link w:val="Footer"/>
    <w:uiPriority w:val="99"/>
    <w:rsid w:val="00680E99"/>
  </w:style>
  <w:style w:type="character" w:styleId="PageNumber">
    <w:name w:val="page number"/>
    <w:basedOn w:val="DefaultParagraphFont"/>
    <w:uiPriority w:val="99"/>
    <w:semiHidden/>
    <w:unhideWhenUsed/>
    <w:rsid w:val="0093676A"/>
  </w:style>
  <w:style w:type="paragraph" w:styleId="BalloonText">
    <w:name w:val="Balloon Text"/>
    <w:basedOn w:val="Normal"/>
    <w:link w:val="BalloonTextChar"/>
    <w:uiPriority w:val="99"/>
    <w:semiHidden/>
    <w:unhideWhenUsed/>
    <w:rsid w:val="00B05B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B4A"/>
    <w:rPr>
      <w:rFonts w:ascii="Lucida Grande" w:hAnsi="Lucida Grande" w:cs="Lucida Grande"/>
      <w:sz w:val="18"/>
      <w:szCs w:val="18"/>
    </w:rPr>
  </w:style>
  <w:style w:type="paragraph" w:styleId="ListParagraph">
    <w:name w:val="List Paragraph"/>
    <w:basedOn w:val="Normal"/>
    <w:uiPriority w:val="34"/>
    <w:qFormat/>
    <w:rsid w:val="00ED53BD"/>
    <w:pPr>
      <w:spacing w:after="200"/>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043692">
      <w:bodyDiv w:val="1"/>
      <w:marLeft w:val="0"/>
      <w:marRight w:val="0"/>
      <w:marTop w:val="0"/>
      <w:marBottom w:val="0"/>
      <w:divBdr>
        <w:top w:val="none" w:sz="0" w:space="0" w:color="auto"/>
        <w:left w:val="none" w:sz="0" w:space="0" w:color="auto"/>
        <w:bottom w:val="none" w:sz="0" w:space="0" w:color="auto"/>
        <w:right w:val="none" w:sz="0" w:space="0" w:color="auto"/>
      </w:divBdr>
      <w:divsChild>
        <w:div w:id="730999914">
          <w:marLeft w:val="432"/>
          <w:marRight w:val="0"/>
          <w:marTop w:val="120"/>
          <w:marBottom w:val="0"/>
          <w:divBdr>
            <w:top w:val="none" w:sz="0" w:space="0" w:color="auto"/>
            <w:left w:val="none" w:sz="0" w:space="0" w:color="auto"/>
            <w:bottom w:val="none" w:sz="0" w:space="0" w:color="auto"/>
            <w:right w:val="none" w:sz="0" w:space="0" w:color="auto"/>
          </w:divBdr>
        </w:div>
        <w:div w:id="381827652">
          <w:marLeft w:val="432"/>
          <w:marRight w:val="0"/>
          <w:marTop w:val="120"/>
          <w:marBottom w:val="0"/>
          <w:divBdr>
            <w:top w:val="none" w:sz="0" w:space="0" w:color="auto"/>
            <w:left w:val="none" w:sz="0" w:space="0" w:color="auto"/>
            <w:bottom w:val="none" w:sz="0" w:space="0" w:color="auto"/>
            <w:right w:val="none" w:sz="0" w:space="0" w:color="auto"/>
          </w:divBdr>
        </w:div>
        <w:div w:id="1050349533">
          <w:marLeft w:val="432"/>
          <w:marRight w:val="0"/>
          <w:marTop w:val="120"/>
          <w:marBottom w:val="0"/>
          <w:divBdr>
            <w:top w:val="none" w:sz="0" w:space="0" w:color="auto"/>
            <w:left w:val="none" w:sz="0" w:space="0" w:color="auto"/>
            <w:bottom w:val="none" w:sz="0" w:space="0" w:color="auto"/>
            <w:right w:val="none" w:sz="0" w:space="0" w:color="auto"/>
          </w:divBdr>
        </w:div>
        <w:div w:id="1622229542">
          <w:marLeft w:val="432"/>
          <w:marRight w:val="0"/>
          <w:marTop w:val="120"/>
          <w:marBottom w:val="0"/>
          <w:divBdr>
            <w:top w:val="none" w:sz="0" w:space="0" w:color="auto"/>
            <w:left w:val="none" w:sz="0" w:space="0" w:color="auto"/>
            <w:bottom w:val="none" w:sz="0" w:space="0" w:color="auto"/>
            <w:right w:val="none" w:sz="0" w:space="0" w:color="auto"/>
          </w:divBdr>
        </w:div>
      </w:divsChild>
    </w:div>
    <w:div w:id="1176967499">
      <w:bodyDiv w:val="1"/>
      <w:marLeft w:val="0"/>
      <w:marRight w:val="0"/>
      <w:marTop w:val="0"/>
      <w:marBottom w:val="0"/>
      <w:divBdr>
        <w:top w:val="none" w:sz="0" w:space="0" w:color="auto"/>
        <w:left w:val="none" w:sz="0" w:space="0" w:color="auto"/>
        <w:bottom w:val="none" w:sz="0" w:space="0" w:color="auto"/>
        <w:right w:val="none" w:sz="0" w:space="0" w:color="auto"/>
      </w:divBdr>
      <w:divsChild>
        <w:div w:id="1917858382">
          <w:marLeft w:val="432"/>
          <w:marRight w:val="0"/>
          <w:marTop w:val="130"/>
          <w:marBottom w:val="0"/>
          <w:divBdr>
            <w:top w:val="none" w:sz="0" w:space="0" w:color="auto"/>
            <w:left w:val="none" w:sz="0" w:space="0" w:color="auto"/>
            <w:bottom w:val="none" w:sz="0" w:space="0" w:color="auto"/>
            <w:right w:val="none" w:sz="0" w:space="0" w:color="auto"/>
          </w:divBdr>
        </w:div>
        <w:div w:id="559100823">
          <w:marLeft w:val="432"/>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2304</Words>
  <Characters>13138</Characters>
  <Application>Microsoft Macintosh Word</Application>
  <DocSecurity>0</DocSecurity>
  <Lines>109</Lines>
  <Paragraphs>30</Paragraphs>
  <ScaleCrop>false</ScaleCrop>
  <Company/>
  <LinksUpToDate>false</LinksUpToDate>
  <CharactersWithSpaces>15412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Meg</cp:lastModifiedBy>
  <cp:revision>47</cp:revision>
  <dcterms:created xsi:type="dcterms:W3CDTF">2016-01-27T20:16:00Z</dcterms:created>
  <dcterms:modified xsi:type="dcterms:W3CDTF">2016-01-29T04:24:00Z</dcterms:modified>
</cp:coreProperties>
</file>