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Техническое задание: грузовой Renault Master для Euro Truck Simulator 2</w:t>
      </w:r>
    </w:p>
    <w:p>
      <w:r>
        <w:t>Требования зафиксированы по ответам пользователя на 26 вопросов и трём снимкам списка официальных DLC. Это описание требуемого результата, а не подтверждение готовности мода или его совместимости. Техническая схема оплачиваемых перевозок без действий с прицепом требует проверки.</w:t>
      </w:r>
    </w:p>
    <w:p>
      <w:pPr>
        <w:pStyle w:val="Heading1"/>
      </w:pPr>
      <w:r>
        <w:t>Цель и приоритеты</w:t>
      </w:r>
    </w:p>
    <w:p>
      <w:r>
        <w:t xml:space="preserve">Подготовить один самостоятельный файл </w:t>
      </w:r>
      <w:r>
        <w:rPr>
          <w:rFonts w:ascii="Noto Sans Mono" w:hAnsi="Noto Sans Mono"/>
        </w:rPr>
        <w:t>.scs</w:t>
      </w:r>
      <w:r>
        <w:t xml:space="preserve"> для личного использования, который объединит исходные пакеты Renault Master и добавит оплачиваемую перевозку грузов строго внутри грузовой части автомобиля.</w:t>
      </w:r>
    </w:p>
    <w:p>
      <w:r>
        <w:t>Три обязательных приоритета первой рабочей сборки:</w:t>
      </w:r>
    </w:p>
    <w:p>
      <w:pPr>
        <w:pStyle w:val="ListNumber"/>
      </w:pPr>
      <w:r>
        <w:t>Оплачиваемые рейсы.</w:t>
      </w:r>
    </w:p>
    <w:p>
      <w:pPr>
        <w:pStyle w:val="ListNumber"/>
      </w:pPr>
      <w:r>
        <w:t>Коробки и мебель в качестве перевозимых грузов.</w:t>
      </w:r>
    </w:p>
    <w:p>
      <w:pPr>
        <w:pStyle w:val="ListNumber"/>
      </w:pPr>
      <w:r>
        <w:t>Размещение груза внутри кузова, без видимого прицепа и без груза снаружи автомобиля.</w:t>
      </w:r>
    </w:p>
    <w:p>
      <w:r>
        <w:t xml:space="preserve">Исходный материал — архив </w:t>
      </w:r>
      <w:r>
        <w:rPr>
          <w:rFonts w:ascii="Noto Sans Mono" w:hAnsi="Noto Sans Mono"/>
        </w:rPr>
        <w:t>Renault_Master_2020_1.61x.zip</w:t>
      </w:r>
      <w:r>
        <w:t xml:space="preserve">, содержащий пакеты </w:t>
      </w:r>
      <w:r>
        <w:rPr>
          <w:rFonts w:ascii="Noto Sans Mono" w:hAnsi="Noto Sans Mono"/>
        </w:rPr>
        <w:t>Renault Master Def.scs</w:t>
      </w:r>
      <w:r>
        <w:t xml:space="preserve"> и </w:t>
      </w:r>
      <w:r>
        <w:rPr>
          <w:rFonts w:ascii="Noto Sans Mono" w:hAnsi="Noto Sans Mono"/>
        </w:rPr>
        <w:t>Renault Master 2020_1.61x.scs</w:t>
      </w:r>
      <w:r>
        <w:t xml:space="preserve">. Указанного в исходных пакетах автора </w:t>
      </w:r>
      <w:r>
        <w:rPr>
          <w:b/>
        </w:rPr>
        <w:t>Gaza</w:t>
      </w:r>
      <w:r>
        <w:t xml:space="preserve"> необходимо сохранить в сведениях об исходном моде.</w:t>
      </w:r>
    </w:p>
    <w:p>
      <w:pPr>
        <w:pStyle w:val="Heading1"/>
      </w:pPr>
      <w:r>
        <w:t>Игра и совместимость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</w:tcPr>
          <w:p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4933"/>
          </w:tcPr>
          <w:p>
            <w:r>
              <w:rPr>
                <w:b/>
                <w:sz w:val="17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7"/>
              </w:rPr>
              <w:t>Игра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  <w:t>Euro Truck Simulator 2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7"/>
              </w:rPr>
              <w:t>Точная версия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1.61.1.1s</w:t>
            </w: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7"/>
              </w:rPr>
              <w:t>Режим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  <w:t>Только одиночная игра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7"/>
              </w:rPr>
              <w:t>Другие пользовательские моды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  <w:t>Отсутствуют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7"/>
              </w:rPr>
              <w:t>Дополнения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  <w:t>Только официальные DLC из списка ниже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7"/>
              </w:rPr>
              <w:t>Проверка исходного Master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  <w:t>Пользователь проверил диагностическую объединённую сборку: покупка у Renault, поездка, перезапуск, повторная загрузка сохранения, руль и педали работают. Присланный журнал содержит ошибки ресурсов и предупреждения; полная совместимость ещё не подтверждена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7"/>
              </w:rPr>
              <w:t>Используемый автомобиль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  <w:t>Сохранить существующую машину из исходного мода; не вводить обязательную отдельную покупку новой версии</w:t>
            </w:r>
          </w:p>
        </w:tc>
      </w:tr>
    </w:tbl>
    <w:p/>
    <w:p>
      <w:r>
        <w:t>Грузы должны работать на всей доступной карте, включая установленные официальные картографические DLC. Снимки экрана показывают официальные дополнения, а не сторонние модификации карт. Поддержка дополнительных сторонних карт в это ТЗ не входит.</w:t>
      </w:r>
    </w:p>
    <w:p>
      <w:pPr>
        <w:pStyle w:val="Heading2"/>
      </w:pPr>
      <w:r>
        <w:t>Установленные картографические DLC</w:t>
      </w:r>
    </w:p>
    <w:p>
      <w:pPr>
        <w:pStyle w:val="ListBullet"/>
      </w:pPr>
      <w:r>
        <w:t>Nordic Horizons.</w:t>
      </w:r>
    </w:p>
    <w:p>
      <w:pPr>
        <w:pStyle w:val="ListBullet"/>
      </w:pPr>
      <w:r>
        <w:t>Greece.</w:t>
      </w:r>
    </w:p>
    <w:p>
      <w:pPr>
        <w:pStyle w:val="ListBullet"/>
      </w:pPr>
      <w:r>
        <w:t>West Balkans.</w:t>
      </w:r>
    </w:p>
    <w:p>
      <w:pPr>
        <w:pStyle w:val="ListBullet"/>
      </w:pPr>
      <w:r>
        <w:t>Iberia.</w:t>
      </w:r>
    </w:p>
    <w:p>
      <w:pPr>
        <w:pStyle w:val="ListBullet"/>
      </w:pPr>
      <w:r>
        <w:t>Road to the Black Sea.</w:t>
      </w:r>
    </w:p>
    <w:p>
      <w:pPr>
        <w:pStyle w:val="ListBullet"/>
      </w:pPr>
      <w:r>
        <w:t>Beyond the Baltic Sea.</w:t>
      </w:r>
    </w:p>
    <w:p>
      <w:pPr>
        <w:pStyle w:val="ListBullet"/>
      </w:pPr>
      <w:r>
        <w:t>Going East!</w:t>
      </w:r>
    </w:p>
    <w:p>
      <w:pPr>
        <w:pStyle w:val="ListBullet"/>
      </w:pPr>
      <w:r>
        <w:t>Italia.</w:t>
      </w:r>
    </w:p>
    <w:p>
      <w:pPr>
        <w:pStyle w:val="ListBullet"/>
      </w:pPr>
      <w:r>
        <w:t>Scandinavia.</w:t>
      </w:r>
    </w:p>
    <w:p>
      <w:pPr>
        <w:pStyle w:val="ListBullet"/>
      </w:pPr>
      <w:r>
        <w:t>Vive la France!</w:t>
      </w:r>
    </w:p>
    <w:p>
      <w:pPr>
        <w:pStyle w:val="Heading2"/>
      </w:pPr>
      <w:r>
        <w:t>Остальные официальные DLC, показанные пользователем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</w:tcPr>
          <w:p>
            <w:r>
              <w:rPr>
                <w:b/>
                <w:sz w:val="17"/>
              </w:rPr>
              <w:t>Группа</w:t>
            </w:r>
          </w:p>
        </w:tc>
        <w:tc>
          <w:tcPr>
            <w:tcW w:type="dxa" w:w="4933"/>
          </w:tcPr>
          <w:p>
            <w:r>
              <w:rPr>
                <w:b/>
                <w:sz w:val="17"/>
              </w:rPr>
              <w:t>Дополнения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7"/>
              </w:rPr>
              <w:t>Грузы и специальные перевозки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  <w:t>Farm Machinery; Volvo Construction Equipment; Heavy Cargo Pack; High Power Cargo Pack; Special Transport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7"/>
              </w:rPr>
              <w:t>Прицепы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  <w:t>Krone Trailer Pack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7"/>
              </w:rPr>
              <w:t>Тюнинг грузовиков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  <w:t>Renault Trucks T Tuning Pack; FH Tuning Pack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7"/>
              </w:rPr>
              <w:t>Покраски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  <w:t>Modern Lines Paint Jobs Pack; Street Art Paint Jobs Pack; Super Stripes Paint Jobs Pack; Polish Paint Jobs Pack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7"/>
              </w:rPr>
              <w:t>Шины, колёса и аксессуары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  <w:t>Goodyear Tyres Pack; Wheel Tuning Pack; Window Flags; Cabin Accessories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7"/>
              </w:rPr>
              <w:t>Промоматериалы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  <w:t>Rocket League Promo</w:t>
            </w:r>
          </w:p>
        </w:tc>
      </w:tr>
      <w:tr>
        <w:trPr>
          <w:cantSplit/>
        </w:trPr>
        <w:tc>
          <w:tcPr>
            <w:tcW w:type="dxa" w:w="4933"/>
          </w:tcPr>
          <w:p>
            <w:r>
              <w:rPr>
                <w:sz w:val="17"/>
              </w:rPr>
              <w:t>Официальные автомобили</w:t>
            </w:r>
          </w:p>
        </w:tc>
        <w:tc>
          <w:tcPr>
            <w:tcW w:type="dxa" w:w="4933"/>
          </w:tcPr>
          <w:p>
            <w:r>
              <w:rPr>
                <w:sz w:val="17"/>
              </w:rPr>
              <w:t>DAF XD; DAF XF Electric; DAF XG/XG+; Iveco S-Way; MAN TGX; Renault Trucks E-Tech T; Scania S BEV; Volvo FH Series 5; Volvo FH Series 6</w:t>
            </w:r>
          </w:p>
        </w:tc>
      </w:tr>
    </w:tbl>
    <w:p/>
    <w:p>
      <w:r>
        <w:t>Наличие перечисленных DLC не означает, что каждый из них обязан стать зависимостью самого мода. Зависимости следует определить по используемым игровым ресурсам; дополнительных покупок или установки сторонних модов пользователь не запрашивал. Проверка покрытия компаний и грузов должна охватывать всю установленную карту.</w:t>
      </w:r>
    </w:p>
    <w:p>
      <w:pPr>
        <w:pStyle w:val="Heading1"/>
      </w:pPr>
      <w:r>
        <w:t>Перевозки и взаимодействие с игрой</w:t>
      </w:r>
    </w:p>
    <w:p>
      <w:pPr>
        <w:pStyle w:val="ListBullet"/>
      </w:pPr>
      <w:r>
        <w:t xml:space="preserve">Груз находится </w:t>
      </w:r>
      <w:r>
        <w:rPr>
          <w:b/>
        </w:rPr>
        <w:t>строго внутри кузова</w:t>
      </w:r>
      <w:r>
        <w:t>, в грузовой части фургона. Он не должен выступать за пределы автомобиля.</w:t>
      </w:r>
    </w:p>
    <w:p>
      <w:pPr>
        <w:pStyle w:val="ListBullet"/>
      </w:pPr>
      <w:r>
        <w:t>Видимый прицеп недопустим.</w:t>
      </w:r>
    </w:p>
    <w:p>
      <w:pPr>
        <w:pStyle w:val="ListBullet"/>
      </w:pPr>
      <w:r>
        <w:t xml:space="preserve">Последующим ответом пользователь </w:t>
      </w:r>
      <w:r>
        <w:rPr>
          <w:b/>
        </w:rPr>
        <w:t>разрешил невидимую служебную прицепную сущность</w:t>
      </w:r>
      <w:r>
        <w:t>, если она позволяет брать оплачиваемые заказы на этом автомобиле. Видимых частей и груза за пределами фургона быть не должно.</w:t>
      </w:r>
    </w:p>
    <w:p>
      <w:pPr>
        <w:pStyle w:val="ListBullet"/>
      </w:pPr>
      <w:r>
        <w:t xml:space="preserve">Последующим согласованием пользователь </w:t>
      </w:r>
      <w:r>
        <w:rPr>
          <w:b/>
        </w:rPr>
        <w:t>разрешил покупку/активацию своего личного служебного прицепа и его штатное подключение</w:t>
      </w:r>
      <w:r>
        <w:t>. Заказы выбираются в рынке грузов для своего прицепа. Требование полностью автоматической начальной сцепки для первого прототипа снято.</w:t>
      </w:r>
    </w:p>
    <w:p>
      <w:pPr>
        <w:pStyle w:val="ListBullet"/>
      </w:pPr>
      <w:r>
        <w:t>Минимизировать собственную массу и влияние на управление. Для прототипа используется служебная масса 5 кг, одна скрытая ось, скрытая геометрия и пустые коллизии. Это не выключает физику прицепа; влияние нужно измерить поездкой. Не приписывать прототипу нулевую физику или подтверждённую автоматическую сцепку.</w:t>
      </w:r>
    </w:p>
    <w:p>
      <w:pPr>
        <w:pStyle w:val="ListBullet"/>
      </w:pPr>
      <w:r>
        <w:t xml:space="preserve">Использовать </w:t>
      </w:r>
      <w:r>
        <w:rPr>
          <w:b/>
        </w:rPr>
        <w:t>Cargo Market — «со своим прицепом»</w:t>
      </w:r>
      <w:r>
        <w:t>. Покупку, подключение, погрузку, сдачу и сохранение нужно подтвердить игровым тестом. Новые заказы должны работать через штатный интерфейс рынка грузов.</w:t>
      </w:r>
    </w:p>
    <w:p>
      <w:pPr>
        <w:pStyle w:val="ListBullet"/>
      </w:pPr>
      <w:r>
        <w:t>Погрузка и доставка происходят в обычных игровых точках компаний.</w:t>
      </w:r>
    </w:p>
    <w:p>
      <w:pPr>
        <w:pStyle w:val="ListBullet"/>
      </w:pPr>
      <w:r>
        <w:t>Маршруты должны быть доступны из всех подходящих городов и компаний на установленной карте.</w:t>
      </w:r>
    </w:p>
    <w:p>
      <w:pPr>
        <w:pStyle w:val="ListBullet"/>
      </w:pPr>
      <w:r>
        <w:t xml:space="preserve">Длина заказа — </w:t>
      </w:r>
      <w:r>
        <w:rPr>
          <w:b/>
        </w:rPr>
        <w:t>не более 1000 км</w:t>
      </w:r>
      <w:r>
        <w:t>. Предпочтение отдано небольшим расстояниям.</w:t>
      </w:r>
    </w:p>
    <w:p>
      <w:pPr>
        <w:pStyle w:val="ListBullet"/>
      </w:pPr>
      <w:r>
        <w:t>Желательно согласовать тип груза с профилем компании. Например, для металлургической компании подходят металлические детали, смазочные материалы для деталей и аналогичные небольшие товары. Это требование к логике ассортимента, а не разрешение создавать тяжёлые грузы сверх лимита фургона.</w:t>
      </w:r>
    </w:p>
    <w:p>
      <w:pPr>
        <w:pStyle w:val="ListBullet"/>
      </w:pPr>
      <w:r>
        <w:t>Для собранной дорогой мебели желательны срочные доставки на короткие расстояния.</w:t>
      </w:r>
    </w:p>
    <w:p>
      <w:r>
        <w:t xml:space="preserve">Максимальная длина задания задаётся отдельным </w:t>
      </w:r>
      <w:r>
        <w:rPr>
          <w:rFonts w:ascii="Noto Sans Mono" w:hAnsi="Noto Sans Mono"/>
        </w:rPr>
        <w:t>maximum_distance: 1000</w:t>
      </w:r>
      <w:r>
        <w:t xml:space="preserve"> для новых грузов; применяемое игрой расстояние проверяется рейсом. Первоначальное штатное подключение собственного служебного прицепа согласовано.</w:t>
      </w:r>
    </w:p>
    <w:p>
      <w:pPr>
        <w:pStyle w:val="Heading1"/>
      </w:pPr>
      <w:r>
        <w:t>Номенклатура и вместимость</w:t>
      </w:r>
    </w:p>
    <w:p>
      <w:r>
        <w:t xml:space="preserve">Максимальная суммарная масса перевозимого груза на рейс — </w:t>
      </w:r>
      <w:r>
        <w:rPr>
          <w:b/>
        </w:rPr>
        <w:t>1200 кг</w:t>
      </w:r>
      <w:r>
        <w:t>. Любой визуальный груз должен помещаться внутри выбранного кузова, независимо от допустимой массы.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</w:trPr>
        <w:tc>
          <w:tcPr>
            <w:tcW w:type="dxa" w:w="2466"/>
          </w:tcPr>
          <w:p>
            <w:r>
              <w:rPr>
                <w:b/>
                <w:sz w:val="17"/>
              </w:rPr>
              <w:t>Категория</w:t>
            </w:r>
          </w:p>
        </w:tc>
        <w:tc>
          <w:tcPr>
            <w:tcW w:type="dxa" w:w="2466"/>
          </w:tcPr>
          <w:p>
            <w:r>
              <w:rPr>
                <w:b/>
                <w:sz w:val="17"/>
              </w:rPr>
              <w:t>Согласованные примеры</w:t>
            </w:r>
          </w:p>
        </w:tc>
        <w:tc>
          <w:tcPr>
            <w:tcW w:type="dxa" w:w="2466"/>
          </w:tcPr>
          <w:p>
            <w:r>
              <w:rPr>
                <w:b/>
                <w:sz w:val="17"/>
              </w:rPr>
              <w:t>Масса груза на рейс, кг</w:t>
            </w:r>
          </w:p>
        </w:tc>
        <w:tc>
          <w:tcPr>
            <w:tcW w:type="dxa" w:w="2466"/>
          </w:tcPr>
          <w:p>
            <w:r>
              <w:rPr>
                <w:b/>
                <w:sz w:val="17"/>
              </w:rPr>
              <w:t>Количество, указанное пользователем</w:t>
            </w:r>
          </w:p>
        </w:tc>
      </w:tr>
      <w:tr>
        <w:trPr>
          <w:cantSplit/>
        </w:trPr>
        <w:tc>
          <w:tcPr>
            <w:tcW w:type="dxa" w:w="2466"/>
          </w:tcPr>
          <w:p>
            <w:r>
              <w:rPr>
                <w:sz w:val="17"/>
              </w:rPr>
              <w:t>Коробки с товарами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Продукты, мебель, мебельные аксессуары; также коробки с документами и другими товарами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100–1000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466"/>
          </w:tcPr>
          <w:p>
            <w:r>
              <w:rPr>
                <w:sz w:val="17"/>
              </w:rPr>
              <w:t>Картон, пустая тара, палеты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Картоны, палеты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50–1200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466"/>
          </w:tcPr>
          <w:p>
            <w:r>
              <w:rPr>
                <w:sz w:val="17"/>
              </w:rPr>
              <w:t>Мебель в упаковке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Шкафы, столы, стулья; допустима собранная мебель в коробках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100–800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1–5</w:t>
            </w:r>
          </w:p>
        </w:tc>
      </w:tr>
      <w:tr>
        <w:trPr>
          <w:cantSplit/>
        </w:trPr>
        <w:tc>
          <w:tcPr>
            <w:tcW w:type="dxa" w:w="2466"/>
          </w:tcPr>
          <w:p>
            <w:r>
              <w:rPr>
                <w:sz w:val="17"/>
              </w:rPr>
              <w:t>Собранная мебель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Трельяж, кухня, столы, шкафы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150–500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1–2</w:t>
            </w:r>
          </w:p>
        </w:tc>
      </w:tr>
      <w:tr>
        <w:trPr>
          <w:cantSplit/>
        </w:trPr>
        <w:tc>
          <w:tcPr>
            <w:tcW w:type="dxa" w:w="2466"/>
          </w:tcPr>
          <w:p>
            <w:r>
              <w:rPr>
                <w:sz w:val="17"/>
              </w:rPr>
              <w:t>Бытовая техника и сантехника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Стиральные машины, умывальники, посудомоечные машины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50–400</w:t>
            </w:r>
          </w:p>
        </w:tc>
        <w:tc>
          <w:tcPr>
            <w:tcW w:type="dxa" w:w="2466"/>
          </w:tcPr>
          <w:p>
            <w:r>
              <w:rPr>
                <w:sz w:val="17"/>
              </w:rPr>
              <w:t>1–4</w:t>
            </w:r>
          </w:p>
        </w:tc>
      </w:tr>
    </w:tbl>
    <w:p/>
    <w:p>
      <w:r>
        <w:t xml:space="preserve">Последующим ответом уточнено: </w:t>
      </w:r>
      <w:r>
        <w:rPr>
          <w:b/>
        </w:rPr>
        <w:t>«1» — один физический предмет</w:t>
      </w:r>
      <w:r>
        <w:t>. Прежняя таблица содержит примеры, а не окончательные минимумы партий. Для всех категорий количество может меняться от одного предмета до вместимости кузова и общей массы 1200 кг; например, один шкаф весит около 80–100 кг. Реальные масса и габариты каждой партии определяются отдельно. Лимит массы не означает, что 1200 кг пустых коробок, собранных шкафов или полный кухонный гарнитур помещаются в этот кузов: объём также ограничивает число предметов.</w:t>
      </w:r>
    </w:p>
    <w:p>
      <w:pPr>
        <w:pStyle w:val="Heading1"/>
      </w:pPr>
      <w:r>
        <w:t>Оплата</w:t>
      </w:r>
    </w:p>
    <w:p>
      <w:r>
        <w:t xml:space="preserve">Нужны небольшие доходы, сопоставимые с курьерской доставкой. Ориентир пользователя — около </w:t>
      </w:r>
      <w:r>
        <w:rPr>
          <w:b/>
        </w:rPr>
        <w:t>1 доллара США за 1 километр</w:t>
      </w:r>
      <w:r>
        <w:t>, с коэффициентом ценности груза: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3289"/>
          </w:tcPr>
          <w:p>
            <w:r>
              <w:rPr>
                <w:b/>
                <w:sz w:val="17"/>
              </w:rPr>
              <w:t>Тип груза</w:t>
            </w:r>
          </w:p>
        </w:tc>
        <w:tc>
          <w:tcPr>
            <w:tcW w:type="dxa" w:w="3289"/>
          </w:tcPr>
          <w:p>
            <w:r>
              <w:rPr>
                <w:b/>
                <w:sz w:val="17"/>
              </w:rPr>
              <w:t>Коэффициент</w:t>
            </w:r>
          </w:p>
        </w:tc>
        <w:tc>
          <w:tcPr>
            <w:tcW w:type="dxa" w:w="3289"/>
          </w:tcPr>
          <w:p>
            <w:r>
              <w:rPr>
                <w:b/>
                <w:sz w:val="17"/>
              </w:rPr>
              <w:t>Ориентир ставки</w:t>
            </w:r>
          </w:p>
        </w:tc>
      </w:tr>
      <w:tr>
        <w:trPr>
          <w:cantSplit/>
        </w:trPr>
        <w:tc>
          <w:tcPr>
            <w:tcW w:type="dxa" w:w="3289"/>
          </w:tcPr>
          <w:p>
            <w:r>
              <w:rPr>
                <w:sz w:val="17"/>
              </w:rPr>
              <w:t>Менее ценные товары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1,1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Около 1,10 USD/км</w:t>
            </w:r>
          </w:p>
        </w:tc>
      </w:tr>
      <w:tr>
        <w:trPr>
          <w:cantSplit/>
        </w:trPr>
        <w:tc>
          <w:tcPr>
            <w:tcW w:type="dxa" w:w="3289"/>
          </w:tcPr>
          <w:p>
            <w:r>
              <w:rPr>
                <w:sz w:val="17"/>
              </w:rPr>
              <w:t>Ценные и важные товары, в том числе дорогая мебель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1,5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Около 1,50 USD/км</w:t>
            </w:r>
          </w:p>
        </w:tc>
      </w:tr>
    </w:tbl>
    <w:p/>
    <w:p>
      <w:r>
        <w:t xml:space="preserve">Базовый расчёт: </w:t>
      </w:r>
      <w:r>
        <w:rPr>
          <w:rFonts w:ascii="Noto Sans Mono" w:hAnsi="Noto Sans Mono"/>
        </w:rPr>
        <w:t>оплата ≈ длина рейса × 1 USD/км × коэффициент груза</w:t>
      </w:r>
      <w:r>
        <w:t>.</w:t>
      </w:r>
    </w:p>
    <w:p>
      <w:r>
        <w:t xml:space="preserve">Ставка относится к </w:t>
      </w:r>
      <w:r>
        <w:rPr>
          <w:b/>
        </w:rPr>
        <w:t>всему рейсу до игровых бонусов навыков</w:t>
      </w:r>
      <w:r>
        <w:t>, независимо от числа предметов в партии. Для обычного неценного и нехрупкого груза за 1000 км базовая цель — 1100 USD. Хрупкость и ценность у разных товаров задаются отдельно; штатные бонусы и штрафы продолжают учитываться.</w:t>
      </w:r>
    </w:p>
    <w:p>
      <w:r>
        <w:t xml:space="preserve">Пользователь установил курс: </w:t>
      </w:r>
      <w:r>
        <w:rPr>
          <w:b/>
        </w:rPr>
        <w:t>1 EUR = 0,9 USD</w:t>
      </w:r>
      <w:r>
        <w:t xml:space="preserve">, следовательно </w:t>
      </w:r>
      <w:r>
        <w:rPr>
          <w:rFonts w:ascii="Noto Sans Mono" w:hAnsi="Noto Sans Mono"/>
        </w:rPr>
        <w:t>1 USD = 1 / 0,9 EUR</w:t>
      </w:r>
      <w:r>
        <w:t xml:space="preserve">. Обычная ставка равна 1,222222… EUR/км, ценная — 1,666666… EUR/км. Выбранная валюта интерфейса — PLN; в предоставленных игровых определениях </w:t>
      </w:r>
      <w:r>
        <w:rPr>
          <w:rFonts w:ascii="Noto Sans Mono" w:hAnsi="Noto Sans Mono"/>
        </w:rPr>
        <w:t>PLN_ratio = 4,2734</w:t>
      </w:r>
      <w:r>
        <w:t>. Соответственно целевые базовые ставки — около 5,223044 PLN/км и 7,122333 PLN/км. USD в штатном массиве валют отсутствует, поэтому согласованный курс используется при расчёте евро, затем игра переводит их в PLN.</w:t>
      </w:r>
    </w:p>
    <w:p>
      <w:r>
        <w:t>Формула движковой базовой цены, фиксированные составляющие и число оплачиваемых грузовых единиц требуют проверки на реальном заказе. Не менять глобальную экономику остальных грузов ради этих ставок. Правильный статический коэффициент не подтверждает точную игровую выплату.</w:t>
      </w:r>
    </w:p>
    <w:p>
      <w:pPr>
        <w:pStyle w:val="Heading1"/>
      </w:pPr>
      <w:r>
        <w:t>Кузов и отображение груза</w:t>
      </w:r>
    </w:p>
    <w:p>
      <w:pPr>
        <w:pStyle w:val="ListBullet"/>
      </w:pPr>
      <w:r>
        <w:t xml:space="preserve">Использовать грузовой фургон </w:t>
      </w:r>
      <w:r>
        <w:rPr>
          <w:b/>
        </w:rPr>
        <w:t>без задних сидений</w:t>
      </w:r>
      <w:r>
        <w:t>.</w:t>
      </w:r>
    </w:p>
    <w:p>
      <w:pPr>
        <w:pStyle w:val="ListBullet"/>
      </w:pPr>
      <w:r>
        <w:t>Если такой вариант кузова имеет окна, через которые видна грузовая часть, перевозимый груз должен быть виден через эти окна, а также при доступном виде снаружи или изнутри кузова.</w:t>
      </w:r>
    </w:p>
    <w:p>
      <w:pPr>
        <w:pStyle w:val="ListBullet"/>
      </w:pPr>
      <w:r>
        <w:t>Если грузовой вариант не имеет окон, позволяющих увидеть грузовую часть, достаточно названия груза и его массы в заказе; обязательная видимость груза тогда не требуется.</w:t>
      </w:r>
    </w:p>
    <w:p>
      <w:pPr>
        <w:pStyle w:val="ListBullet"/>
      </w:pPr>
      <w:r>
        <w:t>Визуальные коробки, мебель или техника остаются внутри грузового отсека и не заменяются предметами снаружи автомобиля.</w:t>
      </w:r>
    </w:p>
    <w:p>
      <w:pPr>
        <w:pStyle w:val="ListBullet"/>
      </w:pPr>
      <w:r>
        <w:t>Достаточно текущих возможностей модели по анимациям. Новые анимации дверей, погрузки или выгрузки не являются обязательным требованием.</w:t>
      </w:r>
    </w:p>
    <w:p>
      <w:pPr>
        <w:pStyle w:val="ListBullet"/>
      </w:pPr>
      <w:r>
        <w:t>Возможность изменения кузова, моделей груза и анимаций определяется доступными игровыми файлами. Дополнительные редактируемые исходники пользователем не предоставлены.</w:t>
      </w:r>
    </w:p>
    <w:p>
      <w:r>
        <w:t xml:space="preserve">Пользователь подтвердил по купленному автомобилю: </w:t>
      </w:r>
      <w:r>
        <w:rPr>
          <w:b/>
        </w:rPr>
        <w:t>задних сидений нет</w:t>
      </w:r>
      <w:r>
        <w:t>, за передними сиденьями есть стекло, через которое из салона виден грузовой кузов. Видимый груз нужен. Пользователь предложил PNG вместо стекла при получении заказа; это пример возможного решения, а не обязательная замена стекла. Предпочтительна отдельная плоскость с текстурой или геометрия за сохранённым стеклом, если движок позволяет менять её по заказу. Груз, прикреплённый к поворачивающейся прицепной сущности, не считается соответствующим требованию без проверки, что он всегда остаётся внутри кузова.</w:t>
      </w:r>
    </w:p>
    <w:p>
      <w:pPr>
        <w:pStyle w:val="Heading1"/>
      </w:pPr>
      <w:r>
        <w:t>Сохранение поведения исходного автомобиля</w:t>
      </w:r>
    </w:p>
    <w:p>
      <w:r>
        <w:t xml:space="preserve">Проверенные значения в исходном Def: фактический бак </w:t>
      </w:r>
      <w:r>
        <w:rPr>
          <w:rFonts w:ascii="Noto Sans Mono" w:hAnsi="Noto Sans Mono"/>
        </w:rPr>
        <w:t>960 л</w:t>
      </w:r>
      <w:r>
        <w:t xml:space="preserve"> при подписи </w:t>
      </w:r>
      <w:r>
        <w:rPr>
          <w:rFonts w:ascii="Noto Sans Mono" w:hAnsi="Noto Sans Mono"/>
        </w:rPr>
        <w:t>60 л</w:t>
      </w:r>
      <w:r>
        <w:t xml:space="preserve">, момент двигателя </w:t>
      </w:r>
      <w:r>
        <w:rPr>
          <w:rFonts w:ascii="Noto Sans Mono" w:hAnsi="Noto Sans Mono"/>
        </w:rPr>
        <w:t>1750 Н·м</w:t>
      </w:r>
      <w:r>
        <w:t xml:space="preserve"> при подписи </w:t>
      </w:r>
      <w:r>
        <w:rPr>
          <w:rFonts w:ascii="Noto Sans Mono" w:hAnsi="Noto Sans Mono"/>
        </w:rPr>
        <w:t>250 Н·м</w:t>
      </w:r>
      <w:r>
        <w:t xml:space="preserve">, масса по осям суммарно </w:t>
      </w:r>
      <w:r>
        <w:rPr>
          <w:rFonts w:ascii="Noto Sans Mono" w:hAnsi="Noto Sans Mono"/>
        </w:rPr>
        <w:t>10 800,2 кг</w:t>
      </w:r>
      <w:r>
        <w:t>. Эти значения показывают, что настройки исходного мода нельзя заменять реальными характеристиками фургона без проверки поведения. В диагностической базовой сборке они сохраняются.</w:t>
      </w:r>
    </w:p>
    <w:p>
      <w:r>
        <w:t>Необходимо сохранить ощущения исходного мода и следующие возможности:</w:t>
      </w:r>
    </w:p>
    <w:p>
      <w:pPr>
        <w:pStyle w:val="ListBullet"/>
      </w:pPr>
      <w:r>
        <w:t>Звуки и интерьер.</w:t>
      </w:r>
    </w:p>
    <w:p>
      <w:pPr>
        <w:pStyle w:val="ListBullet"/>
      </w:pPr>
      <w:r>
        <w:t>Покраски и аксессуары.</w:t>
      </w:r>
    </w:p>
    <w:p>
      <w:pPr>
        <w:pStyle w:val="ListBullet"/>
      </w:pPr>
      <w:r>
        <w:t>Камеры.</w:t>
      </w:r>
    </w:p>
    <w:p>
      <w:pPr>
        <w:pStyle w:val="ListBullet"/>
      </w:pPr>
      <w:r>
        <w:t>Двигатель и коробку передач.</w:t>
      </w:r>
    </w:p>
    <w:p>
      <w:pPr>
        <w:pStyle w:val="ListBullet"/>
      </w:pPr>
      <w:r>
        <w:t>Настройку управления.</w:t>
      </w:r>
    </w:p>
    <w:p>
      <w:r>
        <w:t>Исправление найденных несовпадений в описаниях допустимо, если оно не ухудшает игровой процесс пользователя. Простое уменьшение завышенного бака без соответствующей проверки расхода недопустимо, если в результате автомобиль сможет проехать лишь около 100 км.</w:t>
      </w:r>
    </w:p>
    <w:p>
      <w:r>
        <w:t xml:space="preserve">Уточнённый режим калибровки: </w:t>
      </w:r>
      <w:r>
        <w:rPr>
          <w:b/>
        </w:rPr>
        <w:t>сохранить текущий `g_fuel_simulation=0`</w:t>
      </w:r>
      <w:r>
        <w:t>, не требовать включения реалистичного расхода. При полном баке 60 л и равномерном движении 120–140 км/ч пользователь задал следующие цели: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3289"/>
          </w:tcPr>
          <w:p>
            <w:r>
              <w:rPr>
                <w:b/>
                <w:sz w:val="17"/>
              </w:rPr>
              <w:t>Масса груза</w:t>
            </w:r>
          </w:p>
        </w:tc>
        <w:tc>
          <w:tcPr>
            <w:tcW w:type="dxa" w:w="3289"/>
          </w:tcPr>
          <w:p>
            <w:r>
              <w:rPr>
                <w:b/>
                <w:sz w:val="17"/>
              </w:rPr>
              <w:t>Запас хода</w:t>
            </w:r>
          </w:p>
        </w:tc>
        <w:tc>
          <w:tcPr>
            <w:tcW w:type="dxa" w:w="3289"/>
          </w:tcPr>
          <w:p>
            <w:r>
              <w:rPr>
                <w:b/>
                <w:sz w:val="17"/>
              </w:rPr>
              <w:t>Соответствующий расход</w:t>
            </w:r>
          </w:p>
        </w:tc>
      </w:tr>
      <w:tr>
        <w:trPr>
          <w:cantSplit/>
        </w:trPr>
        <w:tc>
          <w:tcPr>
            <w:tcW w:type="dxa" w:w="3289"/>
          </w:tcPr>
          <w:p>
            <w:r>
              <w:rPr>
                <w:sz w:val="17"/>
              </w:rPr>
              <w:t>0 кг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1100 км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5,454545… л/100 км</w:t>
            </w:r>
          </w:p>
        </w:tc>
      </w:tr>
      <w:tr>
        <w:trPr>
          <w:cantSplit/>
        </w:trPr>
        <w:tc>
          <w:tcPr>
            <w:tcW w:type="dxa" w:w="3289"/>
          </w:tcPr>
          <w:p>
            <w:r>
              <w:rPr>
                <w:sz w:val="17"/>
              </w:rPr>
              <w:t>600 кг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925 км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6,486486… л/100 км</w:t>
            </w:r>
          </w:p>
        </w:tc>
      </w:tr>
      <w:tr>
        <w:trPr>
          <w:cantSplit/>
        </w:trPr>
        <w:tc>
          <w:tcPr>
            <w:tcW w:type="dxa" w:w="3289"/>
          </w:tcPr>
          <w:p>
            <w:r>
              <w:rPr>
                <w:sz w:val="17"/>
              </w:rPr>
              <w:t>1200 кг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750 км</w:t>
            </w:r>
          </w:p>
        </w:tc>
        <w:tc>
          <w:tcPr>
            <w:tcW w:type="dxa" w:w="3289"/>
          </w:tcPr>
          <w:p>
            <w:r>
              <w:rPr>
                <w:sz w:val="17"/>
              </w:rPr>
              <w:t>8 л/100 км</w:t>
            </w:r>
          </w:p>
        </w:tc>
      </w:tr>
    </w:tbl>
    <w:p/>
    <w:p>
      <w:r>
        <w:t xml:space="preserve">Интерполяция по согласованной логике: </w:t>
      </w:r>
      <w:r>
        <w:rPr>
          <w:rFonts w:ascii="Noto Sans Mono" w:hAnsi="Noto Sans Mono"/>
        </w:rPr>
        <w:t>R(m) = 1100 − 350 × m / 1200</w:t>
      </w:r>
      <w:r>
        <w:t xml:space="preserve"> км для </w:t>
      </w:r>
      <w:r>
        <w:rPr>
          <w:rFonts w:ascii="Noto Sans Mono" w:hAnsi="Noto Sans Mono"/>
        </w:rPr>
        <w:t>0 ≤ m ≤ 1200</w:t>
      </w:r>
      <w:r>
        <w:t xml:space="preserve">; расход </w:t>
      </w:r>
      <w:r>
        <w:rPr>
          <w:rFonts w:ascii="Noto Sans Mono" w:hAnsi="Noto Sans Mono"/>
        </w:rPr>
        <w:t>C(m) = 6000 / R(m)</w:t>
      </w:r>
      <w:r>
        <w:t xml:space="preserve"> л/100 км. Линейна дальность, а не расход. Это целевые игровые показатели, не подтверждённые реальные характеристики Master. Поддержка зависимости от массы в упрощённом режиме и точность калибровки требуют проверки; нельзя обещать её одним коэффициентом двигателя.</w:t>
      </w:r>
    </w:p>
    <w:p>
      <w:r>
        <w:t>При расходе 8 л/100 км бак 60 л даёт около 750 км до заправки. Требование рейсов до 1000 км не означает запрет заправки в пути; отдельного требования пройти весь рейс без заправки пользователь не задавал.</w:t>
      </w:r>
    </w:p>
    <w:p>
      <w:pPr>
        <w:pStyle w:val="Heading1"/>
      </w:pPr>
      <w:r>
        <w:t>Комплект поставки</w:t>
      </w:r>
    </w:p>
    <w:p>
      <w:pPr>
        <w:pStyle w:val="ListBullet"/>
      </w:pPr>
      <w:r/>
      <w:r>
        <w:rPr>
          <w:b/>
        </w:rPr>
        <w:t>Один самостоятельный `.scs`</w:t>
      </w:r>
      <w:r>
        <w:t xml:space="preserve">, заменяющий оба исходных пакета. Работа нового файла не должна требовать одновременной активации </w:t>
      </w:r>
      <w:r>
        <w:rPr>
          <w:rFonts w:ascii="Noto Sans Mono" w:hAnsi="Noto Sans Mono"/>
        </w:rPr>
        <w:t>Renault Master Def.scs</w:t>
      </w:r>
      <w:r>
        <w:t xml:space="preserve"> и </w:t>
      </w:r>
      <w:r>
        <w:rPr>
          <w:rFonts w:ascii="Noto Sans Mono" w:hAnsi="Noto Sans Mono"/>
        </w:rPr>
        <w:t>Renault Master 2020_1.61x.scs</w:t>
      </w:r>
      <w:r>
        <w:t>.</w:t>
      </w:r>
    </w:p>
    <w:p>
      <w:pPr>
        <w:pStyle w:val="ListBullet"/>
      </w:pPr>
      <w:r>
        <w:t xml:space="preserve">Названия и пользовательский интерфейс, относящиеся к создаваемому моду, — </w:t>
      </w:r>
      <w:r>
        <w:rPr>
          <w:b/>
        </w:rPr>
        <w:t>на русском языке</w:t>
      </w:r>
      <w:r>
        <w:t>.</w:t>
      </w:r>
    </w:p>
    <w:p>
      <w:pPr>
        <w:pStyle w:val="ListBullet"/>
      </w:pPr>
      <w:r>
        <w:t>Инструкция по установке, необходимым настройкам и проверке — на русском языке.</w:t>
      </w:r>
    </w:p>
    <w:p>
      <w:pPr>
        <w:pStyle w:val="ListBullet"/>
      </w:pPr>
      <w:r>
        <w:t xml:space="preserve">Назначение — </w:t>
      </w:r>
      <w:r>
        <w:rPr>
          <w:b/>
        </w:rPr>
        <w:t>личное использование</w:t>
      </w:r>
      <w:r>
        <w:t xml:space="preserve">. Для передачи файлов пользователь отдельно разрешил использование указанного GitHub-репозитория; он публичный. Не публиковать пользовательские журналы, сохранения и исходный игровой </w:t>
      </w:r>
      <w:r>
        <w:rPr>
          <w:rFonts w:ascii="Noto Sans Mono" w:hAnsi="Noto Sans Mono"/>
        </w:rPr>
        <w:t>def.scs</w:t>
      </w:r>
      <w:r>
        <w:t>.</w:t>
      </w:r>
    </w:p>
    <w:p>
      <w:pPr>
        <w:pStyle w:val="ListBullet"/>
      </w:pPr>
      <w:r>
        <w:t xml:space="preserve">Сохранить сведения об авторе исходного мода </w:t>
      </w:r>
      <w:r>
        <w:rPr>
          <w:b/>
        </w:rPr>
        <w:t>Gaza</w:t>
      </w:r>
      <w:r>
        <w:t>; новые материалы и изменения не должны выдаваться за оригинальную работу автора.</w:t>
      </w:r>
    </w:p>
    <w:p>
      <w:pPr>
        <w:pStyle w:val="Heading1"/>
      </w:pPr>
      <w:r>
        <w:t>Критерии приёмки</w:t>
      </w:r>
    </w:p>
    <w:p>
      <w:r>
        <w:t>Пользователь подтвердил все следующие критерии:</w:t>
      </w:r>
    </w:p>
    <w:p>
      <w:pPr>
        <w:pStyle w:val="ListNumber"/>
      </w:pPr>
      <w:r>
        <w:t xml:space="preserve">Мод активируется в ETS2 </w:t>
      </w:r>
      <w:r>
        <w:rPr>
          <w:b/>
        </w:rPr>
        <w:t>1.61.1.1s</w:t>
      </w:r>
      <w:r>
        <w:t>; автомобиль доступен и не вызывает вылетов.</w:t>
      </w:r>
    </w:p>
    <w:p>
      <w:pPr>
        <w:pStyle w:val="ListNumber"/>
      </w:pPr>
      <w:r>
        <w:t>В согласованном режиме появляется оплачиваемый заказ с нужным грузом и массой в установленном диапазоне, не превышающей 1200 кг.</w:t>
      </w:r>
    </w:p>
    <w:p>
      <w:pPr>
        <w:pStyle w:val="ListNumber"/>
      </w:pPr>
      <w:r>
        <w:t>Можно загрузиться, выполнить рейс, сдать груз и получить оплату.</w:t>
      </w:r>
    </w:p>
    <w:p>
      <w:pPr>
        <w:pStyle w:val="ListNumber"/>
      </w:pPr>
      <w:r>
        <w:t>Сцепка, парковка, коллизии и управление соответствуют согласованной невидимой служебной схеме с первоначальным штатным подключением. Влияние на управление минимизировано; невидимость не считается отключённой физикой.</w:t>
      </w:r>
    </w:p>
    <w:p>
      <w:pPr>
        <w:pStyle w:val="ListNumber"/>
      </w:pPr>
      <w:r>
        <w:t>Если для выбранного кузова требуется визуальный груз, он отображается и меняется в соответствии с предусмотренной схемой, оставаясь внутри автомобиля.</w:t>
      </w:r>
    </w:p>
    <w:p>
      <w:pPr>
        <w:pStyle w:val="ListNumber"/>
      </w:pPr>
      <w:r>
        <w:t>Сохранение после рейса загружается повторно; нет новых ошибок, вызванных модом.</w:t>
      </w:r>
    </w:p>
    <w:p>
      <w:pPr>
        <w:pStyle w:val="ListNumber"/>
      </w:pPr>
      <w:r>
        <w:t>Проверена заявленная совместимость с установленными официальными DLC; штатные автомобили и заказы продолжают работать; приложена инструкция.</w:t>
      </w:r>
    </w:p>
    <w:p>
      <w:r>
        <w:t>В рамках проверки необходимо отдельно подтвердить требуемую дальность заказов, оплату и фактический расход топлива. Проверка структуры архива и текстовых определений не заменяет игровой рейс.</w:t>
      </w:r>
    </w:p>
    <w:p>
      <w:r>
        <w:t xml:space="preserve">Пользователь готов выполнить тестовый рейс и предоставить </w:t>
      </w:r>
      <w:r>
        <w:rPr>
          <w:rFonts w:ascii="Noto Sans Mono" w:hAnsi="Noto Sans Mono"/>
        </w:rPr>
        <w:t>game.log.txt</w:t>
      </w:r>
      <w:r>
        <w:t>. Тестирование следует проводить на копии профиля, сохраняя исходное сохранение.</w:t>
      </w:r>
    </w:p>
    <w:p>
      <w:pPr>
        <w:pStyle w:val="Heading1"/>
      </w:pPr>
      <w:r>
        <w:t>Данные и проверки, которые остаются</w:t>
      </w:r>
    </w:p>
    <w:p>
      <w:r>
        <w:t>Это открытые технические вопросы и проверки, а не повторное согласование уже выбранных требований:</w:t>
      </w:r>
    </w:p>
    <w:p>
      <w:pPr>
        <w:pStyle w:val="ListBullet"/>
      </w:pPr>
      <w:r>
        <w:t>Операционная система подтверждена журналом: Windows 11. Версия — 1.61.1.1s; активен только диагностический Master.</w:t>
      </w:r>
    </w:p>
    <w:p>
      <w:pPr>
        <w:pStyle w:val="ListBullet"/>
      </w:pPr>
      <w:r>
        <w:t xml:space="preserve">В журнале </w:t>
      </w:r>
      <w:r>
        <w:rPr>
          <w:rFonts w:ascii="Noto Sans Mono" w:hAnsi="Noto Sans Mono"/>
        </w:rPr>
        <w:t>g_currency=4</w:t>
      </w:r>
      <w:r>
        <w:t xml:space="preserve">, соответствующее штатному PLN. Пользователь согласовал долларовые ставки и фиксированный курс </w:t>
      </w:r>
      <w:r>
        <w:rPr>
          <w:rFonts w:ascii="Noto Sans Mono" w:hAnsi="Noto Sans Mono"/>
        </w:rPr>
        <w:t>1 EUR = 0,9 USD</w:t>
      </w:r>
      <w:r>
        <w:t>; валютный вопрос решён.</w:t>
      </w:r>
    </w:p>
    <w:p>
      <w:pPr>
        <w:pStyle w:val="ListBullet"/>
      </w:pPr>
      <w:r>
        <w:t>Базовая машина прошла пользовательский тест поездки и повторной загрузки. В журнале есть ошибки световых элементов, панели и других ресурсов исходного мода; их нужно устранить и проверить отдельно.</w:t>
      </w:r>
    </w:p>
    <w:p>
      <w:pPr>
        <w:pStyle w:val="ListBullet"/>
      </w:pPr>
      <w:r>
        <w:t xml:space="preserve">Реалистичный расход в текущем профиле отключён: </w:t>
      </w:r>
      <w:r>
        <w:rPr>
          <w:rFonts w:ascii="Noto Sans Mono" w:hAnsi="Noto Sans Mono"/>
        </w:rPr>
        <w:t>g_fuel_simulation=0</w:t>
      </w:r>
      <w:r>
        <w:t>. Пользователь выбрал сохранить этот режим; остаётся проверка поддержки нужной зависимости расхода от массы.</w:t>
      </w:r>
    </w:p>
    <w:p>
      <w:pPr>
        <w:pStyle w:val="ListBullet"/>
      </w:pPr>
      <w:r>
        <w:t>Пользователь разрешил невидимую служебную прицепную сущность, покупку/активацию и первоначальную штатную сцепку. Нужно подтвердить минимальное влияние физики и полный цикл Cargo Market.</w:t>
      </w:r>
    </w:p>
    <w:p>
      <w:pPr>
        <w:pStyle w:val="ListBullet"/>
      </w:pPr>
      <w:r>
        <w:t>Пользователь подтвердил отсутствие задних сидений и стекло между кабиной и грузовым кузовом; нужно проверить способ привязки и смены видимого груза внутри автомобиля.</w:t>
      </w:r>
    </w:p>
    <w:p>
      <w:pPr>
        <w:pStyle w:val="ListBullet"/>
      </w:pPr>
      <w:r>
        <w:t>Количество «1» означает один физический предмет. Необходима проверка допустимых размеров и объёма партий; вместимость не определяется одной массой.</w:t>
      </w:r>
    </w:p>
    <w:p>
      <w:pPr>
        <w:pStyle w:val="ListBullet"/>
      </w:pPr>
      <w:r>
        <w:t xml:space="preserve">В реальных определениях грузов 1.61 найден </w:t>
      </w:r>
      <w:r>
        <w:rPr>
          <w:rFonts w:ascii="Noto Sans Mono" w:hAnsi="Noto Sans Mono"/>
        </w:rPr>
        <w:t>maximum_distance</w:t>
      </w:r>
      <w:r>
        <w:t xml:space="preserve"> (например, песок — 800, живые свиньи — 600). Можно закладывать ограничение 1000 для новых грузов; работу ограничения и используемое игрой расстояние нужно проверить рейсом.</w:t>
      </w:r>
    </w:p>
    <w:p>
      <w:pPr>
        <w:pStyle w:val="ListBullet"/>
      </w:pPr>
      <w:r>
        <w:t>Не проверены определения всех подходящих компаний на основной карте и в каждом установленном картографическом DLC.</w:t>
      </w:r>
    </w:p>
    <w:p>
      <w:pPr>
        <w:pStyle w:val="ListBullet"/>
      </w:pPr>
      <w:r>
        <w:t>Нужно проверить настройки и фактическую оплату рейса, а также расход топлива под нагрузкой.</w:t>
      </w:r>
    </w:p>
    <w:p>
      <w:pPr>
        <w:pStyle w:val="ListBullet"/>
      </w:pPr>
      <w:r>
        <w:t>В текущей облачной среде отсутствует тестовая ETS2 с подтверждённой версией 1.61.1.1s и установленными DLC. Окончательная совместимость, поездка, сохранение и поведение физики должны быть подтверждены игровым тестом пользователя либо в подходящей игровой среде.</w:t>
      </w:r>
    </w:p>
    <w:p>
      <w:r>
        <w:t xml:space="preserve">До завершения этих проверок документ не подтверждает готовность самостоятельного </w:t>
      </w:r>
      <w:r>
        <w:rPr>
          <w:rFonts w:ascii="Noto Sans Mono" w:hAnsi="Noto Sans Mono"/>
        </w:rPr>
        <w:t>.scs</w:t>
      </w:r>
      <w:r>
        <w:t xml:space="preserve"> и выполнение критериев приёмки.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Техническое задание · Renault Master · ETS2 1.61.1.1s      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Noto Sans" w:hAnsi="Noto Sans"/>
      <w:sz w:val="20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" w:hAnsi="Noto Sans"/>
      <w:b/>
      <w:bCs/>
      <w:color w:val="18355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" w:hAnsi="Noto Sans"/>
      <w:b/>
      <w:bCs/>
      <w:color w:val="18355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" w:hAnsi="Noto Sans"/>
      <w:color w:val="18355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ТЗ: грузовой Renault Master · ETS2 1.61.1.1s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