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Техническое задание: грузовой Renault Master для Euro Truck Simulator 2</w:t>
      </w:r>
    </w:p>
    <w:p>
      <w:r>
        <w:t>Требования зафиксированы по ответам пользователя на 26 вопросов и трём снимкам списка официальных DLC. Это описание требуемого результата, а не подтверждение готовности мода или его совместимости. Техническая схема оплачиваемых перевозок без действий с прицепом требует проверки.</w:t>
      </w:r>
    </w:p>
    <w:p>
      <w:pPr>
        <w:pStyle w:val="Heading1"/>
      </w:pPr>
      <w:r>
        <w:t>Цель и приоритеты</w:t>
      </w:r>
    </w:p>
    <w:p>
      <w:r>
        <w:t xml:space="preserve">Подготовить один самостоятельный файл </w:t>
      </w:r>
      <w:r>
        <w:rPr>
          <w:rFonts w:ascii="Noto Sans Mono" w:hAnsi="Noto Sans Mono"/>
        </w:rPr>
        <w:t>.scs</w:t>
      </w:r>
      <w:r>
        <w:t xml:space="preserve"> для личного использования, который объединит исходные пакеты Renault Master и добавит оплачиваемую перевозку грузов строго внутри грузовой части автомобиля.</w:t>
      </w:r>
    </w:p>
    <w:p>
      <w:r>
        <w:t>Три обязательных приоритета первой рабочей сборки:</w:t>
      </w:r>
    </w:p>
    <w:p>
      <w:pPr>
        <w:pStyle w:val="ListNumber"/>
      </w:pPr>
      <w:r>
        <w:t>Оплачиваемые рейсы.</w:t>
      </w:r>
    </w:p>
    <w:p>
      <w:pPr>
        <w:pStyle w:val="ListNumber"/>
      </w:pPr>
      <w:r>
        <w:t>Коробки и мебель в качестве перевозимых грузов.</w:t>
      </w:r>
    </w:p>
    <w:p>
      <w:pPr>
        <w:pStyle w:val="ListNumber"/>
      </w:pPr>
      <w:r>
        <w:t>Размещение груза внутри кузова, без видимого прицепа и без груза снаружи автомобиля.</w:t>
      </w:r>
    </w:p>
    <w:p>
      <w:r>
        <w:t xml:space="preserve">Исходный материал — архив </w:t>
      </w:r>
      <w:r>
        <w:rPr>
          <w:rFonts w:ascii="Noto Sans Mono" w:hAnsi="Noto Sans Mono"/>
        </w:rPr>
        <w:t>Renault_Master_2020_1.61x.zip</w:t>
      </w:r>
      <w:r>
        <w:t xml:space="preserve">, содержащий пакеты </w:t>
      </w:r>
      <w:r>
        <w:rPr>
          <w:rFonts w:ascii="Noto Sans Mono" w:hAnsi="Noto Sans Mono"/>
        </w:rPr>
        <w:t>Renault Master Def.scs</w:t>
      </w:r>
      <w:r>
        <w:t xml:space="preserve"> и </w:t>
      </w:r>
      <w:r>
        <w:rPr>
          <w:rFonts w:ascii="Noto Sans Mono" w:hAnsi="Noto Sans Mono"/>
        </w:rPr>
        <w:t>Renault Master 2020_1.61x.scs</w:t>
      </w:r>
      <w:r>
        <w:t xml:space="preserve">. Указанного в исходных пакетах автора </w:t>
      </w:r>
      <w:r>
        <w:rPr>
          <w:b/>
        </w:rPr>
        <w:t>Gaza</w:t>
      </w:r>
      <w:r>
        <w:t xml:space="preserve"> необходимо сохранить в сведениях об исходном моде.</w:t>
      </w:r>
    </w:p>
    <w:p>
      <w:pPr>
        <w:pStyle w:val="Heading1"/>
      </w:pPr>
      <w:r>
        <w:t>Игра и совместимость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</w:tcPr>
          <w:p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4933"/>
          </w:tcPr>
          <w:p>
            <w:r>
              <w:rPr>
                <w:b/>
                <w:sz w:val="17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Игра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Euro Truck Simulator 2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Точная версия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1.61.1.1s</w:t>
            </w: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Режим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Только одиночная игра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Другие пользовательские моды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Отсутствуют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Дополнения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Только официальные DLC из списка ниже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Проверка исходного Master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Пользователь ещё не устанавливал и не проверял исходный мод в игре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Используемый автомобиль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Сохранить существующую машину из исходного мода; не вводить обязательную отдельную покупку новой версии</w:t>
            </w:r>
          </w:p>
        </w:tc>
      </w:tr>
    </w:tbl>
    <w:p/>
    <w:p>
      <w:r>
        <w:t>Грузы должны работать на всей доступной карте, включая установленные официальные картографические DLC. Снимки экрана показывают официальные дополнения, а не сторонние модификации карт. Поддержка дополнительных сторонних карт в это ТЗ не входит.</w:t>
      </w:r>
    </w:p>
    <w:p>
      <w:pPr>
        <w:pStyle w:val="Heading2"/>
      </w:pPr>
      <w:r>
        <w:t>Установленные картографические DLC</w:t>
      </w:r>
    </w:p>
    <w:p>
      <w:pPr>
        <w:pStyle w:val="ListBullet"/>
      </w:pPr>
      <w:r>
        <w:t>Nordic Horizons.</w:t>
      </w:r>
    </w:p>
    <w:p>
      <w:pPr>
        <w:pStyle w:val="ListBullet"/>
      </w:pPr>
      <w:r>
        <w:t>Greece.</w:t>
      </w:r>
    </w:p>
    <w:p>
      <w:pPr>
        <w:pStyle w:val="ListBullet"/>
      </w:pPr>
      <w:r>
        <w:t>West Balkans.</w:t>
      </w:r>
    </w:p>
    <w:p>
      <w:pPr>
        <w:pStyle w:val="ListBullet"/>
      </w:pPr>
      <w:r>
        <w:t>Iberia.</w:t>
      </w:r>
    </w:p>
    <w:p>
      <w:pPr>
        <w:pStyle w:val="ListBullet"/>
      </w:pPr>
      <w:r>
        <w:t>Road to the Black Sea.</w:t>
      </w:r>
    </w:p>
    <w:p>
      <w:pPr>
        <w:pStyle w:val="ListBullet"/>
      </w:pPr>
      <w:r>
        <w:t>Beyond the Baltic Sea.</w:t>
      </w:r>
    </w:p>
    <w:p>
      <w:pPr>
        <w:pStyle w:val="ListBullet"/>
      </w:pPr>
      <w:r>
        <w:t>Going East!</w:t>
      </w:r>
    </w:p>
    <w:p>
      <w:pPr>
        <w:pStyle w:val="ListBullet"/>
      </w:pPr>
      <w:r>
        <w:t>Italia.</w:t>
      </w:r>
    </w:p>
    <w:p>
      <w:pPr>
        <w:pStyle w:val="ListBullet"/>
      </w:pPr>
      <w:r>
        <w:t>Scandinavia.</w:t>
      </w:r>
    </w:p>
    <w:p>
      <w:pPr>
        <w:pStyle w:val="ListBullet"/>
      </w:pPr>
      <w:r>
        <w:t>Vive la France!</w:t>
      </w:r>
    </w:p>
    <w:p>
      <w:pPr>
        <w:pStyle w:val="Heading2"/>
      </w:pPr>
      <w:r>
        <w:t>Остальные официальные DLC, показанные пользователем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</w:tcPr>
          <w:p>
            <w:r>
              <w:rPr>
                <w:b/>
                <w:sz w:val="17"/>
              </w:rPr>
              <w:t>Группа</w:t>
            </w:r>
          </w:p>
        </w:tc>
        <w:tc>
          <w:tcPr>
            <w:tcW w:type="dxa" w:w="4933"/>
          </w:tcPr>
          <w:p>
            <w:r>
              <w:rPr>
                <w:b/>
                <w:sz w:val="17"/>
              </w:rPr>
              <w:t>Дополнения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Грузы и специальные перевозки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Farm Machinery; Volvo Construction Equipment; Heavy Cargo Pack; High Power Cargo Pack; Special Transport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Прицепы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Krone Trailer Pack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Тюнинг грузовиков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Renault Trucks T Tuning Pack; FH Tuning Pack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Покраски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Modern Lines Paint Jobs Pack; Street Art Paint Jobs Pack; Super Stripes Paint Jobs Pack; Polish Paint Jobs Pack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Шины, колёса и аксессуары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Goodyear Tyres Pack; Wheel Tuning Pack; Window Flags; Cabin Accessories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Промоматериалы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Rocket League Promo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7"/>
              </w:rPr>
              <w:t>Официальные автомобили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  <w:t>DAF XD; DAF XF Electric; DAF XG/XG+; Iveco S-Way; MAN TGX; Renault Trucks E-Tech T; Scania S BEV; Volvo FH Series 5; Volvo FH Series 6</w:t>
            </w:r>
          </w:p>
        </w:tc>
      </w:tr>
    </w:tbl>
    <w:p/>
    <w:p>
      <w:r>
        <w:t>Наличие перечисленных DLC не означает, что каждый из них обязан стать зависимостью самого мода. Зависимости следует определить по используемым игровым ресурсам; дополнительных покупок или установки сторонних модов пользователь не запрашивал. Проверка покрытия компаний и грузов должна охватывать всю установленную карту.</w:t>
      </w:r>
    </w:p>
    <w:p>
      <w:pPr>
        <w:pStyle w:val="Heading1"/>
      </w:pPr>
      <w:r>
        <w:t>Перевозки и взаимодействие с игрой</w:t>
      </w:r>
    </w:p>
    <w:p>
      <w:pPr>
        <w:pStyle w:val="ListBullet"/>
      </w:pPr>
      <w:r>
        <w:t xml:space="preserve">Груз находится </w:t>
      </w:r>
      <w:r>
        <w:rPr>
          <w:b/>
        </w:rPr>
        <w:t>строго внутри кузова</w:t>
      </w:r>
      <w:r>
        <w:t>, в грузовой части фургона. Он не должен выступать за пределы автомобиля.</w:t>
      </w:r>
    </w:p>
    <w:p>
      <w:pPr>
        <w:pStyle w:val="ListBullet"/>
      </w:pPr>
      <w:r>
        <w:t>Видимый прицеп недопустим.</w:t>
      </w:r>
    </w:p>
    <w:p>
      <w:pPr>
        <w:pStyle w:val="ListBullet"/>
      </w:pPr>
      <w:r>
        <w:t xml:space="preserve">Пользователь выбрал запрет технической прицепной механики: </w:t>
      </w:r>
      <w:r>
        <w:rPr>
          <w:b/>
        </w:rPr>
        <w:t>«никаких действий с прицепом»</w:t>
      </w:r>
      <w:r>
        <w:t>. Отдельная покупка, сцепка, расцепка или иные действия с прицепом не должны входить в процесс перевозки.</w:t>
      </w:r>
    </w:p>
    <w:p>
      <w:pPr>
        <w:pStyle w:val="ListBullet"/>
      </w:pPr>
      <w:r>
        <w:t xml:space="preserve">Одновременно пользователь выбрал режим </w:t>
      </w:r>
      <w:r>
        <w:rPr>
          <w:b/>
        </w:rPr>
        <w:t>Cargo Market — «со своим прицепом»</w:t>
      </w:r>
      <w:r>
        <w:t xml:space="preserve">. Это сочетание с запретом прицепной механики </w:t>
      </w:r>
      <w:r>
        <w:rPr>
          <w:b/>
        </w:rPr>
        <w:t>требует технической проверки</w:t>
      </w:r>
      <w:r>
        <w:t>. Нельзя считать скрытый прицеп согласованным решением только из-за выбора Cargo Market. Если игра требует прицеп для этого рынка, такую зависимость необходимо явно показать как ограничение реализации, а не молча заменить требуемый процесс.</w:t>
      </w:r>
    </w:p>
    <w:p>
      <w:pPr>
        <w:pStyle w:val="ListBullet"/>
      </w:pPr>
      <w:r>
        <w:t>Погрузка и доставка происходят в обычных игровых точках компаний.</w:t>
      </w:r>
    </w:p>
    <w:p>
      <w:pPr>
        <w:pStyle w:val="ListBullet"/>
      </w:pPr>
      <w:r>
        <w:t>Маршруты должны быть доступны из всех подходящих городов и компаний на установленной карте.</w:t>
      </w:r>
    </w:p>
    <w:p>
      <w:pPr>
        <w:pStyle w:val="ListBullet"/>
      </w:pPr>
      <w:r>
        <w:t xml:space="preserve">Длина заказа — </w:t>
      </w:r>
      <w:r>
        <w:rPr>
          <w:b/>
        </w:rPr>
        <w:t>не более 1000 км</w:t>
      </w:r>
      <w:r>
        <w:t>. Предпочтение отдано небольшим расстояниям.</w:t>
      </w:r>
    </w:p>
    <w:p>
      <w:pPr>
        <w:pStyle w:val="ListBullet"/>
      </w:pPr>
      <w:r>
        <w:t>Желательно согласовать тип груза с профилем компании. Например, для металлургической компании подходят металлические детали, смазочные материалы для деталей и аналогичные небольшие товары. Это требование к логике ассортимента, а не разрешение создавать тяжёлые грузы сверх лимита фургона.</w:t>
      </w:r>
    </w:p>
    <w:p>
      <w:pPr>
        <w:pStyle w:val="ListBullet"/>
      </w:pPr>
      <w:r>
        <w:t>Для собранной дорогой мебели желательны срочные доставки на короткие расстояния.</w:t>
      </w:r>
    </w:p>
    <w:p>
      <w:r>
        <w:t>Ограничение длины рейса и отсутствие прицепных действий являются требованиями пользователя. Их фактическая поддержка средствами игры пока не подтверждена.</w:t>
      </w:r>
    </w:p>
    <w:p>
      <w:pPr>
        <w:pStyle w:val="Heading1"/>
      </w:pPr>
      <w:r>
        <w:t>Номенклатура и вместимость</w:t>
      </w:r>
    </w:p>
    <w:p>
      <w:r>
        <w:t xml:space="preserve">Максимальная суммарная масса перевозимого груза на рейс — </w:t>
      </w:r>
      <w:r>
        <w:rPr>
          <w:b/>
        </w:rPr>
        <w:t>1200 кг</w:t>
      </w:r>
      <w:r>
        <w:t>. Любой визуальный груз должен помещаться внутри выбранного кузова, независимо от допустимой массы.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</w:trPr>
        <w:tc>
          <w:tcPr>
            <w:tcW w:type="dxa" w:w="2466"/>
          </w:tcPr>
          <w:p>
            <w:r>
              <w:rPr>
                <w:b/>
                <w:sz w:val="17"/>
              </w:rPr>
              <w:t>Категория</w:t>
            </w:r>
          </w:p>
        </w:tc>
        <w:tc>
          <w:tcPr>
            <w:tcW w:type="dxa" w:w="2466"/>
          </w:tcPr>
          <w:p>
            <w:r>
              <w:rPr>
                <w:b/>
                <w:sz w:val="17"/>
              </w:rPr>
              <w:t>Согласованные примеры</w:t>
            </w:r>
          </w:p>
        </w:tc>
        <w:tc>
          <w:tcPr>
            <w:tcW w:type="dxa" w:w="2466"/>
          </w:tcPr>
          <w:p>
            <w:r>
              <w:rPr>
                <w:b/>
                <w:sz w:val="17"/>
              </w:rPr>
              <w:t>Масса груза на рейс, кг</w:t>
            </w:r>
          </w:p>
        </w:tc>
        <w:tc>
          <w:tcPr>
            <w:tcW w:type="dxa" w:w="2466"/>
          </w:tcPr>
          <w:p>
            <w:r>
              <w:rPr>
                <w:b/>
                <w:sz w:val="17"/>
              </w:rPr>
              <w:t>Количество, указанное пользователем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7"/>
              </w:rPr>
              <w:t>Коробки с товарами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Продукты, мебель, мебельные аксессуары; также коробки с документами и другими товарами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100–1000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7"/>
              </w:rPr>
              <w:t>Картон, пустая тара, палеты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Картоны, палеты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50–1200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7"/>
              </w:rPr>
              <w:t>Мебель в упаковке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Шкафы, столы, стулья; допустима собранная мебель в коробках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100–800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1–5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7"/>
              </w:rPr>
              <w:t>Собранная мебель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Трельяж, кухня, столы, шкафы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150–500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1–2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7"/>
              </w:rPr>
              <w:t>Бытовая техника и сантехника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Стиральные машины, умывальники, посудомоечные машины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50–400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  <w:t>1–4</w:t>
            </w:r>
          </w:p>
        </w:tc>
      </w:tr>
    </w:tbl>
    <w:p/>
    <w:p>
      <w:r>
        <w:t>Числа в последней колонке сохранены из ответа пользователя. Для коробок и пустой тары не установлено, означает ли «1» одну упаковку или один комплект груза на рейс. Габариты предметов, палет и комплектов необходимо сопоставить с реальной геометрией кузова; указание «кухня» не означает, что полный гарнитур любого размера заведомо помещается в автомобиль.</w:t>
      </w:r>
    </w:p>
    <w:p>
      <w:pPr>
        <w:pStyle w:val="Heading1"/>
      </w:pPr>
      <w:r>
        <w:t>Оплата</w:t>
      </w:r>
    </w:p>
    <w:p>
      <w:r>
        <w:t xml:space="preserve">Нужны небольшие доходы, сопоставимые с курьерской доставкой. Ориентир пользователя — около </w:t>
      </w:r>
      <w:r>
        <w:rPr>
          <w:b/>
        </w:rPr>
        <w:t>1 доллара США за 1 километр</w:t>
      </w:r>
      <w:r>
        <w:t>, с коэффициентом ценности груза: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</w:tcPr>
          <w:p>
            <w:r>
              <w:rPr>
                <w:b/>
                <w:sz w:val="17"/>
              </w:rPr>
              <w:t>Тип груза</w:t>
            </w:r>
          </w:p>
        </w:tc>
        <w:tc>
          <w:tcPr>
            <w:tcW w:type="dxa" w:w="3289"/>
          </w:tcPr>
          <w:p>
            <w:r>
              <w:rPr>
                <w:b/>
                <w:sz w:val="17"/>
              </w:rPr>
              <w:t>Коэффициент</w:t>
            </w:r>
          </w:p>
        </w:tc>
        <w:tc>
          <w:tcPr>
            <w:tcW w:type="dxa" w:w="3289"/>
          </w:tcPr>
          <w:p>
            <w:r>
              <w:rPr>
                <w:b/>
                <w:sz w:val="17"/>
              </w:rPr>
              <w:t>Ориентир ставки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7"/>
              </w:rPr>
              <w:t>Менее ценные товары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  <w:t>1,1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  <w:t>Около 1,10 USD/км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7"/>
              </w:rPr>
              <w:t>Ценные и важные товары, в том числе дорогая мебель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  <w:t>1,5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  <w:t>Около 1,50 USD/км</w:t>
            </w:r>
          </w:p>
        </w:tc>
      </w:tr>
    </w:tbl>
    <w:p/>
    <w:p>
      <w:r>
        <w:t xml:space="preserve">Базовый расчёт: </w:t>
      </w:r>
      <w:r>
        <w:rPr>
          <w:rFonts w:ascii="Noto Sans Mono" w:hAnsi="Noto Sans Mono"/>
        </w:rPr>
        <w:t>оплата ≈ длина рейса × 1 USD/км × коэффициент груза</w:t>
      </w:r>
      <w:r>
        <w:t>.</w:t>
      </w:r>
    </w:p>
    <w:p>
      <w:r>
        <w:t>Это приблизительный целевой уровень оплаты. Валюта интерфейса игры и правила пересчёта в неё пока не указаны. Влияние штатных навыков, бонусов, штрафов и игровых механизмов экономики нужно определить при проверке; наличие этих механизмов не подтверждает точное совпадение итоговой суммы с формулой.</w:t>
      </w:r>
    </w:p>
    <w:p>
      <w:pPr>
        <w:pStyle w:val="Heading1"/>
      </w:pPr>
      <w:r>
        <w:t>Кузов и отображение груза</w:t>
      </w:r>
    </w:p>
    <w:p>
      <w:pPr>
        <w:pStyle w:val="ListBullet"/>
      </w:pPr>
      <w:r>
        <w:t xml:space="preserve">Использовать грузовой фургон </w:t>
      </w:r>
      <w:r>
        <w:rPr>
          <w:b/>
        </w:rPr>
        <w:t>без задних сидений</w:t>
      </w:r>
      <w:r>
        <w:t>.</w:t>
      </w:r>
    </w:p>
    <w:p>
      <w:pPr>
        <w:pStyle w:val="ListBullet"/>
      </w:pPr>
      <w:r>
        <w:t>Если такой вариант кузова имеет окна, через которые видна грузовая часть, перевозимый груз должен быть виден через эти окна, а также при доступном виде снаружи или изнутри кузова.</w:t>
      </w:r>
    </w:p>
    <w:p>
      <w:pPr>
        <w:pStyle w:val="ListBullet"/>
      </w:pPr>
      <w:r>
        <w:t>Если грузовой вариант не имеет окон, позволяющих увидеть грузовую часть, достаточно названия груза и его массы в заказе; обязательная видимость груза тогда не требуется.</w:t>
      </w:r>
    </w:p>
    <w:p>
      <w:pPr>
        <w:pStyle w:val="ListBullet"/>
      </w:pPr>
      <w:r>
        <w:t>Визуальные коробки, мебель или техника остаются внутри грузового отсека и не заменяются предметами снаружи автомобиля.</w:t>
      </w:r>
    </w:p>
    <w:p>
      <w:pPr>
        <w:pStyle w:val="ListBullet"/>
      </w:pPr>
      <w:r>
        <w:t>Достаточно текущих возможностей модели по анимациям. Новые анимации дверей, погрузки или выгрузки не являются обязательным требованием.</w:t>
      </w:r>
    </w:p>
    <w:p>
      <w:pPr>
        <w:pStyle w:val="ListBullet"/>
      </w:pPr>
      <w:r>
        <w:t>Возможность изменения кузова, моделей груза и анимаций определяется доступными игровыми файлами. Дополнительные редактируемые исходники пользователем не предоставлены.</w:t>
      </w:r>
    </w:p>
    <w:p>
      <w:r>
        <w:t>Размещение и смена визуального груза должны соответствовать перевозимому типу настолько, насколько это позволяет проверенная модель и согласованная схема. Наличие подходящей грузовой геометрии без сидений пока не установлено.</w:t>
      </w:r>
    </w:p>
    <w:p>
      <w:pPr>
        <w:pStyle w:val="Heading1"/>
      </w:pPr>
      <w:r>
        <w:t>Сохранение поведения исходного автомобиля</w:t>
      </w:r>
    </w:p>
    <w:p>
      <w:r>
        <w:t xml:space="preserve">Проверенные значения в исходном Def: фактический бак </w:t>
      </w:r>
      <w:r>
        <w:rPr>
          <w:rFonts w:ascii="Noto Sans Mono" w:hAnsi="Noto Sans Mono"/>
        </w:rPr>
        <w:t>960 л</w:t>
      </w:r>
      <w:r>
        <w:t xml:space="preserve"> при подписи </w:t>
      </w:r>
      <w:r>
        <w:rPr>
          <w:rFonts w:ascii="Noto Sans Mono" w:hAnsi="Noto Sans Mono"/>
        </w:rPr>
        <w:t>60 л</w:t>
      </w:r>
      <w:r>
        <w:t xml:space="preserve">, момент двигателя </w:t>
      </w:r>
      <w:r>
        <w:rPr>
          <w:rFonts w:ascii="Noto Sans Mono" w:hAnsi="Noto Sans Mono"/>
        </w:rPr>
        <w:t>1750 Н·м</w:t>
      </w:r>
      <w:r>
        <w:t xml:space="preserve"> при подписи </w:t>
      </w:r>
      <w:r>
        <w:rPr>
          <w:rFonts w:ascii="Noto Sans Mono" w:hAnsi="Noto Sans Mono"/>
        </w:rPr>
        <w:t>250 Н·м</w:t>
      </w:r>
      <w:r>
        <w:t xml:space="preserve">, масса по осям суммарно </w:t>
      </w:r>
      <w:r>
        <w:rPr>
          <w:rFonts w:ascii="Noto Sans Mono" w:hAnsi="Noto Sans Mono"/>
        </w:rPr>
        <w:t>10 800,2 кг</w:t>
      </w:r>
      <w:r>
        <w:t>. Эти значения показывают, что настройки исходного мода нельзя заменять реальными характеристиками фургона без проверки поведения. В диагностической базовой сборке они сохраняются.</w:t>
      </w:r>
    </w:p>
    <w:p>
      <w:r>
        <w:t>Необходимо сохранить ощущения исходного мода и следующие возможности:</w:t>
      </w:r>
    </w:p>
    <w:p>
      <w:pPr>
        <w:pStyle w:val="ListBullet"/>
      </w:pPr>
      <w:r>
        <w:t>Звуки и интерьер.</w:t>
      </w:r>
    </w:p>
    <w:p>
      <w:pPr>
        <w:pStyle w:val="ListBullet"/>
      </w:pPr>
      <w:r>
        <w:t>Покраски и аксессуары.</w:t>
      </w:r>
    </w:p>
    <w:p>
      <w:pPr>
        <w:pStyle w:val="ListBullet"/>
      </w:pPr>
      <w:r>
        <w:t>Камеры.</w:t>
      </w:r>
    </w:p>
    <w:p>
      <w:pPr>
        <w:pStyle w:val="ListBullet"/>
      </w:pPr>
      <w:r>
        <w:t>Двигатель и коробку передач.</w:t>
      </w:r>
    </w:p>
    <w:p>
      <w:pPr>
        <w:pStyle w:val="ListBullet"/>
      </w:pPr>
      <w:r>
        <w:t>Настройку управления.</w:t>
      </w:r>
    </w:p>
    <w:p>
      <w:r>
        <w:t>Исправление найденных несовпадений в описаниях допустимо, если оно не ухудшает игровой процесс пользователя. Простое уменьшение завышенного бака без соответствующей проверки расхода недопустимо, если в результате автомобиль сможет проехать лишь около 100 км.</w:t>
      </w:r>
    </w:p>
    <w:p>
      <w:r>
        <w:t xml:space="preserve">Пожелание пользователя по топливу: если фактическая комплектация имеет бак </w:t>
      </w:r>
      <w:r>
        <w:rPr>
          <w:b/>
        </w:rPr>
        <w:t>60 л</w:t>
      </w:r>
      <w:r>
        <w:t xml:space="preserve">, расход под нагрузкой при скорости </w:t>
      </w:r>
      <w:r>
        <w:rPr>
          <w:b/>
        </w:rPr>
        <w:t>120–160 км/ч</w:t>
      </w:r>
      <w:r>
        <w:t xml:space="preserve"> должен составлять </w:t>
      </w:r>
      <w:r>
        <w:rPr>
          <w:b/>
        </w:rPr>
        <w:t>не более 8 л/100 км</w:t>
      </w:r>
      <w:r>
        <w:t>. Это целевой игровой показатель из ответа пользователя, а не подтверждённая реальная характеристика Renault Master. Соответствие фактического расхода этому требованию необходимо проверить поездкой; изменения не должны сводиться к правке текстового описания.</w:t>
      </w:r>
    </w:p>
    <w:p>
      <w:r>
        <w:t>При расходе 8 л/100 км бак 60 л даёт около 750 км до заправки. Требование рейсов до 1000 км не означает запрет заправки в пути; отдельного требования пройти весь рейс без заправки пользователь не задавал.</w:t>
      </w:r>
    </w:p>
    <w:p>
      <w:pPr>
        <w:pStyle w:val="Heading1"/>
      </w:pPr>
      <w:r>
        <w:t>Комплект поставки</w:t>
      </w:r>
    </w:p>
    <w:p>
      <w:pPr>
        <w:pStyle w:val="ListBullet"/>
      </w:pPr>
      <w:r/>
      <w:r>
        <w:rPr>
          <w:b/>
        </w:rPr>
        <w:t>Один самостоятельный `.scs`</w:t>
      </w:r>
      <w:r>
        <w:t xml:space="preserve">, заменяющий оба исходных пакета. Работа нового файла не должна требовать одновременной активации </w:t>
      </w:r>
      <w:r>
        <w:rPr>
          <w:rFonts w:ascii="Noto Sans Mono" w:hAnsi="Noto Sans Mono"/>
        </w:rPr>
        <w:t>Renault Master Def.scs</w:t>
      </w:r>
      <w:r>
        <w:t xml:space="preserve"> и </w:t>
      </w:r>
      <w:r>
        <w:rPr>
          <w:rFonts w:ascii="Noto Sans Mono" w:hAnsi="Noto Sans Mono"/>
        </w:rPr>
        <w:t>Renault Master 2020_1.61x.scs</w:t>
      </w:r>
      <w:r>
        <w:t>.</w:t>
      </w:r>
    </w:p>
    <w:p>
      <w:pPr>
        <w:pStyle w:val="ListBullet"/>
      </w:pPr>
      <w:r>
        <w:t xml:space="preserve">Названия и пользовательский интерфейс, относящиеся к создаваемому моду, — </w:t>
      </w:r>
      <w:r>
        <w:rPr>
          <w:b/>
        </w:rPr>
        <w:t>на русском языке</w:t>
      </w:r>
      <w:r>
        <w:t>.</w:t>
      </w:r>
    </w:p>
    <w:p>
      <w:pPr>
        <w:pStyle w:val="ListBullet"/>
      </w:pPr>
      <w:r>
        <w:t>Инструкция по установке, необходимым настройкам и проверке — на русском языке.</w:t>
      </w:r>
    </w:p>
    <w:p>
      <w:pPr>
        <w:pStyle w:val="ListBullet"/>
      </w:pPr>
      <w:r>
        <w:t xml:space="preserve">Назначение — </w:t>
      </w:r>
      <w:r>
        <w:rPr>
          <w:b/>
        </w:rPr>
        <w:t>только личное использование</w:t>
      </w:r>
      <w:r>
        <w:t>, без публикации.</w:t>
      </w:r>
    </w:p>
    <w:p>
      <w:pPr>
        <w:pStyle w:val="ListBullet"/>
      </w:pPr>
      <w:r>
        <w:t xml:space="preserve">Сохранить сведения об авторе исходного мода </w:t>
      </w:r>
      <w:r>
        <w:rPr>
          <w:b/>
        </w:rPr>
        <w:t>Gaza</w:t>
      </w:r>
      <w:r>
        <w:t>; новые материалы и изменения не должны выдаваться за оригинальную работу автора.</w:t>
      </w:r>
    </w:p>
    <w:p>
      <w:pPr>
        <w:pStyle w:val="Heading1"/>
      </w:pPr>
      <w:r>
        <w:t>Критерии приёмки</w:t>
      </w:r>
    </w:p>
    <w:p>
      <w:r>
        <w:t>Пользователь подтвердил все следующие критерии:</w:t>
      </w:r>
    </w:p>
    <w:p>
      <w:pPr>
        <w:pStyle w:val="ListNumber"/>
      </w:pPr>
      <w:r>
        <w:t xml:space="preserve">Мод активируется в ETS2 </w:t>
      </w:r>
      <w:r>
        <w:rPr>
          <w:b/>
        </w:rPr>
        <w:t>1.61.1.1s</w:t>
      </w:r>
      <w:r>
        <w:t>; автомобиль доступен и не вызывает вылетов.</w:t>
      </w:r>
    </w:p>
    <w:p>
      <w:pPr>
        <w:pStyle w:val="ListNumber"/>
      </w:pPr>
      <w:r>
        <w:t>В согласованном режиме появляется оплачиваемый заказ с нужным грузом и массой в установленном диапазоне, не превышающей 1200 кг.</w:t>
      </w:r>
    </w:p>
    <w:p>
      <w:pPr>
        <w:pStyle w:val="ListNumber"/>
      </w:pPr>
      <w:r>
        <w:t>Можно загрузиться, выполнить рейс, сдать груз и получить оплату.</w:t>
      </w:r>
    </w:p>
    <w:p>
      <w:pPr>
        <w:pStyle w:val="ListNumber"/>
      </w:pPr>
      <w:r>
        <w:t>Сцепка, парковка, коллизии и управление соответствуют выбранной схеме. При этом критерий о сцепке не отменяет отдельного запрета пользователя на действия с прицепом.</w:t>
      </w:r>
    </w:p>
    <w:p>
      <w:pPr>
        <w:pStyle w:val="ListNumber"/>
      </w:pPr>
      <w:r>
        <w:t>Если для выбранного кузова требуется визуальный груз, он отображается и меняется в соответствии с предусмотренной схемой, оставаясь внутри автомобиля.</w:t>
      </w:r>
    </w:p>
    <w:p>
      <w:pPr>
        <w:pStyle w:val="ListNumber"/>
      </w:pPr>
      <w:r>
        <w:t>Сохранение после рейса загружается повторно; нет новых ошибок, вызванных модом.</w:t>
      </w:r>
    </w:p>
    <w:p>
      <w:pPr>
        <w:pStyle w:val="ListNumber"/>
      </w:pPr>
      <w:r>
        <w:t>Проверена заявленная совместимость с установленными официальными DLC; штатные автомобили и заказы продолжают работать; приложена инструкция.</w:t>
      </w:r>
    </w:p>
    <w:p>
      <w:r>
        <w:t>В рамках проверки необходимо отдельно подтвердить требуемую дальность заказов, оплату и фактический расход топлива. Проверка структуры архива и текстовых определений не заменяет игровой рейс.</w:t>
      </w:r>
    </w:p>
    <w:p>
      <w:r>
        <w:t xml:space="preserve">Пользователь готов выполнить тестовый рейс и предоставить </w:t>
      </w:r>
      <w:r>
        <w:rPr>
          <w:rFonts w:ascii="Noto Sans Mono" w:hAnsi="Noto Sans Mono"/>
        </w:rPr>
        <w:t>game.log.txt</w:t>
      </w:r>
      <w:r>
        <w:t>. Тестирование следует проводить на копии профиля, сохраняя исходное сохранение.</w:t>
      </w:r>
    </w:p>
    <w:p>
      <w:pPr>
        <w:pStyle w:val="Heading1"/>
      </w:pPr>
      <w:r>
        <w:t>Данные и проверки, которые остаются</w:t>
      </w:r>
    </w:p>
    <w:p>
      <w:r>
        <w:t>Это открытые технические вопросы и проверки, а не повторное согласование уже выбранных требований:</w:t>
      </w:r>
    </w:p>
    <w:p>
      <w:pPr>
        <w:pStyle w:val="ListBullet"/>
      </w:pPr>
      <w:r>
        <w:t>Операционная система пользователя не указана.</w:t>
      </w:r>
    </w:p>
    <w:p>
      <w:pPr>
        <w:pStyle w:val="ListBullet"/>
      </w:pPr>
      <w:r>
        <w:t>Валюта игрового интерфейса не указана; необходима проверка пересчёта целевой ставки в USD.</w:t>
      </w:r>
    </w:p>
    <w:p>
      <w:pPr>
        <w:pStyle w:val="ListBullet"/>
      </w:pPr>
      <w:r>
        <w:t>Исходный Renault Master ещё не проверен пользователем в ETS2 1.61.1.1s.</w:t>
      </w:r>
    </w:p>
    <w:p>
      <w:pPr>
        <w:pStyle w:val="ListBullet"/>
      </w:pPr>
      <w:r>
        <w:t>Нужно проверить возможность Cargo Market при полном отсутствии действий с прицепом. Скрытая прицепная механика не согласована.</w:t>
      </w:r>
    </w:p>
    <w:p>
      <w:pPr>
        <w:pStyle w:val="ListBullet"/>
      </w:pPr>
      <w:r>
        <w:t>Нужно исследовать фактическую геометрию кузова, наличие варианта без задних сидений, окна и возможность видимого груза внутри автомобиля.</w:t>
      </w:r>
    </w:p>
    <w:p>
      <w:pPr>
        <w:pStyle w:val="ListBullet"/>
      </w:pPr>
      <w:r>
        <w:t>Необходима проверка допустимых размеров предметов и трактовки количества «1» для коробок и тары; нельзя обещать вместимость только по массе.</w:t>
      </w:r>
    </w:p>
    <w:p>
      <w:pPr>
        <w:pStyle w:val="ListBullet"/>
      </w:pPr>
      <w:r>
        <w:t>Не подтверждена возможность гарантировать максимум 1000 км для всех создаваемых заказов без изменения штатных заказов.</w:t>
      </w:r>
    </w:p>
    <w:p>
      <w:pPr>
        <w:pStyle w:val="ListBullet"/>
      </w:pPr>
      <w:r>
        <w:t>Не проверены определения всех подходящих компаний на основной карте и в каждом установленном картографическом DLC.</w:t>
      </w:r>
    </w:p>
    <w:p>
      <w:pPr>
        <w:pStyle w:val="ListBullet"/>
      </w:pPr>
      <w:r>
        <w:t>Нужно проверить настройки и фактическую оплату рейса, а также расход топлива под нагрузкой.</w:t>
      </w:r>
    </w:p>
    <w:p>
      <w:pPr>
        <w:pStyle w:val="ListBullet"/>
      </w:pPr>
      <w:r>
        <w:t>В текущей облачной среде отсутствует тестовая ETS2 с подтверждённой версией 1.61.1.1s и установленными DLC. Окончательная совместимость, поездка, сохранение и поведение физики должны быть подтверждены игровым тестом пользователя либо в подходящей игровой среде.</w:t>
      </w:r>
    </w:p>
    <w:p>
      <w:r>
        <w:t xml:space="preserve">До завершения этих проверок документ не подтверждает готовность самостоятельного </w:t>
      </w:r>
      <w:r>
        <w:rPr>
          <w:rFonts w:ascii="Noto Sans Mono" w:hAnsi="Noto Sans Mono"/>
        </w:rPr>
        <w:t>.scs</w:t>
      </w:r>
      <w:r>
        <w:t xml:space="preserve"> и выполнение критериев приёмки.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Техническое задание · Renault Master · ETS2 1.61.1.1s      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" w:hAnsi="Noto Sans"/>
      <w:sz w:val="20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" w:hAnsi="Noto Sans"/>
      <w:b/>
      <w:bCs/>
      <w:color w:val="18355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" w:hAnsi="Noto Sans"/>
      <w:b/>
      <w:bCs/>
      <w:color w:val="18355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" w:hAnsi="Noto Sans"/>
      <w:color w:val="18355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ТЗ: грузовой Renault Master · ETS2 1.61.1.1s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