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CD8CF" w14:textId="52167AEE" w:rsidR="003819D6" w:rsidRPr="003819D6" w:rsidRDefault="00015E64" w:rsidP="006F52FB">
      <w:pPr>
        <w:spacing w:after="0" w:line="360" w:lineRule="auto"/>
        <w:ind w:firstLine="426"/>
        <w:rPr>
          <w:rFonts w:cs="Times New Roman"/>
          <w:b/>
          <w:bCs/>
        </w:rPr>
      </w:pPr>
      <w:r w:rsidRPr="003819D6">
        <w:rPr>
          <w:rFonts w:cs="Times New Roman"/>
          <w:b/>
          <w:bCs/>
        </w:rPr>
        <w:t>Инструменты тестирования</w:t>
      </w:r>
    </w:p>
    <w:p w14:paraId="3FDD2718" w14:textId="77777777" w:rsidR="003819D6" w:rsidRDefault="003819D6" w:rsidP="006F52FB">
      <w:pPr>
        <w:spacing w:after="0" w:line="360" w:lineRule="auto"/>
        <w:ind w:firstLine="426"/>
        <w:jc w:val="both"/>
        <w:rPr>
          <w:rFonts w:cs="Times New Roman"/>
        </w:rPr>
      </w:pPr>
    </w:p>
    <w:p w14:paraId="7B5AC02F" w14:textId="6B2CFBA8" w:rsidR="003819D6" w:rsidRPr="003819D6" w:rsidRDefault="00015E64" w:rsidP="006F52FB">
      <w:pPr>
        <w:spacing w:after="0" w:line="360" w:lineRule="auto"/>
        <w:ind w:firstLine="426"/>
        <w:jc w:val="both"/>
        <w:rPr>
          <w:rFonts w:cs="Times New Roman"/>
          <w:b/>
          <w:bCs/>
        </w:rPr>
      </w:pPr>
      <w:r w:rsidRPr="003819D6">
        <w:rPr>
          <w:rFonts w:cs="Times New Roman"/>
          <w:b/>
          <w:bCs/>
        </w:rPr>
        <w:t xml:space="preserve">Инструменты тестирования </w:t>
      </w:r>
    </w:p>
    <w:p w14:paraId="425BE9E1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Инструменты тестирования могут использоваться для одной и более активностей тестирования. Это могут быть: </w:t>
      </w:r>
    </w:p>
    <w:p w14:paraId="2F1650B5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Инструменты, которые напрямую используются в тестировании, например, инструменты выполняющие тесты, подготавливающие тестовые данные </w:t>
      </w:r>
    </w:p>
    <w:p w14:paraId="092B3E48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Инструменты, помогающие управлять требованиями, тестовыми сценариями, тестовыми процедурами, автоматизированными тестовыми скриптами, результатами тестирования, тестовыми данными, дефектами, а также инструменты создания отчетов и мониторинга выполнения тестов </w:t>
      </w:r>
    </w:p>
    <w:p w14:paraId="52BE3AF6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Инструменты, используемые для исследования и оценки </w:t>
      </w:r>
    </w:p>
    <w:p w14:paraId="0AF4AE02" w14:textId="6D96D81A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Любые инструменты, которые используется при тестировании (электронная таблица </w:t>
      </w:r>
      <w:r w:rsidR="003819D6" w:rsidRPr="00015E64">
        <w:rPr>
          <w:rFonts w:cs="Times New Roman"/>
        </w:rPr>
        <w:t>— это</w:t>
      </w:r>
      <w:r w:rsidRPr="00015E64">
        <w:rPr>
          <w:rFonts w:cs="Times New Roman"/>
        </w:rPr>
        <w:t xml:space="preserve"> тоже инструмент тестирования) </w:t>
      </w:r>
    </w:p>
    <w:p w14:paraId="07C3772A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3819D6">
        <w:rPr>
          <w:rFonts w:cs="Times New Roman"/>
          <w:b/>
          <w:bCs/>
        </w:rPr>
        <w:t>Классификация инструментов тестирования</w:t>
      </w:r>
      <w:r w:rsidRPr="00015E64">
        <w:rPr>
          <w:rFonts w:cs="Times New Roman"/>
        </w:rPr>
        <w:t xml:space="preserve"> </w:t>
      </w:r>
    </w:p>
    <w:p w14:paraId="7594ED40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Инструменты, поддерживающие тестирование, могут иметь одну или несколько целей, в зависимости от контекста: </w:t>
      </w:r>
    </w:p>
    <w:p w14:paraId="61CFC47A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Повысить эффективность тестирования за счет автоматизации повторяющихся действий или задач, которые требуют значительных трудозатрат при выполнении вручную (например, выполнение тестов, регрессионное тестирование) </w:t>
      </w:r>
    </w:p>
    <w:p w14:paraId="4FBB8B49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Повысить эффективность за счет поддержки ручного тестирования на протяжении всего процесса тестирования </w:t>
      </w:r>
    </w:p>
    <w:p w14:paraId="418719F4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Повысить качество тестирования, предоставляя более содержательное тестирование и более высокий уровень воспроизводимости дефектов </w:t>
      </w:r>
    </w:p>
    <w:p w14:paraId="275C7A1E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Автоматизировать действия, которые невозможно выполнить вручную (например, масштабное тестирование производительности) </w:t>
      </w:r>
    </w:p>
    <w:p w14:paraId="5E27E521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Увеличить надежность тестирования (например, путем автоматизации сравнения большого объема данных или моделирования поведения) </w:t>
      </w:r>
      <w:r w:rsidRPr="00015E64">
        <w:rPr>
          <w:rFonts w:cs="Times New Roman"/>
        </w:rPr>
        <w:lastRenderedPageBreak/>
        <w:t xml:space="preserve">Классификация инструментов может быть разной в зависимости от нескольких критериев: цели, цены, предоставляемой лицензии (например, коммерческий продукт или с открытым исходным кодом), используемой технологии. В нашей программе обучения инструменты классифицированы в соответствии с видом деятельности, которому они сопутствуют. Одни инструменты способны поддерживать один (всегда или как правило) вид деятельности, другие могут использоваться для выполнения сразу нескольких активностей, но классифицируются они в соответствии с той активностью, с которой наиболее тесно связаны. Инструменты от одного производителя могут быть объединены в единый интегрированный пакет, особенно если были разработаны для совместного использования. Некоторые типы инструментов могут стать помехой, влияя на результат теста. Например, фактическое время ответа приложения может изменяться из-за дополнительных операций, выполняемых инструментом нагрузочного тестирования. Последствия использования подобных инструментов называют побочным эффектом. Другие инструменты предлагают </w:t>
      </w:r>
      <w:r w:rsidR="003819D6" w:rsidRPr="00015E64">
        <w:rPr>
          <w:rFonts w:cs="Times New Roman"/>
        </w:rPr>
        <w:t>поддержку,</w:t>
      </w:r>
      <w:r w:rsidRPr="00015E64">
        <w:rPr>
          <w:rFonts w:cs="Times New Roman"/>
        </w:rPr>
        <w:t xml:space="preserve"> наиболее подходящую для разработчиков (например, инструменты, используемые при выполнении компонентного и интеграционного тестирования). Такие инструменты отмечены буквой “D” в нижеследующих разделах. Инструменты управления тестированием и тестовым окружением Инструменты управления применяются к любым активностям тестирования на протяжении всего жизненного цикла программного продукта. Примерами инструментов, поддерживающих управление тестированием и тестовым окружением, являются: </w:t>
      </w:r>
    </w:p>
    <w:p w14:paraId="120A388A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управления тестированием и инструменты управления жизненным циклом приложения (ALM - </w:t>
      </w:r>
      <w:proofErr w:type="spellStart"/>
      <w:r w:rsidRPr="00015E64">
        <w:rPr>
          <w:rFonts w:cs="Times New Roman"/>
        </w:rPr>
        <w:t>application</w:t>
      </w:r>
      <w:proofErr w:type="spellEnd"/>
      <w:r w:rsidRPr="00015E64">
        <w:rPr>
          <w:rFonts w:cs="Times New Roman"/>
        </w:rPr>
        <w:t xml:space="preserve"> </w:t>
      </w:r>
      <w:proofErr w:type="spellStart"/>
      <w:r w:rsidRPr="00015E64">
        <w:rPr>
          <w:rFonts w:cs="Times New Roman"/>
        </w:rPr>
        <w:t>lifecycle</w:t>
      </w:r>
      <w:proofErr w:type="spellEnd"/>
      <w:r w:rsidRPr="00015E64">
        <w:rPr>
          <w:rFonts w:cs="Times New Roman"/>
        </w:rPr>
        <w:t xml:space="preserve"> </w:t>
      </w:r>
      <w:proofErr w:type="spellStart"/>
      <w:r w:rsidRPr="00015E64">
        <w:rPr>
          <w:rFonts w:cs="Times New Roman"/>
        </w:rPr>
        <w:t>management</w:t>
      </w:r>
      <w:proofErr w:type="spellEnd"/>
      <w:r w:rsidRPr="00015E64">
        <w:rPr>
          <w:rFonts w:cs="Times New Roman"/>
        </w:rPr>
        <w:t xml:space="preserve">) </w:t>
      </w:r>
    </w:p>
    <w:p w14:paraId="53E96300" w14:textId="1245924C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управления требованиями (например, </w:t>
      </w:r>
      <w:proofErr w:type="spellStart"/>
      <w:r w:rsidRPr="00015E64">
        <w:rPr>
          <w:rFonts w:cs="Times New Roman"/>
        </w:rPr>
        <w:t>трассируемость</w:t>
      </w:r>
      <w:proofErr w:type="spellEnd"/>
      <w:r w:rsidRPr="00015E64">
        <w:rPr>
          <w:rFonts w:cs="Times New Roman"/>
        </w:rPr>
        <w:t xml:space="preserve"> объектов тестирования) </w:t>
      </w:r>
    </w:p>
    <w:p w14:paraId="683D8D6B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управления дефектами </w:t>
      </w:r>
    </w:p>
    <w:p w14:paraId="3B70BD59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управления конфигурацией </w:t>
      </w:r>
    </w:p>
    <w:p w14:paraId="6BB73CEC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lastRenderedPageBreak/>
        <w:t xml:space="preserve">● Инструменты непрерывной интеграции (D) Инструменты статического тестирования Активности и выгоды, связанные с инструментами статического тестирования, описаны в главе 3. Примерами таких инструментов являются: </w:t>
      </w:r>
    </w:p>
    <w:p w14:paraId="419BD4F5" w14:textId="2D27D230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рецензирования </w:t>
      </w:r>
    </w:p>
    <w:p w14:paraId="3DB7D53C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статического анализа (D) Инструменты проектирования и реализации </w:t>
      </w:r>
      <w:r w:rsidR="003819D6" w:rsidRPr="00015E64">
        <w:rPr>
          <w:rFonts w:cs="Times New Roman"/>
        </w:rPr>
        <w:t>тестов.</w:t>
      </w:r>
      <w:r w:rsidRPr="00015E64">
        <w:rPr>
          <w:rFonts w:cs="Times New Roman"/>
        </w:rPr>
        <w:t xml:space="preserve"> На этапе разработки и реализации тестов инструменты проектирования тестов способствуют созданию поддерживаемых рабочих продуктов. Этот этап включает в себя проектирование и реализацию тестовых сценариев, процедур тестирования и тестовых данных. Примерами таких инструментов являются: </w:t>
      </w:r>
    </w:p>
    <w:p w14:paraId="49EBA77F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проектирования тестов </w:t>
      </w:r>
    </w:p>
    <w:p w14:paraId="4FABF6EA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тестирования на основе модели </w:t>
      </w:r>
    </w:p>
    <w:p w14:paraId="234A11A5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подготовки тестовых данных </w:t>
      </w:r>
    </w:p>
    <w:p w14:paraId="1DB0D1D5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разработки тестов через приемочное тестирование (ATDD – </w:t>
      </w:r>
      <w:proofErr w:type="spellStart"/>
      <w:r w:rsidRPr="00015E64">
        <w:rPr>
          <w:rFonts w:cs="Times New Roman"/>
        </w:rPr>
        <w:t>acceptance</w:t>
      </w:r>
      <w:proofErr w:type="spellEnd"/>
      <w:r w:rsidRPr="00015E64">
        <w:rPr>
          <w:rFonts w:cs="Times New Roman"/>
        </w:rPr>
        <w:t xml:space="preserve"> </w:t>
      </w:r>
      <w:proofErr w:type="spellStart"/>
      <w:r w:rsidRPr="00015E64">
        <w:rPr>
          <w:rFonts w:cs="Times New Roman"/>
        </w:rPr>
        <w:t>test</w:t>
      </w:r>
      <w:proofErr w:type="spellEnd"/>
      <w:r w:rsidRPr="00015E64">
        <w:rPr>
          <w:rFonts w:cs="Times New Roman"/>
        </w:rPr>
        <w:t xml:space="preserve"> </w:t>
      </w:r>
      <w:proofErr w:type="spellStart"/>
      <w:r w:rsidRPr="00015E64">
        <w:rPr>
          <w:rFonts w:cs="Times New Roman"/>
        </w:rPr>
        <w:t>driven</w:t>
      </w:r>
      <w:proofErr w:type="spellEnd"/>
      <w:r w:rsidRPr="00015E64">
        <w:rPr>
          <w:rFonts w:cs="Times New Roman"/>
        </w:rPr>
        <w:t xml:space="preserve"> </w:t>
      </w:r>
      <w:proofErr w:type="spellStart"/>
      <w:r w:rsidRPr="00015E64">
        <w:rPr>
          <w:rFonts w:cs="Times New Roman"/>
        </w:rPr>
        <w:t>development</w:t>
      </w:r>
      <w:proofErr w:type="spellEnd"/>
      <w:r w:rsidRPr="00015E64">
        <w:rPr>
          <w:rFonts w:cs="Times New Roman"/>
        </w:rPr>
        <w:t xml:space="preserve">) и на основе поведения (BDD - </w:t>
      </w:r>
      <w:proofErr w:type="spellStart"/>
      <w:r w:rsidRPr="00015E64">
        <w:rPr>
          <w:rFonts w:cs="Times New Roman"/>
        </w:rPr>
        <w:t>behavior</w:t>
      </w:r>
      <w:proofErr w:type="spellEnd"/>
      <w:r w:rsidRPr="00015E64">
        <w:rPr>
          <w:rFonts w:cs="Times New Roman"/>
        </w:rPr>
        <w:t xml:space="preserve"> </w:t>
      </w:r>
      <w:proofErr w:type="spellStart"/>
      <w:r w:rsidRPr="00015E64">
        <w:rPr>
          <w:rFonts w:cs="Times New Roman"/>
        </w:rPr>
        <w:t>driven</w:t>
      </w:r>
      <w:proofErr w:type="spellEnd"/>
      <w:r w:rsidRPr="00015E64">
        <w:rPr>
          <w:rFonts w:cs="Times New Roman"/>
        </w:rPr>
        <w:t xml:space="preserve"> </w:t>
      </w:r>
      <w:proofErr w:type="spellStart"/>
      <w:r w:rsidRPr="00015E64">
        <w:rPr>
          <w:rFonts w:cs="Times New Roman"/>
        </w:rPr>
        <w:t>development</w:t>
      </w:r>
      <w:proofErr w:type="spellEnd"/>
      <w:r w:rsidRPr="00015E64">
        <w:rPr>
          <w:rFonts w:cs="Times New Roman"/>
        </w:rPr>
        <w:t xml:space="preserve">) </w:t>
      </w:r>
    </w:p>
    <w:p w14:paraId="49590A83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разработки через тестирование (D) Некоторые инструменты проектирования и реализации тестов могут поддерживать исполнение и протоколирование тестов или напрямую предоставлять необходимые данные инструментам, поддерживающим эти действия. Инструменты выполнения тестов и протоколирования </w:t>
      </w:r>
    </w:p>
    <w:p w14:paraId="113A795A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Существует множество инструментов для поддержки и улучшения активностей по выполнению тестов и протоколированию действий. Примерами таких инструментов являются: </w:t>
      </w:r>
    </w:p>
    <w:p w14:paraId="515F0A5C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выполнения тестов (например, запуск регрессионных тестов) ● Инструменты покрытия (например, покрытие требований, покрытие кода (D)) </w:t>
      </w:r>
    </w:p>
    <w:p w14:paraId="6E91CF01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Тестовые обвязки (D) </w:t>
      </w:r>
    </w:p>
    <w:p w14:paraId="38BDDCE0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Интегрированные среды компонентного тестирования (D) </w:t>
      </w:r>
    </w:p>
    <w:p w14:paraId="3ADEAFD3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lastRenderedPageBreak/>
        <w:t xml:space="preserve">Инструменты динамического анализа и тестирования </w:t>
      </w:r>
      <w:proofErr w:type="gramStart"/>
      <w:r w:rsidRPr="00015E64">
        <w:rPr>
          <w:rFonts w:cs="Times New Roman"/>
        </w:rPr>
        <w:t>производительности</w:t>
      </w:r>
      <w:proofErr w:type="gramEnd"/>
      <w:r w:rsidRPr="00015E64">
        <w:rPr>
          <w:rFonts w:cs="Times New Roman"/>
        </w:rPr>
        <w:t xml:space="preserve"> Без инструментов динамического анализа и инструментов, предназначенных для измерения производительности, вручную невозможно эффективно выполнить тестирование производительности и нагрузки. Примерами таких инструментов являются: </w:t>
      </w:r>
    </w:p>
    <w:p w14:paraId="46C55F90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тестирования производительности </w:t>
      </w:r>
    </w:p>
    <w:p w14:paraId="3DC3A2AA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мониторинга </w:t>
      </w:r>
    </w:p>
    <w:p w14:paraId="74E948FE" w14:textId="34A21E1A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●Инструменты динамического анализа Инструменты для специализированных нужд тестирования </w:t>
      </w:r>
    </w:p>
    <w:p w14:paraId="711A848E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В дополнение к инструментам, которые сопутствуют основным процессам тестирования, существует множество инструментов для конкретных нужд тестирования. Примерами могут быть инструменты, ориентированные на: </w:t>
      </w:r>
    </w:p>
    <w:p w14:paraId="09BB5722" w14:textId="730A66E6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Оценку качества данных </w:t>
      </w:r>
    </w:p>
    <w:p w14:paraId="69C20DE3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Преобразование и перенос данных </w:t>
      </w:r>
    </w:p>
    <w:p w14:paraId="7391D444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Тестирование практичности </w:t>
      </w:r>
    </w:p>
    <w:p w14:paraId="779CCFFE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Тестирование доступности </w:t>
      </w:r>
    </w:p>
    <w:p w14:paraId="2F5CA3E5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Тестирование локализации </w:t>
      </w:r>
    </w:p>
    <w:p w14:paraId="2C3B435D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Тестирование безопасности (D) </w:t>
      </w:r>
    </w:p>
    <w:p w14:paraId="657DCE41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Тестирование переносимости (например, тестирование программного продукта на нескольких поддерживаемых платформах) </w:t>
      </w:r>
    </w:p>
    <w:p w14:paraId="2270C2B1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3819D6">
        <w:rPr>
          <w:rFonts w:cs="Times New Roman"/>
          <w:b/>
          <w:bCs/>
        </w:rPr>
        <w:t>Преимущества и риски автоматизации тестирования</w:t>
      </w:r>
      <w:r w:rsidRPr="00015E64">
        <w:rPr>
          <w:rFonts w:cs="Times New Roman"/>
        </w:rPr>
        <w:t xml:space="preserve"> </w:t>
      </w:r>
    </w:p>
    <w:p w14:paraId="57EF6DEC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Покупка какого-либо инструмента не дает гарантии его успешного использования. Ввод в эксплуатацию нового инструмента всегда требует усилий, чтобы достичь реальной и долгосрочной выгоды. Говоря про потенциальную выгоду и возможности использования инструментов тестирования, необходимо помнить и про риски. Особенно, это касается инструментов выполнения тестирования (часто называемые инструментами автоматизации). Преимущества использования инструментов, сопровождающих выполнение тестирования: </w:t>
      </w:r>
    </w:p>
    <w:p w14:paraId="46EA1631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lastRenderedPageBreak/>
        <w:t xml:space="preserve">● Уменьшение повторяющихся действий, выполняемых вручную (например, выполнение регрессионных тестов, задачи по развертыванию/свертыванию окружения, повторный ввод одних и тех же тестовых данных, проверка на соответствие стандартам оформления кода) и за счет этого экономия времени ● Увеличение целостности и стабильности (например, последовательно связанные тестовые данные, тесты, выполняемые инструментом в одном и том же порядке и с одинаковой частотой, тесты, полученные из требований) </w:t>
      </w:r>
    </w:p>
    <w:p w14:paraId="5C8AE413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Более объективная оценка (например, статические измерения, покрытие) </w:t>
      </w:r>
    </w:p>
    <w:p w14:paraId="5007453D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>● Улучшение доступности информации о тестировании (например, статистика и графики процесса тестирования, доля дефектов и информация о тестировании производительности) Риски использования инструментов тестирования:</w:t>
      </w:r>
    </w:p>
    <w:p w14:paraId="633F11DC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Нереалистичные ожидания от использования инструмента (включая функциональность и простоту использования) </w:t>
      </w:r>
    </w:p>
    <w:p w14:paraId="05CBBE10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>● Недооценка времени, стоимости и трудозатрат, необходимых для внедрения инструмента (например, обучение, внешняя экспертиза)</w:t>
      </w:r>
    </w:p>
    <w:p w14:paraId="69FACF5C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Недооценка времени и трудозатрат, необходимых для достижения значительной и постоянной выгоды от использования инструмента (включая необходимость изменений в процессе тестирования и непрерывного улучшения способов использования инструмента) </w:t>
      </w:r>
    </w:p>
    <w:p w14:paraId="3CFCF440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>● Недооценка трудозатрат, необходимых для поддержки тестовых данных, сгенерированных инструментом</w:t>
      </w:r>
    </w:p>
    <w:p w14:paraId="738F3E1D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 ● Чрезмерная зависимость от инструмента (замена проектирования тестов или использование автоматизированного тестирования там, где уместнее использовать ручное тестирование) </w:t>
      </w:r>
    </w:p>
    <w:p w14:paraId="40C6D5CA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Пренебрежение контролем версий тестовых ресурсов в инструменте </w:t>
      </w:r>
    </w:p>
    <w:p w14:paraId="708D1556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Пренебрежение взаимодействием между ключевыми инструментами тестирования - инструментами управления требованиями, управления конфигурацией, дефектами, а также пренебрежение взаимодействием между </w:t>
      </w:r>
      <w:r w:rsidRPr="00015E64">
        <w:rPr>
          <w:rFonts w:cs="Times New Roman"/>
        </w:rPr>
        <w:lastRenderedPageBreak/>
        <w:t xml:space="preserve">инструментами от разных производителей. Риски, связанные с уходом производителя инструмента из бизнеса, выходом инструмента из обращения, продажей инструмента другому поставщику </w:t>
      </w:r>
    </w:p>
    <w:p w14:paraId="7BE2CD94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Медленная реакция производителя по вопросам поддержки, обновления и исправления дефектов </w:t>
      </w:r>
    </w:p>
    <w:p w14:paraId="5558F4C7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Приостановка проекта с открытым исходным кодом </w:t>
      </w:r>
    </w:p>
    <w:p w14:paraId="0921A505" w14:textId="7C783B3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Отсутствие возможности поддерживать новую платформу или технологию ● Инструмент может не находиться в собственности поставщика (например, только курирование, обновление) </w:t>
      </w:r>
    </w:p>
    <w:p w14:paraId="2B84B9C6" w14:textId="77777777" w:rsidR="003819D6" w:rsidRDefault="003819D6" w:rsidP="006F52FB">
      <w:pPr>
        <w:spacing w:after="0" w:line="360" w:lineRule="auto"/>
        <w:ind w:firstLine="426"/>
        <w:jc w:val="both"/>
        <w:rPr>
          <w:rFonts w:cs="Times New Roman"/>
        </w:rPr>
      </w:pPr>
    </w:p>
    <w:p w14:paraId="0AA203C7" w14:textId="0477A16B" w:rsidR="003819D6" w:rsidRDefault="00015E64" w:rsidP="006F52FB">
      <w:pPr>
        <w:spacing w:after="0" w:line="360" w:lineRule="auto"/>
        <w:ind w:firstLine="426"/>
        <w:rPr>
          <w:rFonts w:cs="Times New Roman"/>
        </w:rPr>
      </w:pPr>
      <w:r w:rsidRPr="003819D6">
        <w:rPr>
          <w:rFonts w:cs="Times New Roman"/>
          <w:b/>
          <w:bCs/>
        </w:rPr>
        <w:t>Особенности использования инструментов выполнения и управления тестами</w:t>
      </w:r>
    </w:p>
    <w:p w14:paraId="69012532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>Для успешной реализации тестов существует ряд факторов, которые необходимо учитывать при выборе и последующей интеграции инструментов выполнения и управления тестами Инструменты выполнения тестов Инструменты выполнения тестов исполняют тестовые скрипты. И зачастую, используя такие инструменты, необходимо приложить значительные усилия, чтобы достигнуть существенного результата. Запись действий, выполняемых вручную, в тестовые скрипты выглядит заманчиво, но подходит не для всех тестов. Созданный таким образом скрипт – это линейная последовательность конкретных действий с конкретными данными. И в случае возникновения непредусмотренных событий данный скрипт окажется ненадежным. Последнее поколение инструментов, использующих технологию захвата действий пользователя, повысило применимость инструментов подобного класса. Тем не менее, сгенерированные скрипты по-прежнему требуют постоянной поддержки, поскольку интерфейс пользователя системы со временем меняется. При тестировании на основе данных (</w:t>
      </w:r>
      <w:proofErr w:type="spellStart"/>
      <w:r w:rsidRPr="00015E64">
        <w:rPr>
          <w:rFonts w:cs="Times New Roman"/>
        </w:rPr>
        <w:t>data-driven</w:t>
      </w:r>
      <w:proofErr w:type="spellEnd"/>
      <w:r w:rsidRPr="00015E64">
        <w:rPr>
          <w:rFonts w:cs="Times New Roman"/>
        </w:rPr>
        <w:t xml:space="preserve"> </w:t>
      </w:r>
      <w:proofErr w:type="spellStart"/>
      <w:r w:rsidRPr="00015E64">
        <w:rPr>
          <w:rFonts w:cs="Times New Roman"/>
        </w:rPr>
        <w:t>testing</w:t>
      </w:r>
      <w:proofErr w:type="spellEnd"/>
      <w:r w:rsidRPr="00015E64">
        <w:rPr>
          <w:rFonts w:cs="Times New Roman"/>
        </w:rPr>
        <w:t xml:space="preserve"> </w:t>
      </w:r>
      <w:proofErr w:type="spellStart"/>
      <w:r w:rsidRPr="00015E64">
        <w:rPr>
          <w:rFonts w:cs="Times New Roman"/>
        </w:rPr>
        <w:t>approach</w:t>
      </w:r>
      <w:proofErr w:type="spellEnd"/>
      <w:r w:rsidRPr="00015E64">
        <w:rPr>
          <w:rFonts w:cs="Times New Roman"/>
        </w:rPr>
        <w:t xml:space="preserve">) выбираются входные данные и ожидаемый результат, обычно сформированные в виде таблицы, и используется единый скрипт, который, считывая входные данные из таблицы, выполняется с разным набором данных. </w:t>
      </w:r>
      <w:r w:rsidRPr="00015E64">
        <w:rPr>
          <w:rFonts w:cs="Times New Roman"/>
        </w:rPr>
        <w:lastRenderedPageBreak/>
        <w:t>Даже те тестировщики, которые не знакомы со скриптовыми языками, впоследствии могут создавать новые наборы тестовых данных для таких ранее определенных скриптов. При тестировании на основе ключевых слов (</w:t>
      </w:r>
      <w:proofErr w:type="spellStart"/>
      <w:r w:rsidRPr="00015E64">
        <w:rPr>
          <w:rFonts w:cs="Times New Roman"/>
        </w:rPr>
        <w:t>keyword</w:t>
      </w:r>
      <w:proofErr w:type="spellEnd"/>
      <w:r w:rsidRPr="00015E64">
        <w:rPr>
          <w:rFonts w:cs="Times New Roman"/>
        </w:rPr>
        <w:t xml:space="preserve"> </w:t>
      </w:r>
      <w:proofErr w:type="spellStart"/>
      <w:r w:rsidRPr="00015E64">
        <w:rPr>
          <w:rFonts w:cs="Times New Roman"/>
        </w:rPr>
        <w:t>driven</w:t>
      </w:r>
      <w:proofErr w:type="spellEnd"/>
      <w:r w:rsidRPr="00015E64">
        <w:rPr>
          <w:rFonts w:cs="Times New Roman"/>
        </w:rPr>
        <w:t xml:space="preserve"> </w:t>
      </w:r>
      <w:proofErr w:type="spellStart"/>
      <w:r w:rsidRPr="00015E64">
        <w:rPr>
          <w:rFonts w:cs="Times New Roman"/>
        </w:rPr>
        <w:t>testing</w:t>
      </w:r>
      <w:proofErr w:type="spellEnd"/>
      <w:r w:rsidRPr="00015E64">
        <w:rPr>
          <w:rFonts w:cs="Times New Roman"/>
        </w:rPr>
        <w:t xml:space="preserve">), единый скрипт обрабатывает ключевые слова, описывающие действия, которые нужно предпринять (так называемые слова-действия), </w:t>
      </w:r>
      <w:r w:rsidR="003819D6" w:rsidRPr="00015E64">
        <w:rPr>
          <w:rFonts w:cs="Times New Roman"/>
        </w:rPr>
        <w:t>затем, по ключевым словам,</w:t>
      </w:r>
      <w:r w:rsidRPr="00015E64">
        <w:rPr>
          <w:rFonts w:cs="Times New Roman"/>
        </w:rPr>
        <w:t xml:space="preserve"> вызываются скрипты для обработки соответствующих тестовых данных. Тестировщики, даже будучи не знакомыми со скриптовыми языками, </w:t>
      </w:r>
      <w:r w:rsidR="003819D6" w:rsidRPr="00015E64">
        <w:rPr>
          <w:rFonts w:cs="Times New Roman"/>
        </w:rPr>
        <w:t>по ключевым словам,</w:t>
      </w:r>
      <w:r w:rsidRPr="00015E64">
        <w:rPr>
          <w:rFonts w:cs="Times New Roman"/>
        </w:rPr>
        <w:t xml:space="preserve"> и соответствующим данным могут подбирать тесты под тестируемое приложение. Дополнительные подробности и примеры подходов на основе данных и ключевых слов приведены в программе обучения ISTQB-TAE для инженеров по автоматизации тестирования продвинутого уровня [</w:t>
      </w:r>
      <w:proofErr w:type="spellStart"/>
      <w:r w:rsidRPr="00015E64">
        <w:rPr>
          <w:rFonts w:cs="Times New Roman"/>
        </w:rPr>
        <w:t>Fewster</w:t>
      </w:r>
      <w:proofErr w:type="spellEnd"/>
      <w:r w:rsidRPr="00015E64">
        <w:rPr>
          <w:rFonts w:cs="Times New Roman"/>
        </w:rPr>
        <w:t xml:space="preserve"> 1999], [</w:t>
      </w:r>
      <w:proofErr w:type="spellStart"/>
      <w:r w:rsidRPr="00015E64">
        <w:rPr>
          <w:rFonts w:cs="Times New Roman"/>
        </w:rPr>
        <w:t>Buwalda</w:t>
      </w:r>
      <w:proofErr w:type="spellEnd"/>
      <w:r w:rsidRPr="00015E64">
        <w:rPr>
          <w:rFonts w:cs="Times New Roman"/>
        </w:rPr>
        <w:t xml:space="preserve"> 2001] Приведенные выше подходы нуждаются в экспертизе скриптов тестировщиком, разработчиком или специалистом по автоматизации тестов. Независимо от используемого метода написания скрипта, в каждом случае необходимо сопоставить ожидаемый и фактический результаты либо динамически (во время выполнения теста), либо, сохранив результаты теста, выполнить сравнение после прохождения тестов. Инструменты тестирования на основе модели позволяют интерпретировать функциональные требования в виде модели, например, в виде диаграммы действий. Эта задача обычно выполняется разработчиком системы. Такой инструмент интерпретирует модель для создания спецификаций тестовых сценариев, которые впоследствии могут быть сохранены в инструменте управления тестированием и/или могут использоваться инструментом выполнения тестов (см. также программу ISTQB-MBT Базовый уровень. Тестирование на основе моделей). Инструменты управления тестированием Инструменты управления тестированием зачастую должны быть интегрируемы с другими инструментами или электронными таблицами по ряду различных причин:</w:t>
      </w:r>
    </w:p>
    <w:p w14:paraId="6007CB5F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 ● для получения необходимой информации в удобном для организации формате </w:t>
      </w:r>
    </w:p>
    <w:p w14:paraId="1976FE3A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lastRenderedPageBreak/>
        <w:t xml:space="preserve">● для обеспечения постоянной </w:t>
      </w:r>
      <w:proofErr w:type="spellStart"/>
      <w:r w:rsidRPr="00015E64">
        <w:rPr>
          <w:rFonts w:cs="Times New Roman"/>
        </w:rPr>
        <w:t>трассируемости</w:t>
      </w:r>
      <w:proofErr w:type="spellEnd"/>
      <w:r w:rsidRPr="00015E64">
        <w:rPr>
          <w:rFonts w:cs="Times New Roman"/>
        </w:rPr>
        <w:t xml:space="preserve"> требований в инструменте управления требованиями </w:t>
      </w:r>
    </w:p>
    <w:p w14:paraId="6EAF8429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>● для обеспечения связи между версиями объекта тестирования в инструменте управления конфигурацией</w:t>
      </w:r>
    </w:p>
    <w:p w14:paraId="3C677836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Особенно важно это учитывать при использовании интегрированного инструмента (например, инструмента управления жизненным циклом приложения), который включает в себя модуль управления тестированием (и, возможно, систему управления дефектами), а также другие модули (например, планирования проекта и информации о бюджете), которые используются различными группами внутри организации. </w:t>
      </w:r>
    </w:p>
    <w:p w14:paraId="672135FE" w14:textId="078EBF0D" w:rsidR="003819D6" w:rsidRPr="003819D6" w:rsidRDefault="00015E64" w:rsidP="006F52FB">
      <w:pPr>
        <w:spacing w:after="0" w:line="360" w:lineRule="auto"/>
        <w:ind w:firstLine="426"/>
        <w:jc w:val="both"/>
        <w:rPr>
          <w:rFonts w:cs="Times New Roman"/>
          <w:b/>
          <w:bCs/>
        </w:rPr>
      </w:pPr>
      <w:r w:rsidRPr="003819D6">
        <w:rPr>
          <w:rFonts w:cs="Times New Roman"/>
          <w:b/>
          <w:bCs/>
        </w:rPr>
        <w:t xml:space="preserve">Эффективное использование инструментов </w:t>
      </w:r>
    </w:p>
    <w:p w14:paraId="05094B93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3819D6">
        <w:rPr>
          <w:rFonts w:cs="Times New Roman"/>
          <w:b/>
          <w:bCs/>
        </w:rPr>
        <w:t>Ключевые принципы выбора инструментов</w:t>
      </w:r>
      <w:r w:rsidRPr="00015E64">
        <w:rPr>
          <w:rFonts w:cs="Times New Roman"/>
        </w:rPr>
        <w:t xml:space="preserve"> </w:t>
      </w:r>
    </w:p>
    <w:p w14:paraId="63D6A120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Ключевыми принципами выбора инструментов для использования в организации являются: </w:t>
      </w:r>
    </w:p>
    <w:p w14:paraId="07CE50BE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Оценка зрелости организации, ее сильных и слабых сторон </w:t>
      </w:r>
    </w:p>
    <w:p w14:paraId="35230945" w14:textId="31CBEC7B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>●</w:t>
      </w:r>
      <w:r w:rsidR="003819D6">
        <w:rPr>
          <w:rFonts w:cs="Times New Roman"/>
        </w:rPr>
        <w:t xml:space="preserve"> </w:t>
      </w:r>
      <w:r w:rsidRPr="00015E64">
        <w:rPr>
          <w:rFonts w:cs="Times New Roman"/>
        </w:rPr>
        <w:t xml:space="preserve">Определение возможностей улучшения процесса тестирования, поддерживаемых инструментами </w:t>
      </w:r>
    </w:p>
    <w:p w14:paraId="06E00E12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Понимание технологий, используемых объектом (объектами) тестирования для выбора совместимого с технологией инструмента </w:t>
      </w:r>
    </w:p>
    <w:p w14:paraId="7CD9424D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Инструменты сборки и непрерывной интеграции, используемые в организации, для обеспечения совместимости и интеграции инструментов </w:t>
      </w:r>
    </w:p>
    <w:p w14:paraId="40053879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Оценка инструментов на соответствие предъявляемым требованиям и объективности критериев </w:t>
      </w:r>
    </w:p>
    <w:p w14:paraId="765E9C6C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Наличие бесплатного пробного периода использования (если есть, то на какой срок) </w:t>
      </w:r>
    </w:p>
    <w:p w14:paraId="77850517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Оценка надежности производителя (включая обучение, поддержку и коммерческие аспекты) или поддержка некоммерческих инструментов (например, с открытым исходным кодом) </w:t>
      </w:r>
    </w:p>
    <w:p w14:paraId="24F65BA1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Определение внутренних требований передачи знаний и опыта по использованию инструментов </w:t>
      </w:r>
    </w:p>
    <w:p w14:paraId="400FCF63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lastRenderedPageBreak/>
        <w:t xml:space="preserve">● Оценка необходимости обучения с учетом имеющихся навыков тестирования (и автоматизации тестирования) тех, кто напрямую будет работать с инструментами </w:t>
      </w:r>
    </w:p>
    <w:p w14:paraId="785FB6CA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Определение достоинств и недостатков различных вариантов лицензирования продуктов (например, коммерческих, с открытым исходным кодом) </w:t>
      </w:r>
    </w:p>
    <w:p w14:paraId="5DB9D682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>● Оценка соотношения затрат и выгоды применительно к конкретному бизнес-сценарию (если необходимо</w:t>
      </w:r>
      <w:proofErr w:type="gramStart"/>
      <w:r w:rsidRPr="00015E64">
        <w:rPr>
          <w:rFonts w:cs="Times New Roman"/>
        </w:rPr>
        <w:t>)</w:t>
      </w:r>
      <w:proofErr w:type="gramEnd"/>
      <w:r w:rsidRPr="00015E64">
        <w:rPr>
          <w:rFonts w:cs="Times New Roman"/>
        </w:rPr>
        <w:t xml:space="preserve"> Наконец, оценка правильности концепции, чтобы оценить, будет ли инструмент эффективен применительно к тестируемому программному продукту и текущей инфраструктуре, или определить объем изменений инфраструктуры для эффективного использования инструмента. </w:t>
      </w:r>
    </w:p>
    <w:p w14:paraId="0F3FE395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3819D6">
        <w:rPr>
          <w:rFonts w:cs="Times New Roman"/>
          <w:b/>
          <w:bCs/>
        </w:rPr>
        <w:t>Пилотный проект для оценки инструмента</w:t>
      </w:r>
      <w:r w:rsidRPr="00015E64">
        <w:rPr>
          <w:rFonts w:cs="Times New Roman"/>
        </w:rPr>
        <w:t xml:space="preserve"> </w:t>
      </w:r>
    </w:p>
    <w:p w14:paraId="2C59DE74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После выбора инструмента и успешного доказательства правильности концепции внедрение инструмента в организации обычно начинается с выбора пилотного проекта, целями которого являются: </w:t>
      </w:r>
    </w:p>
    <w:p w14:paraId="3E0F1B3F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Получить глубокие знания об инструменте, поняв его слабые и сильные стороны </w:t>
      </w:r>
    </w:p>
    <w:p w14:paraId="45B87560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Оценить, насколько инструмент соответствует существующему процессу и практикам применения, и определить, что необходимо изменить </w:t>
      </w:r>
    </w:p>
    <w:p w14:paraId="339D6483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Выбрать пути использования, управления, хранения и поддержки инструмента и тестов (например, определить правила именования файлов и тестов, выбрать стандарт программирования, создать библиотеки, определить модульность тестовых наборов) </w:t>
      </w:r>
    </w:p>
    <w:p w14:paraId="19F8CA26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Оценить, будет ли выгода оправдывать цену. </w:t>
      </w:r>
    </w:p>
    <w:p w14:paraId="75F1A7A8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Определить метрики, которые необходимо собирать и включать в отчет, и настроить инструмент соответствующим образом </w:t>
      </w:r>
    </w:p>
    <w:p w14:paraId="1FD6F87F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3819D6">
        <w:rPr>
          <w:rFonts w:cs="Times New Roman"/>
          <w:b/>
          <w:bCs/>
        </w:rPr>
        <w:t>Факторы успеха</w:t>
      </w:r>
      <w:r w:rsidRPr="00015E64">
        <w:rPr>
          <w:rFonts w:cs="Times New Roman"/>
        </w:rPr>
        <w:t xml:space="preserve"> </w:t>
      </w:r>
    </w:p>
    <w:p w14:paraId="67CF8565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Факторами успеха для оценки, внедрения, развертывания и постоянной поддержки инструмента в организации являются: </w:t>
      </w:r>
    </w:p>
    <w:p w14:paraId="11F03CBF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lastRenderedPageBreak/>
        <w:t xml:space="preserve">● Постепенное внедрение инструмента в масштабах организации </w:t>
      </w:r>
    </w:p>
    <w:p w14:paraId="5524A978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Адаптация и улучшение процессов в соответствии с использованием инструмента </w:t>
      </w:r>
    </w:p>
    <w:p w14:paraId="0AB043AC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Проведение обучения для тех, кто пользуется инструментом </w:t>
      </w:r>
    </w:p>
    <w:p w14:paraId="0E1BD0F7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Определение правил использования инструмента (например, внутренних стандартов автоматизации) </w:t>
      </w:r>
    </w:p>
    <w:p w14:paraId="29896FDE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Реализация способа сбора информации о фактическом использовании инструмента </w:t>
      </w:r>
    </w:p>
    <w:p w14:paraId="35E25498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Мониторинг использования инструмента и выгоды </w:t>
      </w:r>
    </w:p>
    <w:p w14:paraId="53ACE179" w14:textId="77777777" w:rsidR="003819D6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Обеспечение поддержки инструмента для команды тестирования </w:t>
      </w:r>
    </w:p>
    <w:p w14:paraId="2BC74F87" w14:textId="46D4256F" w:rsidR="006730BC" w:rsidRPr="00015E64" w:rsidRDefault="00015E64" w:rsidP="006F52FB">
      <w:pPr>
        <w:spacing w:after="0" w:line="360" w:lineRule="auto"/>
        <w:ind w:firstLine="426"/>
        <w:jc w:val="both"/>
        <w:rPr>
          <w:rFonts w:cs="Times New Roman"/>
        </w:rPr>
      </w:pPr>
      <w:r w:rsidRPr="00015E64">
        <w:rPr>
          <w:rFonts w:cs="Times New Roman"/>
        </w:rPr>
        <w:t xml:space="preserve">● Накопление извлеченного опыта от всех </w:t>
      </w:r>
      <w:proofErr w:type="gramStart"/>
      <w:r w:rsidRPr="00015E64">
        <w:rPr>
          <w:rFonts w:cs="Times New Roman"/>
        </w:rPr>
        <w:t>пользователей Также</w:t>
      </w:r>
      <w:proofErr w:type="gramEnd"/>
      <w:r w:rsidRPr="00015E64">
        <w:rPr>
          <w:rFonts w:cs="Times New Roman"/>
        </w:rPr>
        <w:t xml:space="preserve"> важно обеспечить техническую и организационную интеграцию инструмента в жизненный цикл разработки программного обеспечения, который может включать отдельные организации, отвечающие за отдельные процессы, и/или сторонних поставщиков. Об опыте и советах по использованию инструментов выполнения тестов см. [</w:t>
      </w:r>
      <w:proofErr w:type="spellStart"/>
      <w:r w:rsidRPr="00015E64">
        <w:rPr>
          <w:rFonts w:cs="Times New Roman"/>
        </w:rPr>
        <w:t>Graham</w:t>
      </w:r>
      <w:proofErr w:type="spellEnd"/>
      <w:r w:rsidRPr="00015E64">
        <w:rPr>
          <w:rFonts w:cs="Times New Roman"/>
        </w:rPr>
        <w:t xml:space="preserve"> 2012].</w:t>
      </w:r>
    </w:p>
    <w:sectPr w:rsidR="006730BC" w:rsidRPr="00015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5F440F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733AE98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11821B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88A6F154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8A469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3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87"/>
    <w:rsid w:val="00007B47"/>
    <w:rsid w:val="00015E64"/>
    <w:rsid w:val="000B5F28"/>
    <w:rsid w:val="000D3DBE"/>
    <w:rsid w:val="000F39D1"/>
    <w:rsid w:val="000F6F30"/>
    <w:rsid w:val="001012F4"/>
    <w:rsid w:val="002B4374"/>
    <w:rsid w:val="002F351E"/>
    <w:rsid w:val="003819D6"/>
    <w:rsid w:val="00425187"/>
    <w:rsid w:val="005F38ED"/>
    <w:rsid w:val="006730BC"/>
    <w:rsid w:val="006811A6"/>
    <w:rsid w:val="006F52FB"/>
    <w:rsid w:val="007A7BB4"/>
    <w:rsid w:val="009148DD"/>
    <w:rsid w:val="00AC11F8"/>
    <w:rsid w:val="00D344EF"/>
    <w:rsid w:val="00D81BC9"/>
    <w:rsid w:val="00D96E05"/>
    <w:rsid w:val="00EB0713"/>
    <w:rsid w:val="00F6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73D3C"/>
  <w15:chartTrackingRefBased/>
  <w15:docId w15:val="{C2AF98BB-9246-45B7-9927-24F25FF5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1F8"/>
    <w:pPr>
      <w:jc w:val="center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unhideWhenUsed/>
    <w:qFormat/>
    <w:rsid w:val="000F39D1"/>
    <w:pPr>
      <w:spacing w:after="15" w:line="360" w:lineRule="auto"/>
      <w:ind w:left="5" w:right="38" w:hanging="5"/>
      <w:outlineLvl w:val="0"/>
    </w:pPr>
    <w:rPr>
      <w:rFonts w:eastAsia="Times New Roman" w:cs="Times New Roman"/>
      <w:b/>
      <w:color w:val="000000"/>
    </w:rPr>
  </w:style>
  <w:style w:type="paragraph" w:styleId="20">
    <w:name w:val="heading 2"/>
    <w:basedOn w:val="a"/>
    <w:next w:val="a"/>
    <w:link w:val="21"/>
    <w:uiPriority w:val="9"/>
    <w:unhideWhenUsed/>
    <w:qFormat/>
    <w:rsid w:val="00AC11F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nhideWhenUsed/>
    <w:qFormat/>
    <w:rsid w:val="006811A6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nhideWhenUsed/>
    <w:qFormat/>
    <w:rsid w:val="00AC11F8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qFormat/>
    <w:rsid w:val="00AC11F8"/>
    <w:pPr>
      <w:keepNext/>
      <w:tabs>
        <w:tab w:val="num" w:pos="1008"/>
        <w:tab w:val="left" w:pos="1531"/>
      </w:tabs>
      <w:spacing w:before="240" w:after="240" w:line="240" w:lineRule="auto"/>
      <w:ind w:left="1491" w:hanging="1134"/>
      <w:jc w:val="both"/>
      <w:outlineLvl w:val="4"/>
    </w:pPr>
    <w:rPr>
      <w:rFonts w:eastAsia="Times New Roman"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AC11F8"/>
    <w:pPr>
      <w:tabs>
        <w:tab w:val="num" w:pos="1512"/>
      </w:tabs>
      <w:spacing w:before="240" w:after="60" w:line="240" w:lineRule="auto"/>
      <w:ind w:left="1512" w:hanging="1152"/>
      <w:jc w:val="both"/>
      <w:outlineLvl w:val="5"/>
    </w:pPr>
    <w:rPr>
      <w:rFonts w:eastAsia="Times New Roman" w:cs="Times New Roman"/>
      <w:b/>
      <w:bCs/>
      <w:lang w:eastAsia="ru-RU"/>
    </w:rPr>
  </w:style>
  <w:style w:type="paragraph" w:styleId="7">
    <w:name w:val="heading 7"/>
    <w:basedOn w:val="a"/>
    <w:next w:val="a"/>
    <w:link w:val="70"/>
    <w:qFormat/>
    <w:rsid w:val="00AC11F8"/>
    <w:pPr>
      <w:tabs>
        <w:tab w:val="num" w:pos="1656"/>
      </w:tabs>
      <w:spacing w:before="240" w:after="60" w:line="240" w:lineRule="auto"/>
      <w:ind w:left="1656" w:hanging="1296"/>
      <w:jc w:val="both"/>
      <w:outlineLvl w:val="6"/>
    </w:pPr>
    <w:rPr>
      <w:rFonts w:eastAsia="Times New Roman" w:cs="Times New Roman"/>
      <w:sz w:val="24"/>
      <w:szCs w:val="24"/>
      <w:lang w:eastAsia="ru-RU"/>
    </w:rPr>
  </w:style>
  <w:style w:type="paragraph" w:styleId="8">
    <w:name w:val="heading 8"/>
    <w:basedOn w:val="a"/>
    <w:next w:val="a"/>
    <w:link w:val="80"/>
    <w:qFormat/>
    <w:rsid w:val="00AC11F8"/>
    <w:pPr>
      <w:tabs>
        <w:tab w:val="num" w:pos="1800"/>
      </w:tabs>
      <w:spacing w:before="240" w:after="60" w:line="240" w:lineRule="auto"/>
      <w:ind w:left="1800" w:hanging="1440"/>
      <w:jc w:val="both"/>
      <w:outlineLvl w:val="7"/>
    </w:pPr>
    <w:rPr>
      <w:rFonts w:eastAsia="Times New Roman" w:cs="Times New Roman"/>
      <w:i/>
      <w:iCs/>
      <w:sz w:val="24"/>
      <w:szCs w:val="24"/>
      <w:lang w:eastAsia="ru-RU"/>
    </w:rPr>
  </w:style>
  <w:style w:type="paragraph" w:styleId="9">
    <w:name w:val="heading 9"/>
    <w:basedOn w:val="a"/>
    <w:next w:val="a"/>
    <w:link w:val="90"/>
    <w:qFormat/>
    <w:rsid w:val="00AC11F8"/>
    <w:pPr>
      <w:tabs>
        <w:tab w:val="num" w:pos="1944"/>
      </w:tabs>
      <w:spacing w:before="240" w:after="60" w:line="240" w:lineRule="auto"/>
      <w:ind w:left="1944" w:hanging="1584"/>
      <w:jc w:val="both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rsid w:val="00AC11F8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3">
    <w:name w:val="Диплом"/>
    <w:basedOn w:val="a"/>
    <w:link w:val="a4"/>
    <w:autoRedefine/>
    <w:qFormat/>
    <w:rsid w:val="002B4374"/>
    <w:pPr>
      <w:spacing w:after="0" w:line="360" w:lineRule="auto"/>
      <w:ind w:firstLine="709"/>
      <w:jc w:val="both"/>
    </w:pPr>
    <w:rPr>
      <w:color w:val="000000"/>
      <w:szCs w:val="28"/>
    </w:rPr>
  </w:style>
  <w:style w:type="character" w:customStyle="1" w:styleId="a4">
    <w:name w:val="Диплом Знак"/>
    <w:basedOn w:val="a0"/>
    <w:link w:val="a3"/>
    <w:rsid w:val="002B4374"/>
    <w:rPr>
      <w:rFonts w:ascii="Times New Roman" w:hAnsi="Times New Roman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rsid w:val="006811A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posttitle-text">
    <w:name w:val="post__title-text"/>
    <w:basedOn w:val="a0"/>
    <w:rsid w:val="00AC11F8"/>
  </w:style>
  <w:style w:type="character" w:customStyle="1" w:styleId="apple-converted-space">
    <w:name w:val="apple-converted-space"/>
    <w:basedOn w:val="a0"/>
    <w:rsid w:val="00AC11F8"/>
  </w:style>
  <w:style w:type="paragraph" w:customStyle="1" w:styleId="msonormal0">
    <w:name w:val="msonormal"/>
    <w:basedOn w:val="a"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hljs-name">
    <w:name w:val="hljs-name"/>
    <w:basedOn w:val="a0"/>
    <w:rsid w:val="00AC11F8"/>
  </w:style>
  <w:style w:type="character" w:customStyle="1" w:styleId="hljs-keyword">
    <w:name w:val="hljs-keyword"/>
    <w:basedOn w:val="a0"/>
    <w:rsid w:val="00AC11F8"/>
  </w:style>
  <w:style w:type="character" w:customStyle="1" w:styleId="hljs-title">
    <w:name w:val="hljs-title"/>
    <w:basedOn w:val="a0"/>
    <w:rsid w:val="00AC11F8"/>
  </w:style>
  <w:style w:type="character" w:customStyle="1" w:styleId="hljs-function">
    <w:name w:val="hljs-function"/>
    <w:basedOn w:val="a0"/>
    <w:rsid w:val="00AC11F8"/>
  </w:style>
  <w:style w:type="character" w:customStyle="1" w:styleId="hljs-params">
    <w:name w:val="hljs-params"/>
    <w:basedOn w:val="a0"/>
    <w:rsid w:val="00AC11F8"/>
  </w:style>
  <w:style w:type="character" w:customStyle="1" w:styleId="hljs-builtin">
    <w:name w:val="hljs-built_in"/>
    <w:basedOn w:val="a0"/>
    <w:rsid w:val="00AC11F8"/>
  </w:style>
  <w:style w:type="character" w:customStyle="1" w:styleId="hljs-attribute">
    <w:name w:val="hljs-attribute"/>
    <w:basedOn w:val="a0"/>
    <w:rsid w:val="00AC11F8"/>
  </w:style>
  <w:style w:type="character" w:customStyle="1" w:styleId="hljs-comment">
    <w:name w:val="hljs-comment"/>
    <w:basedOn w:val="a0"/>
    <w:rsid w:val="00AC11F8"/>
  </w:style>
  <w:style w:type="character" w:customStyle="1" w:styleId="hljs-type">
    <w:name w:val="hljs-type"/>
    <w:basedOn w:val="a0"/>
    <w:rsid w:val="00AC11F8"/>
  </w:style>
  <w:style w:type="character" w:customStyle="1" w:styleId="hljs-literal">
    <w:name w:val="hljs-literal"/>
    <w:basedOn w:val="a0"/>
    <w:rsid w:val="00AC11F8"/>
  </w:style>
  <w:style w:type="character" w:customStyle="1" w:styleId="bash">
    <w:name w:val="bash"/>
    <w:basedOn w:val="a0"/>
    <w:rsid w:val="00AC11F8"/>
  </w:style>
  <w:style w:type="character" w:customStyle="1" w:styleId="hljs-string">
    <w:name w:val="hljs-string"/>
    <w:basedOn w:val="a0"/>
    <w:rsid w:val="00AC11F8"/>
  </w:style>
  <w:style w:type="character" w:customStyle="1" w:styleId="hljs-variable">
    <w:name w:val="hljs-variable"/>
    <w:basedOn w:val="a0"/>
    <w:rsid w:val="00AC11F8"/>
  </w:style>
  <w:style w:type="character" w:customStyle="1" w:styleId="hljs-class">
    <w:name w:val="hljs-class"/>
    <w:basedOn w:val="a0"/>
    <w:rsid w:val="00AC11F8"/>
  </w:style>
  <w:style w:type="character" w:customStyle="1" w:styleId="hljs-number">
    <w:name w:val="hljs-number"/>
    <w:basedOn w:val="a0"/>
    <w:rsid w:val="00AC11F8"/>
  </w:style>
  <w:style w:type="character" w:customStyle="1" w:styleId="hljs-symbol">
    <w:name w:val="hljs-symbol"/>
    <w:basedOn w:val="a0"/>
    <w:rsid w:val="00AC11F8"/>
  </w:style>
  <w:style w:type="character" w:customStyle="1" w:styleId="profiledhub">
    <w:name w:val="profiled_hub"/>
    <w:basedOn w:val="a0"/>
    <w:rsid w:val="00AC11F8"/>
  </w:style>
  <w:style w:type="table" w:customStyle="1" w:styleId="11">
    <w:name w:val="Сетка таблицы1"/>
    <w:basedOn w:val="a1"/>
    <w:next w:val="a5"/>
    <w:rsid w:val="00AC11F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5">
    <w:name w:val="Table Grid"/>
    <w:basedOn w:val="a1"/>
    <w:uiPriority w:val="59"/>
    <w:rsid w:val="00AC1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">
    <w:name w:val="Style3"/>
    <w:basedOn w:val="a"/>
    <w:rsid w:val="00AC11F8"/>
    <w:pPr>
      <w:widowControl w:val="0"/>
      <w:autoSpaceDE w:val="0"/>
      <w:autoSpaceDN w:val="0"/>
      <w:adjustRightInd w:val="0"/>
      <w:spacing w:after="0" w:line="479" w:lineRule="exact"/>
      <w:ind w:firstLine="715"/>
      <w:jc w:val="both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65">
    <w:name w:val="Font Style65"/>
    <w:basedOn w:val="a0"/>
    <w:rsid w:val="00AC11F8"/>
    <w:rPr>
      <w:rFonts w:ascii="Times New Roman" w:hAnsi="Times New Roman" w:cs="Times New Roman"/>
      <w:sz w:val="26"/>
      <w:szCs w:val="26"/>
    </w:rPr>
  </w:style>
  <w:style w:type="character" w:customStyle="1" w:styleId="FontStyle92">
    <w:name w:val="Font Style92"/>
    <w:basedOn w:val="a0"/>
    <w:rsid w:val="00AC11F8"/>
    <w:rPr>
      <w:rFonts w:ascii="Times New Roman" w:hAnsi="Times New Roman" w:cs="Times New Roman"/>
      <w:b/>
      <w:bCs/>
      <w:sz w:val="18"/>
      <w:szCs w:val="18"/>
    </w:rPr>
  </w:style>
  <w:style w:type="character" w:customStyle="1" w:styleId="noprint">
    <w:name w:val="noprint"/>
    <w:basedOn w:val="a0"/>
    <w:rsid w:val="00AC11F8"/>
  </w:style>
  <w:style w:type="paragraph" w:customStyle="1" w:styleId="a6">
    <w:name w:val="Раздел"/>
    <w:next w:val="a"/>
    <w:rsid w:val="00AC11F8"/>
    <w:pPr>
      <w:spacing w:after="0" w:line="240" w:lineRule="auto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12">
    <w:name w:val="Титул1"/>
    <w:rsid w:val="00AC11F8"/>
    <w:pPr>
      <w:spacing w:after="0" w:line="240" w:lineRule="auto"/>
      <w:jc w:val="center"/>
    </w:pPr>
    <w:rPr>
      <w:rFonts w:ascii="Arial" w:eastAsia="Times New Roman" w:hAnsi="Arial" w:cs="Arial"/>
      <w:b/>
      <w:bCs/>
      <w:kern w:val="32"/>
      <w:sz w:val="32"/>
      <w:szCs w:val="32"/>
      <w:lang w:val="en-US" w:eastAsia="ru-RU"/>
    </w:rPr>
  </w:style>
  <w:style w:type="paragraph" w:customStyle="1" w:styleId="22">
    <w:name w:val="Титул2"/>
    <w:basedOn w:val="12"/>
    <w:rsid w:val="00AC11F8"/>
    <w:rPr>
      <w:sz w:val="24"/>
    </w:rPr>
  </w:style>
  <w:style w:type="paragraph" w:customStyle="1" w:styleId="31">
    <w:name w:val="Титул3"/>
    <w:basedOn w:val="12"/>
    <w:rsid w:val="00AC11F8"/>
    <w:rPr>
      <w:sz w:val="40"/>
      <w:lang w:val="ru-RU"/>
    </w:rPr>
  </w:style>
  <w:style w:type="paragraph" w:customStyle="1" w:styleId="13">
    <w:name w:val="Список1"/>
    <w:basedOn w:val="a"/>
    <w:rsid w:val="00AC11F8"/>
    <w:pPr>
      <w:tabs>
        <w:tab w:val="num" w:pos="851"/>
      </w:tabs>
      <w:spacing w:after="0" w:line="480" w:lineRule="auto"/>
      <w:ind w:left="851" w:hanging="284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Picture">
    <w:name w:val="Picture"/>
    <w:basedOn w:val="a"/>
    <w:rsid w:val="00AC11F8"/>
    <w:pPr>
      <w:spacing w:before="60" w:after="60" w:line="240" w:lineRule="auto"/>
      <w:ind w:firstLine="397"/>
    </w:pPr>
    <w:rPr>
      <w:rFonts w:eastAsia="Times New Roman" w:cs="Times New Roman"/>
      <w:sz w:val="24"/>
      <w:szCs w:val="24"/>
      <w:lang w:eastAsia="ru-RU"/>
    </w:rPr>
  </w:style>
  <w:style w:type="character" w:customStyle="1" w:styleId="14">
    <w:name w:val="Текст примечания Знак1"/>
    <w:basedOn w:val="a0"/>
    <w:uiPriority w:val="99"/>
    <w:semiHidden/>
    <w:rsid w:val="00AC11F8"/>
    <w:rPr>
      <w:sz w:val="20"/>
      <w:szCs w:val="20"/>
    </w:rPr>
  </w:style>
  <w:style w:type="character" w:customStyle="1" w:styleId="15">
    <w:name w:val="Тема примечания Знак1"/>
    <w:basedOn w:val="14"/>
    <w:uiPriority w:val="99"/>
    <w:semiHidden/>
    <w:rsid w:val="00AC11F8"/>
    <w:rPr>
      <w:b/>
      <w:bCs/>
      <w:sz w:val="20"/>
      <w:szCs w:val="20"/>
    </w:rPr>
  </w:style>
  <w:style w:type="paragraph" w:customStyle="1" w:styleId="16">
    <w:name w:val="Шапка1"/>
    <w:rsid w:val="00AC11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Текст сноски Знак1"/>
    <w:basedOn w:val="a0"/>
    <w:uiPriority w:val="99"/>
    <w:semiHidden/>
    <w:rsid w:val="00AC11F8"/>
    <w:rPr>
      <w:sz w:val="20"/>
      <w:szCs w:val="20"/>
    </w:rPr>
  </w:style>
  <w:style w:type="character" w:customStyle="1" w:styleId="doctype">
    <w:name w:val="doctype"/>
    <w:basedOn w:val="a0"/>
    <w:rsid w:val="00AC11F8"/>
  </w:style>
  <w:style w:type="character" w:customStyle="1" w:styleId="start-tag">
    <w:name w:val="start-tag"/>
    <w:basedOn w:val="a0"/>
    <w:rsid w:val="00AC11F8"/>
  </w:style>
  <w:style w:type="character" w:customStyle="1" w:styleId="attribute-name">
    <w:name w:val="attribute-name"/>
    <w:basedOn w:val="a0"/>
    <w:rsid w:val="00AC11F8"/>
  </w:style>
  <w:style w:type="character" w:customStyle="1" w:styleId="end-tag">
    <w:name w:val="end-tag"/>
    <w:basedOn w:val="a0"/>
    <w:rsid w:val="00AC11F8"/>
  </w:style>
  <w:style w:type="character" w:customStyle="1" w:styleId="entity">
    <w:name w:val="entity"/>
    <w:basedOn w:val="a0"/>
    <w:rsid w:val="00AC11F8"/>
  </w:style>
  <w:style w:type="character" w:customStyle="1" w:styleId="comment">
    <w:name w:val="comment"/>
    <w:basedOn w:val="a0"/>
    <w:rsid w:val="00AC11F8"/>
  </w:style>
  <w:style w:type="character" w:customStyle="1" w:styleId="error">
    <w:name w:val="error"/>
    <w:basedOn w:val="a0"/>
    <w:rsid w:val="00AC11F8"/>
  </w:style>
  <w:style w:type="paragraph" w:customStyle="1" w:styleId="a7">
    <w:name w:val="Мой заголовок"/>
    <w:basedOn w:val="a"/>
    <w:next w:val="1"/>
    <w:link w:val="a8"/>
    <w:qFormat/>
    <w:rsid w:val="00AC11F8"/>
    <w:rPr>
      <w:rFonts w:cs="Times New Roman"/>
      <w:szCs w:val="28"/>
    </w:rPr>
  </w:style>
  <w:style w:type="character" w:customStyle="1" w:styleId="a8">
    <w:name w:val="Мой заголовок Знак"/>
    <w:basedOn w:val="a0"/>
    <w:link w:val="a7"/>
    <w:rsid w:val="00AC11F8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link w:val="1"/>
    <w:uiPriority w:val="9"/>
    <w:rsid w:val="000F39D1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child-free">
    <w:name w:val="child-free"/>
    <w:basedOn w:val="a"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intro">
    <w:name w:val="intro"/>
    <w:basedOn w:val="a"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intro2">
    <w:name w:val="intro2"/>
    <w:basedOn w:val="a"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gray">
    <w:name w:val="gray"/>
    <w:basedOn w:val="a"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AC11F8"/>
  </w:style>
  <w:style w:type="character" w:customStyle="1" w:styleId="string">
    <w:name w:val="string"/>
    <w:basedOn w:val="a0"/>
    <w:rsid w:val="00AC11F8"/>
  </w:style>
  <w:style w:type="character" w:customStyle="1" w:styleId="weak">
    <w:name w:val="weak"/>
    <w:basedOn w:val="a0"/>
    <w:rsid w:val="00AC11F8"/>
  </w:style>
  <w:style w:type="character" w:customStyle="1" w:styleId="pun">
    <w:name w:val="pun"/>
    <w:basedOn w:val="a0"/>
    <w:rsid w:val="00AC11F8"/>
  </w:style>
  <w:style w:type="character" w:customStyle="1" w:styleId="pln">
    <w:name w:val="pln"/>
    <w:basedOn w:val="a0"/>
    <w:rsid w:val="00AC11F8"/>
  </w:style>
  <w:style w:type="character" w:customStyle="1" w:styleId="str">
    <w:name w:val="str"/>
    <w:basedOn w:val="a0"/>
    <w:rsid w:val="00AC11F8"/>
  </w:style>
  <w:style w:type="character" w:customStyle="1" w:styleId="com">
    <w:name w:val="com"/>
    <w:basedOn w:val="a0"/>
    <w:rsid w:val="00AC11F8"/>
  </w:style>
  <w:style w:type="character" w:customStyle="1" w:styleId="tag">
    <w:name w:val="tag"/>
    <w:basedOn w:val="a0"/>
    <w:rsid w:val="00AC11F8"/>
  </w:style>
  <w:style w:type="character" w:customStyle="1" w:styleId="atn">
    <w:name w:val="atn"/>
    <w:basedOn w:val="a0"/>
    <w:rsid w:val="00AC11F8"/>
  </w:style>
  <w:style w:type="character" w:customStyle="1" w:styleId="atv">
    <w:name w:val="atv"/>
    <w:basedOn w:val="a0"/>
    <w:rsid w:val="00AC11F8"/>
  </w:style>
  <w:style w:type="character" w:customStyle="1" w:styleId="help-note-title">
    <w:name w:val="help-note-title"/>
    <w:basedOn w:val="a0"/>
    <w:rsid w:val="00AC11F8"/>
  </w:style>
  <w:style w:type="paragraph" w:customStyle="1" w:styleId="code-comment">
    <w:name w:val="code-comment"/>
    <w:basedOn w:val="a"/>
    <w:rsid w:val="00AC11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td-post-date">
    <w:name w:val="td-post-date"/>
    <w:basedOn w:val="a0"/>
    <w:rsid w:val="00AC11F8"/>
  </w:style>
  <w:style w:type="character" w:customStyle="1" w:styleId="td-nr-views-8507">
    <w:name w:val="td-nr-views-8507"/>
    <w:basedOn w:val="a0"/>
    <w:rsid w:val="00AC11F8"/>
  </w:style>
  <w:style w:type="paragraph" w:customStyle="1" w:styleId="FORMATTEXT">
    <w:name w:val=".FORMATTEXT"/>
    <w:uiPriority w:val="99"/>
    <w:rsid w:val="00AC11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">
    <w:name w:val="pic"/>
    <w:basedOn w:val="a"/>
    <w:rsid w:val="00AC11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post-hcred">
    <w:name w:val="post-h__cred"/>
    <w:basedOn w:val="a0"/>
    <w:rsid w:val="00AC11F8"/>
  </w:style>
  <w:style w:type="character" w:customStyle="1" w:styleId="post-hstat">
    <w:name w:val="post-h__stat"/>
    <w:basedOn w:val="a0"/>
    <w:rsid w:val="00AC11F8"/>
  </w:style>
  <w:style w:type="character" w:customStyle="1" w:styleId="wpfp-span">
    <w:name w:val="wpfp-span"/>
    <w:basedOn w:val="a0"/>
    <w:rsid w:val="00AC11F8"/>
  </w:style>
  <w:style w:type="character" w:customStyle="1" w:styleId="post-gallerycounter">
    <w:name w:val="post-gallery__counter"/>
    <w:basedOn w:val="a0"/>
    <w:rsid w:val="00AC11F8"/>
  </w:style>
  <w:style w:type="paragraph" w:customStyle="1" w:styleId="18">
    <w:name w:val="Дата1"/>
    <w:basedOn w:val="a"/>
    <w:rsid w:val="00AC11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uthor">
    <w:name w:val="author"/>
    <w:basedOn w:val="a"/>
    <w:rsid w:val="00AC11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AC11F8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</w:rPr>
  </w:style>
  <w:style w:type="character" w:customStyle="1" w:styleId="50">
    <w:name w:val="Заголовок 5 Знак"/>
    <w:basedOn w:val="a0"/>
    <w:link w:val="5"/>
    <w:rsid w:val="00AC11F8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AC11F8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70">
    <w:name w:val="Заголовок 7 Знак"/>
    <w:basedOn w:val="a0"/>
    <w:link w:val="7"/>
    <w:rsid w:val="00AC11F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AC11F8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AC11F8"/>
    <w:rPr>
      <w:rFonts w:ascii="Arial" w:eastAsia="Times New Roman" w:hAnsi="Arial" w:cs="Arial"/>
      <w:sz w:val="28"/>
      <w:lang w:eastAsia="ru-RU"/>
    </w:rPr>
  </w:style>
  <w:style w:type="paragraph" w:styleId="19">
    <w:name w:val="toc 1"/>
    <w:basedOn w:val="a"/>
    <w:next w:val="a"/>
    <w:autoRedefine/>
    <w:uiPriority w:val="39"/>
    <w:unhideWhenUsed/>
    <w:rsid w:val="00AC11F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C11F8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AC11F8"/>
    <w:pPr>
      <w:spacing w:after="100"/>
      <w:ind w:left="440"/>
    </w:pPr>
  </w:style>
  <w:style w:type="paragraph" w:styleId="41">
    <w:name w:val="toc 4"/>
    <w:basedOn w:val="a"/>
    <w:next w:val="a"/>
    <w:autoRedefine/>
    <w:uiPriority w:val="39"/>
    <w:unhideWhenUsed/>
    <w:rsid w:val="00AC11F8"/>
    <w:pPr>
      <w:spacing w:after="100" w:line="276" w:lineRule="auto"/>
      <w:ind w:left="660"/>
    </w:pPr>
  </w:style>
  <w:style w:type="paragraph" w:styleId="a9">
    <w:name w:val="footnote text"/>
    <w:basedOn w:val="a"/>
    <w:link w:val="aa"/>
    <w:semiHidden/>
    <w:rsid w:val="00AC11F8"/>
    <w:pPr>
      <w:spacing w:before="60" w:after="60" w:line="240" w:lineRule="auto"/>
      <w:ind w:firstLine="397"/>
      <w:jc w:val="both"/>
    </w:pPr>
    <w:rPr>
      <w:rFonts w:eastAsia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semiHidden/>
    <w:rsid w:val="00AC11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annotation text"/>
    <w:basedOn w:val="a"/>
    <w:link w:val="ac"/>
    <w:semiHidden/>
    <w:rsid w:val="00AC11F8"/>
    <w:pPr>
      <w:spacing w:before="60" w:after="60" w:line="240" w:lineRule="auto"/>
      <w:ind w:firstLine="397"/>
      <w:jc w:val="both"/>
    </w:pPr>
    <w:rPr>
      <w:rFonts w:eastAsia="Times New Roman" w:cs="Times New Roman"/>
      <w:sz w:val="20"/>
      <w:szCs w:val="20"/>
      <w:lang w:eastAsia="ru-RU"/>
    </w:rPr>
  </w:style>
  <w:style w:type="character" w:customStyle="1" w:styleId="ac">
    <w:name w:val="Текст примечания Знак"/>
    <w:basedOn w:val="a0"/>
    <w:link w:val="ab"/>
    <w:semiHidden/>
    <w:rsid w:val="00AC11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header"/>
    <w:basedOn w:val="a"/>
    <w:link w:val="ae"/>
    <w:uiPriority w:val="99"/>
    <w:unhideWhenUsed/>
    <w:rsid w:val="00AC11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C11F8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AC11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C11F8"/>
    <w:rPr>
      <w:rFonts w:ascii="Times New Roman" w:hAnsi="Times New Roman"/>
      <w:sz w:val="28"/>
    </w:rPr>
  </w:style>
  <w:style w:type="paragraph" w:styleId="af1">
    <w:name w:val="caption"/>
    <w:basedOn w:val="a"/>
    <w:next w:val="a"/>
    <w:qFormat/>
    <w:rsid w:val="00AC11F8"/>
    <w:pPr>
      <w:spacing w:before="120" w:after="120" w:line="240" w:lineRule="auto"/>
      <w:ind w:firstLine="397"/>
    </w:pPr>
    <w:rPr>
      <w:rFonts w:eastAsia="Times New Roman" w:cs="Times New Roman"/>
      <w:bCs/>
      <w:i/>
      <w:sz w:val="24"/>
      <w:szCs w:val="20"/>
      <w:lang w:eastAsia="ru-RU"/>
    </w:rPr>
  </w:style>
  <w:style w:type="character" w:styleId="af2">
    <w:name w:val="page number"/>
    <w:basedOn w:val="a0"/>
    <w:rsid w:val="00AC11F8"/>
  </w:style>
  <w:style w:type="character" w:styleId="af3">
    <w:name w:val="endnote reference"/>
    <w:basedOn w:val="a0"/>
    <w:uiPriority w:val="99"/>
    <w:semiHidden/>
    <w:unhideWhenUsed/>
    <w:rsid w:val="00AC11F8"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sid w:val="00AC11F8"/>
    <w:pPr>
      <w:spacing w:after="0" w:line="240" w:lineRule="auto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AC11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List Bullet"/>
    <w:basedOn w:val="a"/>
    <w:rsid w:val="00AC11F8"/>
    <w:pPr>
      <w:spacing w:before="60" w:after="60" w:line="240" w:lineRule="auto"/>
      <w:ind w:left="360" w:hanging="360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2">
    <w:name w:val="List Bullet 2"/>
    <w:basedOn w:val="a"/>
    <w:rsid w:val="00AC11F8"/>
    <w:pPr>
      <w:numPr>
        <w:numId w:val="4"/>
      </w:numPr>
      <w:spacing w:before="60" w:after="60" w:line="240" w:lineRule="auto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33">
    <w:name w:val="List Bullet 3"/>
    <w:basedOn w:val="a"/>
    <w:rsid w:val="00AC11F8"/>
    <w:pPr>
      <w:tabs>
        <w:tab w:val="num" w:pos="926"/>
      </w:tabs>
      <w:spacing w:before="60" w:after="60" w:line="240" w:lineRule="auto"/>
      <w:ind w:left="926" w:hanging="360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24">
    <w:name w:val="List Number 2"/>
    <w:basedOn w:val="a"/>
    <w:rsid w:val="00AC11F8"/>
    <w:pPr>
      <w:tabs>
        <w:tab w:val="num" w:pos="643"/>
      </w:tabs>
      <w:spacing w:before="60" w:after="60" w:line="240" w:lineRule="auto"/>
      <w:ind w:left="643" w:hanging="360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34">
    <w:name w:val="List Number 3"/>
    <w:basedOn w:val="a"/>
    <w:rsid w:val="00AC11F8"/>
    <w:pPr>
      <w:tabs>
        <w:tab w:val="num" w:pos="926"/>
      </w:tabs>
      <w:spacing w:before="60" w:after="60" w:line="240" w:lineRule="auto"/>
      <w:ind w:left="926" w:hanging="360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af7">
    <w:name w:val="Subtitle"/>
    <w:basedOn w:val="a"/>
    <w:next w:val="a"/>
    <w:link w:val="af8"/>
    <w:uiPriority w:val="11"/>
    <w:qFormat/>
    <w:rsid w:val="00AC11F8"/>
    <w:pPr>
      <w:numPr>
        <w:ilvl w:val="1"/>
      </w:numPr>
      <w:spacing w:after="200" w:line="276" w:lineRule="auto"/>
      <w:jc w:val="left"/>
    </w:pPr>
    <w:rPr>
      <w:rFonts w:eastAsia="Times New Roman" w:cs="Times New Roman"/>
      <w:b/>
      <w:iCs/>
      <w:szCs w:val="24"/>
      <w:lang w:eastAsia="ru-RU"/>
    </w:rPr>
  </w:style>
  <w:style w:type="character" w:customStyle="1" w:styleId="af8">
    <w:name w:val="Подзаголовок Знак"/>
    <w:basedOn w:val="a0"/>
    <w:link w:val="af7"/>
    <w:uiPriority w:val="11"/>
    <w:rsid w:val="00AC11F8"/>
    <w:rPr>
      <w:rFonts w:ascii="Times New Roman" w:eastAsia="Times New Roman" w:hAnsi="Times New Roman" w:cs="Times New Roman"/>
      <w:b/>
      <w:iCs/>
      <w:sz w:val="28"/>
      <w:szCs w:val="24"/>
      <w:lang w:eastAsia="ru-RU"/>
    </w:rPr>
  </w:style>
  <w:style w:type="character" w:styleId="af9">
    <w:name w:val="Hyperlink"/>
    <w:basedOn w:val="a0"/>
    <w:uiPriority w:val="99"/>
    <w:unhideWhenUsed/>
    <w:rsid w:val="00AC11F8"/>
    <w:rPr>
      <w:color w:val="0000FF"/>
      <w:u w:val="single"/>
    </w:rPr>
  </w:style>
  <w:style w:type="character" w:styleId="afa">
    <w:name w:val="FollowedHyperlink"/>
    <w:basedOn w:val="a0"/>
    <w:uiPriority w:val="99"/>
    <w:unhideWhenUsed/>
    <w:rsid w:val="00AC11F8"/>
    <w:rPr>
      <w:color w:val="800080"/>
      <w:u w:val="single"/>
    </w:rPr>
  </w:style>
  <w:style w:type="character" w:styleId="afb">
    <w:name w:val="Strong"/>
    <w:basedOn w:val="a0"/>
    <w:uiPriority w:val="22"/>
    <w:qFormat/>
    <w:rsid w:val="00AC11F8"/>
    <w:rPr>
      <w:b/>
      <w:bCs/>
    </w:rPr>
  </w:style>
  <w:style w:type="character" w:styleId="afc">
    <w:name w:val="Emphasis"/>
    <w:basedOn w:val="a0"/>
    <w:uiPriority w:val="20"/>
    <w:qFormat/>
    <w:rsid w:val="00AC11F8"/>
    <w:rPr>
      <w:i/>
      <w:iCs/>
    </w:rPr>
  </w:style>
  <w:style w:type="paragraph" w:styleId="afd">
    <w:name w:val="Normal (Web)"/>
    <w:basedOn w:val="a"/>
    <w:uiPriority w:val="99"/>
    <w:unhideWhenUsed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11F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C1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C11F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e">
    <w:name w:val="annotation subject"/>
    <w:basedOn w:val="ab"/>
    <w:next w:val="ab"/>
    <w:link w:val="aff"/>
    <w:semiHidden/>
    <w:rsid w:val="00AC11F8"/>
    <w:rPr>
      <w:b/>
      <w:bCs/>
    </w:rPr>
  </w:style>
  <w:style w:type="character" w:customStyle="1" w:styleId="aff">
    <w:name w:val="Тема примечания Знак"/>
    <w:basedOn w:val="ac"/>
    <w:link w:val="afe"/>
    <w:semiHidden/>
    <w:rsid w:val="00AC11F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sid w:val="00AC11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AC11F8"/>
    <w:rPr>
      <w:rFonts w:ascii="Tahoma" w:hAnsi="Tahoma" w:cs="Tahoma"/>
      <w:sz w:val="16"/>
      <w:szCs w:val="16"/>
    </w:rPr>
  </w:style>
  <w:style w:type="character" w:styleId="aff2">
    <w:name w:val="Placeholder Text"/>
    <w:basedOn w:val="a0"/>
    <w:uiPriority w:val="99"/>
    <w:semiHidden/>
    <w:rsid w:val="00AC11F8"/>
    <w:rPr>
      <w:color w:val="808080"/>
    </w:rPr>
  </w:style>
  <w:style w:type="paragraph" w:styleId="aff3">
    <w:name w:val="No Spacing"/>
    <w:uiPriority w:val="1"/>
    <w:qFormat/>
    <w:rsid w:val="00AC11F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ff4">
    <w:name w:val="List Paragraph"/>
    <w:basedOn w:val="a"/>
    <w:uiPriority w:val="34"/>
    <w:qFormat/>
    <w:rsid w:val="00AC11F8"/>
    <w:pPr>
      <w:ind w:left="720"/>
      <w:contextualSpacing/>
    </w:pPr>
  </w:style>
  <w:style w:type="paragraph" w:styleId="aff5">
    <w:name w:val="TOC Heading"/>
    <w:basedOn w:val="1"/>
    <w:next w:val="a"/>
    <w:uiPriority w:val="39"/>
    <w:unhideWhenUsed/>
    <w:qFormat/>
    <w:rsid w:val="00AC11F8"/>
    <w:pPr>
      <w:spacing w:line="259" w:lineRule="auto"/>
      <w:outlineLvl w:val="9"/>
    </w:pPr>
    <w:rPr>
      <w:rFonts w:asciiTheme="majorHAnsi" w:hAnsiTheme="majorHAnsi"/>
      <w:b w:val="0"/>
      <w:bCs/>
      <w:color w:val="2F5496" w:themeColor="accent1" w:themeShade="BF"/>
      <w:sz w:val="32"/>
    </w:rPr>
  </w:style>
  <w:style w:type="character" w:styleId="aff6">
    <w:name w:val="Unresolved Mention"/>
    <w:basedOn w:val="a0"/>
    <w:uiPriority w:val="99"/>
    <w:semiHidden/>
    <w:unhideWhenUsed/>
    <w:rsid w:val="00AC11F8"/>
    <w:rPr>
      <w:color w:val="605E5C"/>
      <w:shd w:val="clear" w:color="auto" w:fill="E1DFDD"/>
    </w:rPr>
  </w:style>
  <w:style w:type="paragraph" w:customStyle="1" w:styleId="aff7">
    <w:name w:val="Мой стиль"/>
    <w:basedOn w:val="a"/>
    <w:next w:val="a"/>
    <w:link w:val="aff8"/>
    <w:autoRedefine/>
    <w:qFormat/>
    <w:rsid w:val="000F39D1"/>
    <w:pPr>
      <w:spacing w:after="0" w:line="360" w:lineRule="auto"/>
      <w:ind w:firstLine="709"/>
      <w:contextualSpacing/>
      <w:jc w:val="both"/>
    </w:pPr>
    <w:rPr>
      <w:rFonts w:eastAsia="Times New Roman" w:cs="Times New Roman"/>
      <w:bCs/>
      <w:color w:val="000000"/>
      <w:szCs w:val="20"/>
    </w:rPr>
  </w:style>
  <w:style w:type="character" w:customStyle="1" w:styleId="aff8">
    <w:name w:val="Мой стиль Знак"/>
    <w:basedOn w:val="a0"/>
    <w:link w:val="aff7"/>
    <w:rsid w:val="000F39D1"/>
    <w:rPr>
      <w:rFonts w:ascii="Times New Roman" w:eastAsia="Times New Roman" w:hAnsi="Times New Roman" w:cs="Times New Roman"/>
      <w:bCs/>
      <w:color w:val="00000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2409</Words>
  <Characters>13736</Characters>
  <Application>Microsoft Office Word</Application>
  <DocSecurity>0</DocSecurity>
  <Lines>114</Lines>
  <Paragraphs>32</Paragraphs>
  <ScaleCrop>false</ScaleCrop>
  <Company/>
  <LinksUpToDate>false</LinksUpToDate>
  <CharactersWithSpaces>16113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artik3314@gmail.com</dc:creator>
  <cp:keywords/>
  <dc:description/>
  <cp:lastModifiedBy>Ксюша</cp:lastModifiedBy>
  <cp:revision>2</cp:revision>
  <dcterms:created xsi:type="dcterms:W3CDTF">2022-03-21T17:33:00Z</dcterms:created>
  <dcterms:modified xsi:type="dcterms:W3CDTF">2022-03-21T17:33:00Z</dcterms:modified>
</cp:coreProperties>
</file>