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DE97" w14:textId="77777777" w:rsidR="000A1B0C" w:rsidRDefault="00D021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FATEC – SJC</w:t>
      </w:r>
    </w:p>
    <w:p w14:paraId="6B1D46DE" w14:textId="77777777" w:rsidR="00D021CF" w:rsidRDefault="00D021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“PROF. JESSEN VIDAL”</w:t>
      </w:r>
    </w:p>
    <w:p w14:paraId="5D34957A" w14:textId="77777777" w:rsidR="00D021CF" w:rsidRDefault="00D021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CURSO: BANCO DE DADOS</w:t>
      </w:r>
    </w:p>
    <w:p w14:paraId="455759A3" w14:textId="77777777" w:rsidR="00D021CF" w:rsidRDefault="00D021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DISCIPLINA: COMUNICAÇÃO E EXPRESSÃO</w:t>
      </w:r>
    </w:p>
    <w:p w14:paraId="4316A6C5" w14:textId="77777777" w:rsidR="00D021CF" w:rsidRDefault="005059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PROFESSOR(A): MARIA GORETI LOPES CEPINHO</w:t>
      </w:r>
    </w:p>
    <w:p w14:paraId="5708A443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0192903C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6EB404DE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0B2BA5E6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24882121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156BA7C9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5E1097B8" w14:textId="77777777" w:rsidR="00505931" w:rsidRDefault="00505931">
      <w:pPr>
        <w:rPr>
          <w:rFonts w:ascii="Arial" w:hAnsi="Arial" w:cs="Arial"/>
          <w:b/>
          <w:bCs/>
          <w:sz w:val="28"/>
          <w:szCs w:val="28"/>
        </w:rPr>
      </w:pPr>
    </w:p>
    <w:p w14:paraId="3D99558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TÉCNICAS DA COMUNICAÇÃO ESCRITA</w:t>
      </w:r>
    </w:p>
    <w:p w14:paraId="3E739E52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8D8E0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8F4F87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EAE0E9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C30FA7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3C5EA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08C0A1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D2B9A7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291B5A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0B23CF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69AD6B" w14:textId="77777777" w:rsidR="00505931" w:rsidRDefault="00505931" w:rsidP="00505931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ARHTUR BRAGA REIS</w:t>
      </w:r>
    </w:p>
    <w:p w14:paraId="3F2EA6F5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SJC</w:t>
      </w:r>
    </w:p>
    <w:p w14:paraId="7BC7CA9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2019</w:t>
      </w:r>
    </w:p>
    <w:p w14:paraId="3AB4B90F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APRESENTAÇÃO</w:t>
      </w:r>
    </w:p>
    <w:p w14:paraId="422C4DFD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B8BF13" w14:textId="2B3C77A0" w:rsidR="00505931" w:rsidRPr="007725DE" w:rsidRDefault="00505931" w:rsidP="00505931">
      <w:pPr>
        <w:rPr>
          <w:rFonts w:ascii="Arial" w:hAnsi="Arial" w:cs="Arial"/>
          <w:sz w:val="24"/>
          <w:szCs w:val="24"/>
        </w:rPr>
      </w:pPr>
      <w:r w:rsidRPr="007725DE">
        <w:rPr>
          <w:rFonts w:ascii="Arial" w:hAnsi="Arial" w:cs="Arial"/>
          <w:sz w:val="24"/>
          <w:szCs w:val="24"/>
        </w:rPr>
        <w:t>BLIKSTEIN, Isidoro.</w:t>
      </w:r>
      <w:r w:rsidRPr="007725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7725DE">
        <w:rPr>
          <w:rFonts w:ascii="Arial" w:hAnsi="Arial" w:cs="Arial"/>
          <w:i/>
          <w:iCs/>
          <w:sz w:val="24"/>
          <w:szCs w:val="24"/>
        </w:rPr>
        <w:t xml:space="preserve">Técnicas da comunicação escrita. </w:t>
      </w:r>
      <w:r w:rsidRPr="007725DE">
        <w:rPr>
          <w:rFonts w:ascii="Arial" w:hAnsi="Arial" w:cs="Arial"/>
          <w:sz w:val="24"/>
          <w:szCs w:val="24"/>
        </w:rPr>
        <w:t>Editora</w:t>
      </w:r>
      <w:r w:rsidR="00B5252A" w:rsidRPr="007725DE">
        <w:rPr>
          <w:rFonts w:ascii="Arial" w:hAnsi="Arial" w:cs="Arial"/>
          <w:sz w:val="24"/>
          <w:szCs w:val="24"/>
        </w:rPr>
        <w:t xml:space="preserve"> Contexto</w:t>
      </w:r>
      <w:r w:rsidRPr="007725DE">
        <w:rPr>
          <w:rFonts w:ascii="Arial" w:hAnsi="Arial" w:cs="Arial"/>
          <w:sz w:val="24"/>
          <w:szCs w:val="24"/>
        </w:rPr>
        <w:t>, 20</w:t>
      </w:r>
      <w:r w:rsidR="00B5252A" w:rsidRPr="007725DE">
        <w:rPr>
          <w:rFonts w:ascii="Arial" w:hAnsi="Arial" w:cs="Arial"/>
          <w:sz w:val="24"/>
          <w:szCs w:val="24"/>
        </w:rPr>
        <w:t>16</w:t>
      </w:r>
      <w:r w:rsidRPr="007725DE">
        <w:rPr>
          <w:rFonts w:ascii="Arial" w:hAnsi="Arial" w:cs="Arial"/>
          <w:sz w:val="24"/>
          <w:szCs w:val="24"/>
        </w:rPr>
        <w:t>, 1</w:t>
      </w:r>
      <w:r w:rsidR="00B5252A" w:rsidRPr="007725DE">
        <w:rPr>
          <w:rFonts w:ascii="Arial" w:hAnsi="Arial" w:cs="Arial"/>
          <w:sz w:val="24"/>
          <w:szCs w:val="24"/>
        </w:rPr>
        <w:t>28</w:t>
      </w:r>
      <w:r w:rsidRPr="007725DE">
        <w:rPr>
          <w:rFonts w:ascii="Arial" w:hAnsi="Arial" w:cs="Arial"/>
          <w:sz w:val="24"/>
          <w:szCs w:val="24"/>
        </w:rPr>
        <w:t>, Brochura, R$2</w:t>
      </w:r>
      <w:r w:rsidR="00B5252A" w:rsidRPr="007725DE">
        <w:rPr>
          <w:rFonts w:ascii="Arial" w:hAnsi="Arial" w:cs="Arial"/>
          <w:sz w:val="24"/>
          <w:szCs w:val="24"/>
        </w:rPr>
        <w:t>9</w:t>
      </w:r>
      <w:r w:rsidRPr="007725DE">
        <w:rPr>
          <w:rFonts w:ascii="Arial" w:hAnsi="Arial" w:cs="Arial"/>
          <w:sz w:val="24"/>
          <w:szCs w:val="24"/>
        </w:rPr>
        <w:t>,00</w:t>
      </w:r>
    </w:p>
    <w:p w14:paraId="2286FF6A" w14:textId="77777777" w:rsidR="00505931" w:rsidRDefault="00505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001523C" w14:textId="77777777" w:rsidR="00505931" w:rsidRDefault="00505931" w:rsidP="0050593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3DBCA1A3" w14:textId="22985377" w:rsidR="00505931" w:rsidRDefault="007725DE" w:rsidP="007725D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obra de Isidoro Blikstein, é notório a falta de entendimento sobre comunicação esfria do gerente da história principal, que, por meio da secretária é ensinado à se expressar corretamente por meio de um bilhete simples, assim, o autor explica sobre o “tripé da comunicação escrita”, que fala sobre três regras e três tropeços na hora de se comunicar por escrita, citando os erros no bilhete do gerente e como poderiam ter sido escritos e também em como segurar esse tal tripé.</w:t>
      </w:r>
    </w:p>
    <w:p w14:paraId="6AF21390" w14:textId="32C956CF" w:rsidR="000B0A70" w:rsidRDefault="007725DE" w:rsidP="000B0A7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após, no próximo capítulo, o autor fala sobre a estrutura da comunicação escrita, falando sobre o remetente e destinatário e como eles podem se comunicar de forma simples e clara</w:t>
      </w:r>
      <w:r w:rsidR="000B0A70">
        <w:rPr>
          <w:rFonts w:ascii="Arial" w:hAnsi="Arial" w:cs="Arial"/>
          <w:sz w:val="24"/>
          <w:szCs w:val="24"/>
        </w:rPr>
        <w:t>. Há também a codificação da mensagem, que nada mais é do que a mensagem por trás do bilhete, ou seja, o que o remetente gostaria de expressar ao destinatário, que muitas vezes não é o que chega a ele.</w:t>
      </w:r>
      <w:bookmarkStart w:id="0" w:name="_GoBack"/>
      <w:bookmarkEnd w:id="0"/>
    </w:p>
    <w:p w14:paraId="61EA2BEE" w14:textId="77777777" w:rsidR="007725DE" w:rsidRPr="007725DE" w:rsidRDefault="007725DE" w:rsidP="007725D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891BBE4" w14:textId="77777777" w:rsidR="00640C7C" w:rsidRDefault="00640C7C" w:rsidP="00640C7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CRÍTICA</w:t>
      </w:r>
    </w:p>
    <w:p w14:paraId="59E1CCDA" w14:textId="77777777" w:rsidR="00640C7C" w:rsidRDefault="00640C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67CBBC9" w14:textId="77777777" w:rsidR="00640C7C" w:rsidRPr="00505931" w:rsidRDefault="00640C7C" w:rsidP="00640C7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BIBLIOGRAFIA</w:t>
      </w:r>
    </w:p>
    <w:sectPr w:rsidR="00640C7C" w:rsidRPr="00505931" w:rsidSect="00D021C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CF"/>
    <w:rsid w:val="000A1B0C"/>
    <w:rsid w:val="000B0A70"/>
    <w:rsid w:val="00505931"/>
    <w:rsid w:val="00640C7C"/>
    <w:rsid w:val="007725DE"/>
    <w:rsid w:val="00B5252A"/>
    <w:rsid w:val="00D0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4CE8"/>
  <w15:chartTrackingRefBased/>
  <w15:docId w15:val="{BBB69728-B5A8-4158-8B99-5F0E2D49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dc:description/>
  <cp:lastModifiedBy>Arthur Braga Reis</cp:lastModifiedBy>
  <cp:revision>3</cp:revision>
  <dcterms:created xsi:type="dcterms:W3CDTF">2019-06-02T16:58:00Z</dcterms:created>
  <dcterms:modified xsi:type="dcterms:W3CDTF">2019-06-04T15:57:00Z</dcterms:modified>
</cp:coreProperties>
</file>