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jc w:val="center"/>
      </w:pPr>
      <w:r>
        <w:rPr>
          <w:rFonts w:ascii="Arial" w:cs="Arial" w:eastAsia="Arial" w:hAnsi="Arial"/>
          <w:b/>
          <w:bCs/>
          <w:color w:val="1E6FD9"/>
          <w:sz w:val="80"/>
          <w:szCs w:val="80"/>
        </w:rPr>
        <w:t xml:space="preserve">Artha</w:t>
      </w:r>
    </w:p>
    <w:p>
      <w:pPr>
        <w:spacing w:after="80" w:before="0"/>
        <w:jc w:val="center"/>
      </w:pPr>
      <w:r>
        <w:rPr>
          <w:rFonts w:ascii="Arial" w:cs="Arial" w:eastAsia="Arial" w:hAnsi="Arial"/>
          <w:b/>
          <w:bCs/>
          <w:color w:val="111827"/>
          <w:sz w:val="44"/>
          <w:szCs w:val="44"/>
        </w:rPr>
        <w:t xml:space="preserve">Strategic Competitive Analysis</w:t>
      </w:r>
    </w:p>
    <w:p>
      <w:pPr>
        <w:pBdr>
          <w:bottom w:val="single" w:color="1E6FD9" w:sz="4" w:space="1"/>
        </w:pBdr>
        <w:spacing w:after="80" w:before="80"/>
      </w:pPr>
    </w:p>
    <w:p>
      <w:pPr>
        <w:spacing w:after="60" w:before="120"/>
        <w:jc w:val="center"/>
      </w:pPr>
      <w:r>
        <w:rPr>
          <w:rFonts w:ascii="Arial" w:cs="Arial" w:eastAsia="Arial" w:hAnsi="Arial"/>
          <w:color w:val="6B7280"/>
          <w:sz w:val="26"/>
          <w:szCs w:val="26"/>
        </w:rPr>
        <w:t xml:space="preserve">vs  Claude Cowork  ·  vs  DeepSeek  ·  Path to Unicorn</w:t>
      </w:r>
    </w:p>
    <w:p>
      <w:pPr>
        <w:spacing w:after="2000" w:before="60"/>
        <w:jc w:val="center"/>
      </w:pPr>
      <w:r>
        <w:rPr>
          <w:rFonts w:ascii="Arial" w:cs="Arial" w:eastAsia="Arial" w:hAnsi="Arial"/>
          <w:color w:val="6B7280"/>
          <w:sz w:val="22"/>
          <w:szCs w:val="22"/>
        </w:rPr>
        <w:t xml:space="preserve">May 2026  ·  Confidential</w:t>
      </w:r>
    </w:p>
    <w:p>
      <w:r>
        <w:br w:type="page"/>
      </w:r>
    </w:p>
    <w:p>
      <w:pPr>
        <w:pStyle w:val="Heading1"/>
        <w:spacing w:after="180" w:before="440"/>
      </w:pPr>
      <w:r>
        <w:rPr>
          <w:rFonts w:ascii="Arial" w:cs="Arial" w:eastAsia="Arial" w:hAnsi="Arial"/>
          <w:b/>
          <w:bCs/>
          <w:color w:val="1E6FD9"/>
          <w:sz w:val="38"/>
          <w:szCs w:val="38"/>
        </w:rPr>
        <w:t xml:space="preserve">Executive Summary</w:t>
      </w:r>
    </w:p>
    <w:p>
      <w:pPr>
        <w:spacing w:after="80" w:before="80"/>
      </w:pPr>
      <w:r>
        <w:rPr>
          <w:rFonts w:ascii="Arial" w:cs="Arial" w:eastAsia="Arial" w:hAnsi="Arial"/>
          <w:color w:val="374151"/>
          <w:sz w:val="22"/>
          <w:szCs w:val="22"/>
        </w:rPr>
        <w:t xml:space="preserve">The AI agent market is projected to grow from $7.8 billion in 2025 to $52.6 billion by 2030 — a 7× expansion in five years. Three players are converging on the same knowledge-worker use case from very different angles: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D1D5DB" w:sz="1"/>
              <w:left w:val="single" w:color="D1D5DB" w:sz="1"/>
              <w:bottom w:val="single" w:color="D1D5DB" w:sz="1"/>
              <w:right w:val="single" w:color="D1D5DB" w:sz="1"/>
            </w:tcBorders>
            <w:shd w:fill="111827"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Player</w:t>
            </w:r>
          </w:p>
        </w:tc>
        <w:tc>
          <w:tcPr>
            <w:tcW w:type="dxa" w:w="2400"/>
            <w:tcBorders>
              <w:top w:val="single" w:color="D1D5DB" w:sz="1"/>
              <w:left w:val="single" w:color="D1D5DB" w:sz="1"/>
              <w:bottom w:val="single" w:color="D1D5DB" w:sz="1"/>
              <w:right w:val="single" w:color="D1D5DB" w:sz="1"/>
            </w:tcBorders>
            <w:shd w:fill="111827"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Core bet</w:t>
            </w:r>
          </w:p>
        </w:tc>
        <w:tc>
          <w:tcPr>
            <w:tcW w:type="dxa" w:w="4960"/>
            <w:tcBorders>
              <w:top w:val="single" w:color="D1D5DB" w:sz="1"/>
              <w:left w:val="single" w:color="D1D5DB" w:sz="1"/>
              <w:bottom w:val="single" w:color="D1D5DB" w:sz="1"/>
              <w:right w:val="single" w:color="D1D5DB" w:sz="1"/>
            </w:tcBorders>
            <w:shd w:fill="111827"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Fundamental weakness</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b/>
                <w:bCs/>
                <w:color w:val="111827"/>
                <w:sz w:val="20"/>
                <w:szCs w:val="20"/>
              </w:rPr>
              <w:t xml:space="preserve">Artha</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Local-first, multi-model, privacy-by-default agent</w:t>
            </w:r>
          </w:p>
        </w:tc>
        <w:tc>
          <w:tcPr>
            <w:tcW w:type="dxa" w:w="4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No distribution, no business model, solo/indie</w:t>
            </w:r>
          </w:p>
        </w:tc>
      </w:tr>
      <w:tr>
        <w:tc>
          <w:tcPr>
            <w:tcW w:type="dxa" w:w="200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b/>
                <w:bCs/>
                <w:color w:val="111827"/>
                <w:sz w:val="20"/>
                <w:szCs w:val="20"/>
              </w:rPr>
              <w:t xml:space="preserve">Claude Cowork</w:t>
            </w:r>
          </w:p>
        </w:tc>
        <w:tc>
          <w:tcPr>
            <w:tcW w:type="dxa" w:w="240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Best-in-class cloud agent on the best-in-class model</w:t>
            </w:r>
          </w:p>
        </w:tc>
        <w:tc>
          <w:tcPr>
            <w:tcW w:type="dxa" w:w="496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All data leaves device; no audit log; cloud-only; $20+/mo paywall</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b/>
                <w:bCs/>
                <w:color w:val="111827"/>
                <w:sz w:val="20"/>
                <w:szCs w:val="20"/>
              </w:rPr>
              <w:t xml:space="preserve">DeepSeek</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Open-source model lab — trains and releases frontier models</w:t>
            </w:r>
          </w:p>
        </w:tc>
        <w:tc>
          <w:tcPr>
            <w:tcW w:type="dxa" w:w="4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No agent product; chat interface only; Chinese data jurisdiction</w:t>
            </w:r>
          </w:p>
        </w:tc>
      </w:tr>
    </w:tbl>
    <w:p>
      <w:pPr>
        <w:spacing w:after="160" w:before="0"/>
      </w:pPr>
    </w:p>
    <w:p>
      <w:pPr>
        <w:pBdr>
          <w:left w:val="single" w:color="1E6FD9" w:sz="12" w:space="8"/>
        </w:pBdr>
        <w:shd w:fill="EFF6FF" w:val="clear"/>
        <w:spacing w:after="160" w:before="160"/>
        <w:ind w:left="320"/>
      </w:pPr>
      <w:r>
        <w:rPr>
          <w:rFonts w:ascii="Arial" w:cs="Arial" w:eastAsia="Arial" w:hAnsi="Arial"/>
          <w:color w:val="111827"/>
          <w:sz w:val="22"/>
          <w:szCs w:val="22"/>
        </w:rPr>
        <w:t xml:space="preserve">Artha's core insight is correct and defensible: privacy-conscious professionals, regulated industries, and enterprise IT teams will pay a premium to keep data on-device. The question is not whether the market exists — it is whether Artha can capture it before Cowork ships an offline mode or a privacy-tier plan.</w:t>
      </w:r>
    </w:p>
    <w:p>
      <w:r>
        <w:br w:type="page"/>
      </w:r>
    </w:p>
    <w:p>
      <w:pPr>
        <w:pStyle w:val="Heading1"/>
        <w:spacing w:after="180" w:before="440"/>
      </w:pPr>
      <w:r>
        <w:rPr>
          <w:rFonts w:ascii="Arial" w:cs="Arial" w:eastAsia="Arial" w:hAnsi="Arial"/>
          <w:b/>
          <w:bCs/>
          <w:color w:val="1E6FD9"/>
          <w:sz w:val="38"/>
          <w:szCs w:val="38"/>
        </w:rPr>
        <w:t xml:space="preserve">Part I — Artha vs Claude Cowork</w:t>
      </w:r>
    </w:p>
    <w:p>
      <w:pPr>
        <w:pStyle w:val="Heading2"/>
        <w:spacing w:after="120" w:before="300"/>
      </w:pPr>
      <w:r>
        <w:rPr>
          <w:rFonts w:ascii="Arial" w:cs="Arial" w:eastAsia="Arial" w:hAnsi="Arial"/>
          <w:b/>
          <w:bCs/>
          <w:color w:val="111827"/>
          <w:sz w:val="28"/>
          <w:szCs w:val="28"/>
        </w:rPr>
        <w:t xml:space="preserve">2.1  What Cowork Does (2026 GA)</w:t>
      </w:r>
    </w:p>
    <w:p>
      <w:pPr>
        <w:spacing w:after="80" w:before="80"/>
      </w:pPr>
      <w:r>
        <w:rPr>
          <w:rFonts w:ascii="Arial" w:cs="Arial" w:eastAsia="Arial" w:hAnsi="Arial"/>
          <w:color w:val="374151"/>
          <w:sz w:val="22"/>
          <w:szCs w:val="22"/>
        </w:rPr>
        <w:t xml:space="preserve">Claude Cowork shipped generally available on April 9, 2026, bundled free on every paid Claude plan ($20/mo Pro and above). Its headline capabilities:</w:t>
      </w:r>
    </w:p>
    <w:p>
      <w:pPr>
        <w:pStyle w:val="ListParagraph"/>
        <w:numPr>
          <w:ilvl w:val="0"/>
          <w:numId w:val="2"/>
        </w:numPr>
        <w:spacing w:after="40" w:before="40"/>
      </w:pPr>
      <w:r>
        <w:rPr>
          <w:rFonts w:ascii="Arial" w:cs="Arial" w:eastAsia="Arial" w:hAnsi="Arial"/>
          <w:color w:val="374151"/>
          <w:sz w:val="22"/>
          <w:szCs w:val="22"/>
        </w:rPr>
        <w:t xml:space="preserve">Full filesystem access in user-approved folders — read, write, rename, sort files</w:t>
      </w:r>
    </w:p>
    <w:p>
      <w:pPr>
        <w:pStyle w:val="ListParagraph"/>
        <w:numPr>
          <w:ilvl w:val="0"/>
          <w:numId w:val="2"/>
        </w:numPr>
        <w:spacing w:after="40" w:before="40"/>
      </w:pPr>
      <w:r>
        <w:rPr>
          <w:rFonts w:ascii="Arial" w:cs="Arial" w:eastAsia="Arial" w:hAnsi="Arial"/>
          <w:color w:val="374151"/>
          <w:sz w:val="22"/>
          <w:szCs w:val="22"/>
        </w:rPr>
        <w:t xml:space="preserve">Computer use ("Dispatch") — Electron-based screen control as a last resort behind browser and connector tiers</w:t>
      </w:r>
    </w:p>
    <w:p>
      <w:pPr>
        <w:pStyle w:val="ListParagraph"/>
        <w:numPr>
          <w:ilvl w:val="0"/>
          <w:numId w:val="2"/>
        </w:numPr>
        <w:spacing w:after="40" w:before="40"/>
      </w:pPr>
      <w:r>
        <w:rPr>
          <w:rFonts w:ascii="Arial" w:cs="Arial" w:eastAsia="Arial" w:hAnsi="Arial"/>
          <w:color w:val="374151"/>
          <w:sz w:val="22"/>
          <w:szCs w:val="22"/>
        </w:rPr>
        <w:t xml:space="preserve">Scheduled recurring tasks with global and folder-level instructions</w:t>
      </w:r>
    </w:p>
    <w:p>
      <w:pPr>
        <w:pStyle w:val="ListParagraph"/>
        <w:numPr>
          <w:ilvl w:val="0"/>
          <w:numId w:val="2"/>
        </w:numPr>
        <w:spacing w:after="40" w:before="40"/>
      </w:pPr>
      <w:r>
        <w:rPr>
          <w:rFonts w:ascii="Arial" w:cs="Arial" w:eastAsia="Arial" w:hAnsi="Arial"/>
          <w:color w:val="374151"/>
          <w:sz w:val="22"/>
          <w:szCs w:val="22"/>
        </w:rPr>
        <w:t xml:space="preserve">Plugin marketplace with MCP connectors (Slack, Gmail, Notion, GitHub, etc.)</w:t>
      </w:r>
    </w:p>
    <w:p>
      <w:pPr>
        <w:pStyle w:val="ListParagraph"/>
        <w:numPr>
          <w:ilvl w:val="0"/>
          <w:numId w:val="2"/>
        </w:numPr>
        <w:spacing w:after="40" w:before="40"/>
      </w:pPr>
      <w:r>
        <w:rPr>
          <w:rFonts w:ascii="Arial" w:cs="Arial" w:eastAsia="Arial" w:hAnsi="Arial"/>
          <w:color w:val="374151"/>
          <w:sz w:val="22"/>
          <w:szCs w:val="22"/>
        </w:rPr>
        <w:t xml:space="preserve">Projects feature — persistent context scoped to a work area, files stay on device</w:t>
      </w:r>
    </w:p>
    <w:p>
      <w:pPr>
        <w:pStyle w:val="ListParagraph"/>
        <w:numPr>
          <w:ilvl w:val="0"/>
          <w:numId w:val="2"/>
        </w:numPr>
        <w:spacing w:after="40" w:before="40"/>
      </w:pPr>
      <w:r>
        <w:rPr>
          <w:rFonts w:ascii="Arial" w:cs="Arial" w:eastAsia="Arial" w:hAnsi="Arial"/>
          <w:color w:val="374151"/>
          <w:sz w:val="22"/>
          <w:szCs w:val="22"/>
        </w:rPr>
        <w:t xml:space="preserve">Vertical bundles — Legal (May 12), Small Business (May 13), Marketing Ops (May 18)</w:t>
      </w:r>
    </w:p>
    <w:p>
      <w:pPr>
        <w:pStyle w:val="ListParagraph"/>
        <w:numPr>
          <w:ilvl w:val="0"/>
          <w:numId w:val="2"/>
        </w:numPr>
        <w:spacing w:after="40" w:before="40"/>
      </w:pPr>
      <w:r>
        <w:rPr>
          <w:rFonts w:ascii="Arial" w:cs="Arial" w:eastAsia="Arial" w:hAnsi="Arial"/>
          <w:color w:val="374151"/>
          <w:sz w:val="22"/>
          <w:szCs w:val="22"/>
        </w:rPr>
        <w:t xml:space="preserve">Included on every paid plan; team/enterprise tiers available</w:t>
      </w:r>
    </w:p>
    <w:p>
      <w:pPr>
        <w:spacing w:after="160" w:before="0"/>
      </w:pPr>
    </w:p>
    <w:p>
      <w:pPr>
        <w:pStyle w:val="Heading2"/>
        <w:spacing w:after="120" w:before="300"/>
      </w:pPr>
      <w:r>
        <w:rPr>
          <w:rFonts w:ascii="Arial" w:cs="Arial" w:eastAsia="Arial" w:hAnsi="Arial"/>
          <w:b/>
          <w:bCs/>
          <w:color w:val="111827"/>
          <w:sz w:val="28"/>
          <w:szCs w:val="28"/>
        </w:rPr>
        <w:t xml:space="preserve">2.2  Feature-by-Feature Comparison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2267"/>
        <w:gridCol w:w="2267"/>
        <w:gridCol w:w="2266"/>
      </w:tblGrid>
      <w:tr>
        <w:trPr>
          <w:tblHeader/>
        </w:trPr>
        <w:tc>
          <w:tcPr>
            <w:tcW w:type="dxa" w:w="2560"/>
            <w:tcBorders>
              <w:top w:val="single" w:color="D1D5DB" w:sz="1"/>
              <w:left w:val="single" w:color="D1D5DB" w:sz="1"/>
              <w:bottom w:val="single" w:color="D1D5DB" w:sz="1"/>
              <w:right w:val="single" w:color="D1D5DB" w:sz="1"/>
            </w:tcBorders>
            <w:shd w:fill="111827" w:val="clear"/>
            <w:tcMar>
              <w:top w:type="dxa" w:w="90"/>
              <w:left w:type="dxa" w:w="150"/>
              <w:bottom w:type="dxa" w:w="90"/>
              <w:right w:type="dxa" w:w="150"/>
            </w:tcMar>
          </w:tcPr>
          <w:p>
            <w:pPr>
              <w:spacing w:after="0" w:before="0"/>
            </w:pPr>
            <w:r>
              <w:rPr>
                <w:rFonts w:ascii="Arial" w:cs="Arial" w:eastAsia="Arial" w:hAnsi="Arial"/>
                <w:b/>
                <w:bCs/>
                <w:color w:val="FFFFFF"/>
                <w:sz w:val="19"/>
                <w:szCs w:val="19"/>
              </w:rPr>
              <w:t xml:space="preserve">Feature</w:t>
            </w:r>
          </w:p>
        </w:tc>
        <w:tc>
          <w:tcPr>
            <w:tcW w:type="dxa" w:w="2267"/>
            <w:tcBorders>
              <w:top w:val="single" w:color="D1D5DB" w:sz="1"/>
              <w:left w:val="single" w:color="D1D5DB" w:sz="1"/>
              <w:bottom w:val="single" w:color="D1D5DB" w:sz="1"/>
              <w:right w:val="single" w:color="D1D5DB" w:sz="1"/>
            </w:tcBorders>
            <w:shd w:fill="1E6FD9" w:val="clear"/>
            <w:tcMar>
              <w:top w:type="dxa" w:w="90"/>
              <w:left w:type="dxa" w:w="150"/>
              <w:bottom w:type="dxa" w:w="90"/>
              <w:right w:type="dxa" w:w="150"/>
            </w:tcMar>
          </w:tcPr>
          <w:p>
            <w:pPr>
              <w:spacing w:after="0" w:before="0"/>
            </w:pPr>
            <w:r>
              <w:rPr>
                <w:rFonts w:ascii="Arial" w:cs="Arial" w:eastAsia="Arial" w:hAnsi="Arial"/>
                <w:b/>
                <w:bCs/>
                <w:color w:val="FFFFFF"/>
                <w:sz w:val="19"/>
                <w:szCs w:val="19"/>
              </w:rPr>
              <w:t xml:space="preserve">Artha</w:t>
            </w:r>
          </w:p>
        </w:tc>
        <w:tc>
          <w:tcPr>
            <w:tcW w:type="dxa" w:w="2267"/>
            <w:tcBorders>
              <w:top w:val="single" w:color="D1D5DB" w:sz="1"/>
              <w:left w:val="single" w:color="D1D5DB" w:sz="1"/>
              <w:bottom w:val="single" w:color="D1D5DB" w:sz="1"/>
              <w:right w:val="single" w:color="D1D5DB" w:sz="1"/>
            </w:tcBorders>
            <w:shd w:fill="7C3AED" w:val="clear"/>
            <w:tcMar>
              <w:top w:type="dxa" w:w="90"/>
              <w:left w:type="dxa" w:w="150"/>
              <w:bottom w:type="dxa" w:w="90"/>
              <w:right w:type="dxa" w:w="150"/>
            </w:tcMar>
          </w:tcPr>
          <w:p>
            <w:pPr>
              <w:spacing w:after="0" w:before="0"/>
            </w:pPr>
            <w:r>
              <w:rPr>
                <w:rFonts w:ascii="Arial" w:cs="Arial" w:eastAsia="Arial" w:hAnsi="Arial"/>
                <w:b/>
                <w:bCs/>
                <w:color w:val="FFFFFF"/>
                <w:sz w:val="19"/>
                <w:szCs w:val="19"/>
              </w:rPr>
              <w:t xml:space="preserve">Claude Cowork</w:t>
            </w:r>
          </w:p>
        </w:tc>
        <w:tc>
          <w:tcPr>
            <w:tcW w:type="dxa" w:w="2266"/>
            <w:tcBorders>
              <w:top w:val="single" w:color="D1D5DB" w:sz="1"/>
              <w:left w:val="single" w:color="D1D5DB" w:sz="1"/>
              <w:bottom w:val="single" w:color="D1D5DB" w:sz="1"/>
              <w:right w:val="single" w:color="D1D5DB" w:sz="1"/>
            </w:tcBorders>
            <w:shd w:fill="1D4ED8" w:val="clear"/>
            <w:tcMar>
              <w:top w:type="dxa" w:w="90"/>
              <w:left w:type="dxa" w:w="150"/>
              <w:bottom w:type="dxa" w:w="90"/>
              <w:right w:type="dxa" w:w="150"/>
            </w:tcMar>
          </w:tcPr>
          <w:p>
            <w:pPr>
              <w:spacing w:after="0" w:before="0"/>
            </w:pPr>
            <w:r>
              <w:rPr>
                <w:rFonts w:ascii="Arial" w:cs="Arial" w:eastAsia="Arial" w:hAnsi="Arial"/>
                <w:b/>
                <w:bCs/>
                <w:color w:val="FFFFFF"/>
                <w:sz w:val="19"/>
                <w:szCs w:val="19"/>
              </w:rPr>
              <w:t xml:space="preserve">DeepSeek</w:t>
            </w:r>
          </w:p>
        </w:tc>
      </w:tr>
      <w:tr>
        <w:tc>
          <w:tcPr>
            <w:tcW w:type="dxa" w:w="2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Data residency</w:t>
            </w:r>
          </w:p>
        </w:tc>
        <w:tc>
          <w:tcPr>
            <w:tcW w:type="dxa" w:w="2267"/>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E6FD9"/>
                <w:sz w:val="19"/>
                <w:szCs w:val="19"/>
              </w:rPr>
              <w:t xml:space="preserve">✅ 100 % on-device, never leaves machine</w:t>
            </w:r>
          </w:p>
        </w:tc>
        <w:tc>
          <w:tcPr>
            <w:tcW w:type="dxa" w:w="2267"/>
            <w:tcBorders>
              <w:top w:val="single" w:color="D1D5DB" w:sz="1"/>
              <w:left w:val="single" w:color="D1D5DB" w:sz="1"/>
              <w:bottom w:val="single" w:color="D1D5DB" w:sz="1"/>
              <w:right w:val="single" w:color="D1D5DB" w:sz="1"/>
            </w:tcBorders>
            <w:shd w:fill="FAF5FF" w:val="clear"/>
            <w:tcMar>
              <w:top w:type="dxa" w:w="90"/>
              <w:left w:type="dxa" w:w="150"/>
              <w:bottom w:type="dxa" w:w="90"/>
              <w:right w:type="dxa" w:w="150"/>
            </w:tcMar>
          </w:tcPr>
          <w:p>
            <w:pPr>
              <w:spacing w:after="0" w:before="0"/>
            </w:pPr>
            <w:r>
              <w:rPr>
                <w:rFonts w:ascii="Arial" w:cs="Arial" w:eastAsia="Arial" w:hAnsi="Arial"/>
                <w:color w:val="7C3AED"/>
                <w:sz w:val="19"/>
                <w:szCs w:val="19"/>
              </w:rPr>
              <w:t xml:space="preserve">⚠️ Cloud-processed; US/EU/Asia data centres; opt-out training</w:t>
            </w:r>
          </w:p>
        </w:tc>
        <w:tc>
          <w:tcPr>
            <w:tcW w:type="dxa" w:w="2266"/>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D4ED8"/>
                <w:sz w:val="19"/>
                <w:szCs w:val="19"/>
              </w:rPr>
              <w:t xml:space="preserve">⚠️ Cloud API; Chinese servers; open-source weights available</w:t>
            </w:r>
          </w:p>
        </w:tc>
      </w:tr>
      <w:tr>
        <w:tc>
          <w:tcPr>
            <w:tcW w:type="dxa" w:w="256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Model choice</w:t>
            </w:r>
          </w:p>
        </w:tc>
        <w:tc>
          <w:tcPr>
            <w:tcW w:type="dxa" w:w="2267"/>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E6FD9"/>
                <w:sz w:val="19"/>
                <w:szCs w:val="19"/>
              </w:rPr>
              <w:t xml:space="preserve">✅ Any Ollama model + BYOK cloud (GPT-4o, Claude, etc.)</w:t>
            </w:r>
          </w:p>
        </w:tc>
        <w:tc>
          <w:tcPr>
            <w:tcW w:type="dxa" w:w="2267"/>
            <w:tcBorders>
              <w:top w:val="single" w:color="D1D5DB" w:sz="1"/>
              <w:left w:val="single" w:color="D1D5DB" w:sz="1"/>
              <w:bottom w:val="single" w:color="D1D5DB" w:sz="1"/>
              <w:right w:val="single" w:color="D1D5DB" w:sz="1"/>
            </w:tcBorders>
            <w:shd w:fill="FAF5FF" w:val="clear"/>
            <w:tcMar>
              <w:top w:type="dxa" w:w="90"/>
              <w:left w:type="dxa" w:w="150"/>
              <w:bottom w:type="dxa" w:w="90"/>
              <w:right w:type="dxa" w:w="150"/>
            </w:tcMar>
          </w:tcPr>
          <w:p>
            <w:pPr>
              <w:spacing w:after="0" w:before="0"/>
            </w:pPr>
            <w:r>
              <w:rPr>
                <w:rFonts w:ascii="Arial" w:cs="Arial" w:eastAsia="Arial" w:hAnsi="Arial"/>
                <w:color w:val="7C3AED"/>
                <w:sz w:val="19"/>
                <w:szCs w:val="19"/>
              </w:rPr>
              <w:t xml:space="preserve">❌ Claude only (Sonnet / Opus)</w:t>
            </w:r>
          </w:p>
        </w:tc>
        <w:tc>
          <w:tcPr>
            <w:tcW w:type="dxa" w:w="2266"/>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D4ED8"/>
                <w:sz w:val="19"/>
                <w:szCs w:val="19"/>
              </w:rPr>
              <w:t xml:space="preserve">❌ DeepSeek models only on cloud; local via Ollama (no product)</w:t>
            </w:r>
          </w:p>
        </w:tc>
      </w:tr>
      <w:tr>
        <w:tc>
          <w:tcPr>
            <w:tcW w:type="dxa" w:w="2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Offline operation</w:t>
            </w:r>
          </w:p>
        </w:tc>
        <w:tc>
          <w:tcPr>
            <w:tcW w:type="dxa" w:w="2267"/>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E6FD9"/>
                <w:sz w:val="19"/>
                <w:szCs w:val="19"/>
              </w:rPr>
              <w:t xml:space="preserve">✅ Fully offline once model is pulled</w:t>
            </w:r>
          </w:p>
        </w:tc>
        <w:tc>
          <w:tcPr>
            <w:tcW w:type="dxa" w:w="2267"/>
            <w:tcBorders>
              <w:top w:val="single" w:color="D1D5DB" w:sz="1"/>
              <w:left w:val="single" w:color="D1D5DB" w:sz="1"/>
              <w:bottom w:val="single" w:color="D1D5DB" w:sz="1"/>
              <w:right w:val="single" w:color="D1D5DB" w:sz="1"/>
            </w:tcBorders>
            <w:shd w:fill="FAF5FF" w:val="clear"/>
            <w:tcMar>
              <w:top w:type="dxa" w:w="90"/>
              <w:left w:type="dxa" w:w="150"/>
              <w:bottom w:type="dxa" w:w="90"/>
              <w:right w:type="dxa" w:w="150"/>
            </w:tcMar>
          </w:tcPr>
          <w:p>
            <w:pPr>
              <w:spacing w:after="0" w:before="0"/>
            </w:pPr>
            <w:r>
              <w:rPr>
                <w:rFonts w:ascii="Arial" w:cs="Arial" w:eastAsia="Arial" w:hAnsi="Arial"/>
                <w:color w:val="7C3AED"/>
                <w:sz w:val="19"/>
                <w:szCs w:val="19"/>
              </w:rPr>
              <w:t xml:space="preserve">❌ Requires live internet for every inference</w:t>
            </w:r>
          </w:p>
        </w:tc>
        <w:tc>
          <w:tcPr>
            <w:tcW w:type="dxa" w:w="2266"/>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D4ED8"/>
                <w:sz w:val="19"/>
                <w:szCs w:val="19"/>
              </w:rPr>
              <w:t xml:space="preserve">❌ Cloud API; local weights possible but no agent product</w:t>
            </w:r>
          </w:p>
        </w:tc>
      </w:tr>
      <w:tr>
        <w:tc>
          <w:tcPr>
            <w:tcW w:type="dxa" w:w="256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Audit &amp; compliance</w:t>
            </w:r>
          </w:p>
        </w:tc>
        <w:tc>
          <w:tcPr>
            <w:tcW w:type="dxa" w:w="2267"/>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E6FD9"/>
                <w:sz w:val="19"/>
                <w:szCs w:val="19"/>
              </w:rPr>
              <w:t xml:space="preserve">✅ Full tool audit log in local SQLite; provenance receipts</w:t>
            </w:r>
          </w:p>
        </w:tc>
        <w:tc>
          <w:tcPr>
            <w:tcW w:type="dxa" w:w="2267"/>
            <w:tcBorders>
              <w:top w:val="single" w:color="D1D5DB" w:sz="1"/>
              <w:left w:val="single" w:color="D1D5DB" w:sz="1"/>
              <w:bottom w:val="single" w:color="D1D5DB" w:sz="1"/>
              <w:right w:val="single" w:color="D1D5DB" w:sz="1"/>
            </w:tcBorders>
            <w:shd w:fill="FAF5FF" w:val="clear"/>
            <w:tcMar>
              <w:top w:type="dxa" w:w="90"/>
              <w:left w:type="dxa" w:w="150"/>
              <w:bottom w:type="dxa" w:w="90"/>
              <w:right w:type="dxa" w:w="150"/>
            </w:tcMar>
          </w:tcPr>
          <w:p>
            <w:pPr>
              <w:spacing w:after="0" w:before="0"/>
            </w:pPr>
            <w:r>
              <w:rPr>
                <w:rFonts w:ascii="Arial" w:cs="Arial" w:eastAsia="Arial" w:hAnsi="Arial"/>
                <w:color w:val="7C3AED"/>
                <w:sz w:val="19"/>
                <w:szCs w:val="19"/>
              </w:rPr>
              <w:t xml:space="preserve">❌ No Cowork activity in audit logs or Compliance API — Anthropic's own advisory</w:t>
            </w:r>
          </w:p>
        </w:tc>
        <w:tc>
          <w:tcPr>
            <w:tcW w:type="dxa" w:w="2266"/>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D4ED8"/>
                <w:sz w:val="19"/>
                <w:szCs w:val="19"/>
              </w:rPr>
              <w:t xml:space="preserve">— Not applicable (model company)</w:t>
            </w:r>
          </w:p>
        </w:tc>
      </w:tr>
      <w:tr>
        <w:tc>
          <w:tcPr>
            <w:tcW w:type="dxa" w:w="2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Subscription cost</w:t>
            </w:r>
          </w:p>
        </w:tc>
        <w:tc>
          <w:tcPr>
            <w:tcW w:type="dxa" w:w="2267"/>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E6FD9"/>
                <w:sz w:val="19"/>
                <w:szCs w:val="19"/>
              </w:rPr>
              <w:t xml:space="preserve">✅ Free (self-hosted Ollama); one-time app cost possible</w:t>
            </w:r>
          </w:p>
        </w:tc>
        <w:tc>
          <w:tcPr>
            <w:tcW w:type="dxa" w:w="2267"/>
            <w:tcBorders>
              <w:top w:val="single" w:color="D1D5DB" w:sz="1"/>
              <w:left w:val="single" w:color="D1D5DB" w:sz="1"/>
              <w:bottom w:val="single" w:color="D1D5DB" w:sz="1"/>
              <w:right w:val="single" w:color="D1D5DB" w:sz="1"/>
            </w:tcBorders>
            <w:shd w:fill="FAF5FF" w:val="clear"/>
            <w:tcMar>
              <w:top w:type="dxa" w:w="90"/>
              <w:left w:type="dxa" w:w="150"/>
              <w:bottom w:type="dxa" w:w="90"/>
              <w:right w:type="dxa" w:w="150"/>
            </w:tcMar>
          </w:tcPr>
          <w:p>
            <w:pPr>
              <w:spacing w:after="0" w:before="0"/>
            </w:pPr>
            <w:r>
              <w:rPr>
                <w:rFonts w:ascii="Arial" w:cs="Arial" w:eastAsia="Arial" w:hAnsi="Arial"/>
                <w:color w:val="7C3AED"/>
                <w:sz w:val="19"/>
                <w:szCs w:val="19"/>
              </w:rPr>
              <w:t xml:space="preserve">❌ $20/mo minimum; enterprise tier additional</w:t>
            </w:r>
          </w:p>
        </w:tc>
        <w:tc>
          <w:tcPr>
            <w:tcW w:type="dxa" w:w="2266"/>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D4ED8"/>
                <w:sz w:val="19"/>
                <w:szCs w:val="19"/>
              </w:rPr>
              <w:t xml:space="preserve">✅ Free open-source weights; paid cloud API</w:t>
            </w:r>
          </w:p>
        </w:tc>
      </w:tr>
      <w:tr>
        <w:tc>
          <w:tcPr>
            <w:tcW w:type="dxa" w:w="256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Prompt injection defence</w:t>
            </w:r>
          </w:p>
        </w:tc>
        <w:tc>
          <w:tcPr>
            <w:tcW w:type="dxa" w:w="2267"/>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E6FD9"/>
                <w:sz w:val="19"/>
                <w:szCs w:val="19"/>
              </w:rPr>
              <w:t xml:space="preserve">✅ Content isolation rules; tool result verification prompts</w:t>
            </w:r>
          </w:p>
        </w:tc>
        <w:tc>
          <w:tcPr>
            <w:tcW w:type="dxa" w:w="2267"/>
            <w:tcBorders>
              <w:top w:val="single" w:color="D1D5DB" w:sz="1"/>
              <w:left w:val="single" w:color="D1D5DB" w:sz="1"/>
              <w:bottom w:val="single" w:color="D1D5DB" w:sz="1"/>
              <w:right w:val="single" w:color="D1D5DB" w:sz="1"/>
            </w:tcBorders>
            <w:shd w:fill="FAF5FF" w:val="clear"/>
            <w:tcMar>
              <w:top w:type="dxa" w:w="90"/>
              <w:left w:type="dxa" w:w="150"/>
              <w:bottom w:type="dxa" w:w="90"/>
              <w:right w:type="dxa" w:w="150"/>
            </w:tcMar>
          </w:tcPr>
          <w:p>
            <w:pPr>
              <w:spacing w:after="0" w:before="0"/>
            </w:pPr>
            <w:r>
              <w:rPr>
                <w:rFonts w:ascii="Arial" w:cs="Arial" w:eastAsia="Arial" w:hAnsi="Arial"/>
                <w:color w:val="7C3AED"/>
                <w:sz w:val="19"/>
                <w:szCs w:val="19"/>
              </w:rPr>
              <w:t xml:space="preserve">⚠️ Vulnerable to indirect injection via files/web (CVE-2025-59536)</w:t>
            </w:r>
          </w:p>
        </w:tc>
        <w:tc>
          <w:tcPr>
            <w:tcW w:type="dxa" w:w="2266"/>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D4ED8"/>
                <w:sz w:val="19"/>
                <w:szCs w:val="19"/>
              </w:rPr>
              <w:t xml:space="preserve">— Not applicable</w:t>
            </w:r>
          </w:p>
        </w:tc>
      </w:tr>
      <w:tr>
        <w:tc>
          <w:tcPr>
            <w:tcW w:type="dxa" w:w="2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Time travel / session fork</w:t>
            </w:r>
          </w:p>
        </w:tc>
        <w:tc>
          <w:tcPr>
            <w:tcW w:type="dxa" w:w="2267"/>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E6FD9"/>
                <w:sz w:val="19"/>
                <w:szCs w:val="19"/>
              </w:rPr>
              <w:t xml:space="preserve">✅ Step-level run history; fork with model swap</w:t>
            </w:r>
          </w:p>
        </w:tc>
        <w:tc>
          <w:tcPr>
            <w:tcW w:type="dxa" w:w="2267"/>
            <w:tcBorders>
              <w:top w:val="single" w:color="D1D5DB" w:sz="1"/>
              <w:left w:val="single" w:color="D1D5DB" w:sz="1"/>
              <w:bottom w:val="single" w:color="D1D5DB" w:sz="1"/>
              <w:right w:val="single" w:color="D1D5DB" w:sz="1"/>
            </w:tcBorders>
            <w:shd w:fill="FAF5FF" w:val="clear"/>
            <w:tcMar>
              <w:top w:type="dxa" w:w="90"/>
              <w:left w:type="dxa" w:w="150"/>
              <w:bottom w:type="dxa" w:w="90"/>
              <w:right w:type="dxa" w:w="150"/>
            </w:tcMar>
          </w:tcPr>
          <w:p>
            <w:pPr>
              <w:spacing w:after="0" w:before="0"/>
            </w:pPr>
            <w:r>
              <w:rPr>
                <w:rFonts w:ascii="Arial" w:cs="Arial" w:eastAsia="Arial" w:hAnsi="Arial"/>
                <w:color w:val="7C3AED"/>
                <w:sz w:val="19"/>
                <w:szCs w:val="19"/>
              </w:rPr>
              <w:t xml:space="preserve">❌ No session forking or step replay</w:t>
            </w:r>
          </w:p>
        </w:tc>
        <w:tc>
          <w:tcPr>
            <w:tcW w:type="dxa" w:w="2266"/>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D4ED8"/>
                <w:sz w:val="19"/>
                <w:szCs w:val="19"/>
              </w:rPr>
              <w:t xml:space="preserve">— Not applicable</w:t>
            </w:r>
          </w:p>
        </w:tc>
      </w:tr>
      <w:tr>
        <w:tc>
          <w:tcPr>
            <w:tcW w:type="dxa" w:w="256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RAG over local docs</w:t>
            </w:r>
          </w:p>
        </w:tc>
        <w:tc>
          <w:tcPr>
            <w:tcW w:type="dxa" w:w="2267"/>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E6FD9"/>
                <w:sz w:val="19"/>
                <w:szCs w:val="19"/>
              </w:rPr>
              <w:t xml:space="preserve">✅ nomic-embed-text; SQLite vector store; index any folder</w:t>
            </w:r>
          </w:p>
        </w:tc>
        <w:tc>
          <w:tcPr>
            <w:tcW w:type="dxa" w:w="2267"/>
            <w:tcBorders>
              <w:top w:val="single" w:color="D1D5DB" w:sz="1"/>
              <w:left w:val="single" w:color="D1D5DB" w:sz="1"/>
              <w:bottom w:val="single" w:color="D1D5DB" w:sz="1"/>
              <w:right w:val="single" w:color="D1D5DB" w:sz="1"/>
            </w:tcBorders>
            <w:shd w:fill="FAF5FF" w:val="clear"/>
            <w:tcMar>
              <w:top w:type="dxa" w:w="90"/>
              <w:left w:type="dxa" w:w="150"/>
              <w:bottom w:type="dxa" w:w="90"/>
              <w:right w:type="dxa" w:w="150"/>
            </w:tcMar>
          </w:tcPr>
          <w:p>
            <w:pPr>
              <w:spacing w:after="0" w:before="0"/>
            </w:pPr>
            <w:r>
              <w:rPr>
                <w:rFonts w:ascii="Arial" w:cs="Arial" w:eastAsia="Arial" w:hAnsi="Arial"/>
                <w:color w:val="7C3AED"/>
                <w:sz w:val="19"/>
                <w:szCs w:val="19"/>
              </w:rPr>
              <w:t xml:space="preserve">⚠️ Project context only; no semantic vector search</w:t>
            </w:r>
          </w:p>
        </w:tc>
        <w:tc>
          <w:tcPr>
            <w:tcW w:type="dxa" w:w="2266"/>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D4ED8"/>
                <w:sz w:val="19"/>
                <w:szCs w:val="19"/>
              </w:rPr>
              <w:t xml:space="preserve">— Not applicable</w:t>
            </w:r>
          </w:p>
        </w:tc>
      </w:tr>
      <w:tr>
        <w:tc>
          <w:tcPr>
            <w:tcW w:type="dxa" w:w="2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LAN collaboration</w:t>
            </w:r>
          </w:p>
        </w:tc>
        <w:tc>
          <w:tcPr>
            <w:tcW w:type="dxa" w:w="2267"/>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E6FD9"/>
                <w:sz w:val="19"/>
                <w:szCs w:val="19"/>
              </w:rPr>
              <w:t xml:space="preserve">✅ NDJSON server on LAN; QR code; autostart</w:t>
            </w:r>
          </w:p>
        </w:tc>
        <w:tc>
          <w:tcPr>
            <w:tcW w:type="dxa" w:w="2267"/>
            <w:tcBorders>
              <w:top w:val="single" w:color="D1D5DB" w:sz="1"/>
              <w:left w:val="single" w:color="D1D5DB" w:sz="1"/>
              <w:bottom w:val="single" w:color="D1D5DB" w:sz="1"/>
              <w:right w:val="single" w:color="D1D5DB" w:sz="1"/>
            </w:tcBorders>
            <w:shd w:fill="FAF5FF" w:val="clear"/>
            <w:tcMar>
              <w:top w:type="dxa" w:w="90"/>
              <w:left w:type="dxa" w:w="150"/>
              <w:bottom w:type="dxa" w:w="90"/>
              <w:right w:type="dxa" w:w="150"/>
            </w:tcMar>
          </w:tcPr>
          <w:p>
            <w:pPr>
              <w:spacing w:after="0" w:before="0"/>
            </w:pPr>
            <w:r>
              <w:rPr>
                <w:rFonts w:ascii="Arial" w:cs="Arial" w:eastAsia="Arial" w:hAnsi="Arial"/>
                <w:color w:val="7C3AED"/>
                <w:sz w:val="19"/>
                <w:szCs w:val="19"/>
              </w:rPr>
              <w:t xml:space="preserve">❌ Single-machine only</w:t>
            </w:r>
          </w:p>
        </w:tc>
        <w:tc>
          <w:tcPr>
            <w:tcW w:type="dxa" w:w="2266"/>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D4ED8"/>
                <w:sz w:val="19"/>
                <w:szCs w:val="19"/>
              </w:rPr>
              <w:t xml:space="preserve">— Not applicable</w:t>
            </w:r>
          </w:p>
        </w:tc>
      </w:tr>
      <w:tr>
        <w:tc>
          <w:tcPr>
            <w:tcW w:type="dxa" w:w="256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Adaptive model router</w:t>
            </w:r>
          </w:p>
        </w:tc>
        <w:tc>
          <w:tcPr>
            <w:tcW w:type="dxa" w:w="2267"/>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E6FD9"/>
                <w:sz w:val="19"/>
                <w:szCs w:val="19"/>
              </w:rPr>
              <w:t xml:space="preserve">✅ Benchmarks models per task type; auto-assigns best model</w:t>
            </w:r>
          </w:p>
        </w:tc>
        <w:tc>
          <w:tcPr>
            <w:tcW w:type="dxa" w:w="2267"/>
            <w:tcBorders>
              <w:top w:val="single" w:color="D1D5DB" w:sz="1"/>
              <w:left w:val="single" w:color="D1D5DB" w:sz="1"/>
              <w:bottom w:val="single" w:color="D1D5DB" w:sz="1"/>
              <w:right w:val="single" w:color="D1D5DB" w:sz="1"/>
            </w:tcBorders>
            <w:shd w:fill="FAF5FF" w:val="clear"/>
            <w:tcMar>
              <w:top w:type="dxa" w:w="90"/>
              <w:left w:type="dxa" w:w="150"/>
              <w:bottom w:type="dxa" w:w="90"/>
              <w:right w:type="dxa" w:w="150"/>
            </w:tcMar>
          </w:tcPr>
          <w:p>
            <w:pPr>
              <w:spacing w:after="0" w:before="0"/>
            </w:pPr>
            <w:r>
              <w:rPr>
                <w:rFonts w:ascii="Arial" w:cs="Arial" w:eastAsia="Arial" w:hAnsi="Arial"/>
                <w:color w:val="7C3AED"/>
                <w:sz w:val="19"/>
                <w:szCs w:val="19"/>
              </w:rPr>
              <w:t xml:space="preserve">❌ Single model; no routing</w:t>
            </w:r>
          </w:p>
        </w:tc>
        <w:tc>
          <w:tcPr>
            <w:tcW w:type="dxa" w:w="2266"/>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D4ED8"/>
                <w:sz w:val="19"/>
                <w:szCs w:val="19"/>
              </w:rPr>
              <w:t xml:space="preserve">— Not applicable</w:t>
            </w:r>
          </w:p>
        </w:tc>
      </w:tr>
      <w:tr>
        <w:tc>
          <w:tcPr>
            <w:tcW w:type="dxa" w:w="2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Provenance tracking</w:t>
            </w:r>
          </w:p>
        </w:tc>
        <w:tc>
          <w:tcPr>
            <w:tcW w:type="dxa" w:w="2267"/>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E6FD9"/>
                <w:sz w:val="19"/>
                <w:szCs w:val="19"/>
              </w:rPr>
              <w:t xml:space="preserve">✅ Content hashes, anchor records, signed receipts per document</w:t>
            </w:r>
          </w:p>
        </w:tc>
        <w:tc>
          <w:tcPr>
            <w:tcW w:type="dxa" w:w="2267"/>
            <w:tcBorders>
              <w:top w:val="single" w:color="D1D5DB" w:sz="1"/>
              <w:left w:val="single" w:color="D1D5DB" w:sz="1"/>
              <w:bottom w:val="single" w:color="D1D5DB" w:sz="1"/>
              <w:right w:val="single" w:color="D1D5DB" w:sz="1"/>
            </w:tcBorders>
            <w:shd w:fill="FAF5FF" w:val="clear"/>
            <w:tcMar>
              <w:top w:type="dxa" w:w="90"/>
              <w:left w:type="dxa" w:w="150"/>
              <w:bottom w:type="dxa" w:w="90"/>
              <w:right w:type="dxa" w:w="150"/>
            </w:tcMar>
          </w:tcPr>
          <w:p>
            <w:pPr>
              <w:spacing w:after="0" w:before="0"/>
            </w:pPr>
            <w:r>
              <w:rPr>
                <w:rFonts w:ascii="Arial" w:cs="Arial" w:eastAsia="Arial" w:hAnsi="Arial"/>
                <w:color w:val="7C3AED"/>
                <w:sz w:val="19"/>
                <w:szCs w:val="19"/>
              </w:rPr>
              <w:t xml:space="preserve">❌ No per-document provenance</w:t>
            </w:r>
          </w:p>
        </w:tc>
        <w:tc>
          <w:tcPr>
            <w:tcW w:type="dxa" w:w="2266"/>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D4ED8"/>
                <w:sz w:val="19"/>
                <w:szCs w:val="19"/>
              </w:rPr>
              <w:t xml:space="preserve">— Not applicable</w:t>
            </w:r>
          </w:p>
        </w:tc>
      </w:tr>
      <w:tr>
        <w:tc>
          <w:tcPr>
            <w:tcW w:type="dxa" w:w="256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Parallel subagents</w:t>
            </w:r>
          </w:p>
        </w:tc>
        <w:tc>
          <w:tcPr>
            <w:tcW w:type="dxa" w:w="2267"/>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E6FD9"/>
                <w:sz w:val="19"/>
                <w:szCs w:val="19"/>
              </w:rPr>
              <w:t xml:space="preserve">✅ Promise.all up to 4 concurrent subagent runs</w:t>
            </w:r>
          </w:p>
        </w:tc>
        <w:tc>
          <w:tcPr>
            <w:tcW w:type="dxa" w:w="2267"/>
            <w:tcBorders>
              <w:top w:val="single" w:color="D1D5DB" w:sz="1"/>
              <w:left w:val="single" w:color="D1D5DB" w:sz="1"/>
              <w:bottom w:val="single" w:color="D1D5DB" w:sz="1"/>
              <w:right w:val="single" w:color="D1D5DB" w:sz="1"/>
            </w:tcBorders>
            <w:shd w:fill="FAF5FF" w:val="clear"/>
            <w:tcMar>
              <w:top w:type="dxa" w:w="90"/>
              <w:left w:type="dxa" w:w="150"/>
              <w:bottom w:type="dxa" w:w="90"/>
              <w:right w:type="dxa" w:w="150"/>
            </w:tcMar>
          </w:tcPr>
          <w:p>
            <w:pPr>
              <w:spacing w:after="0" w:before="0"/>
            </w:pPr>
            <w:r>
              <w:rPr>
                <w:rFonts w:ascii="Arial" w:cs="Arial" w:eastAsia="Arial" w:hAnsi="Arial"/>
                <w:color w:val="7C3AED"/>
                <w:sz w:val="19"/>
                <w:szCs w:val="19"/>
              </w:rPr>
              <w:t xml:space="preserve">⚠️ Sequential only (Dispatch)</w:t>
            </w:r>
          </w:p>
        </w:tc>
        <w:tc>
          <w:tcPr>
            <w:tcW w:type="dxa" w:w="2266"/>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D4ED8"/>
                <w:sz w:val="19"/>
                <w:szCs w:val="19"/>
              </w:rPr>
              <w:t xml:space="preserve">— Not applicable</w:t>
            </w:r>
          </w:p>
        </w:tc>
      </w:tr>
      <w:tr>
        <w:tc>
          <w:tcPr>
            <w:tcW w:type="dxa" w:w="2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Vertical bundles</w:t>
            </w:r>
          </w:p>
        </w:tc>
        <w:tc>
          <w:tcPr>
            <w:tcW w:type="dxa" w:w="2267"/>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E6FD9"/>
                <w:sz w:val="19"/>
                <w:szCs w:val="19"/>
              </w:rPr>
              <w:t xml:space="preserve">❌ Not yet shipped</w:t>
            </w:r>
          </w:p>
        </w:tc>
        <w:tc>
          <w:tcPr>
            <w:tcW w:type="dxa" w:w="2267"/>
            <w:tcBorders>
              <w:top w:val="single" w:color="D1D5DB" w:sz="1"/>
              <w:left w:val="single" w:color="D1D5DB" w:sz="1"/>
              <w:bottom w:val="single" w:color="D1D5DB" w:sz="1"/>
              <w:right w:val="single" w:color="D1D5DB" w:sz="1"/>
            </w:tcBorders>
            <w:shd w:fill="FAF5FF" w:val="clear"/>
            <w:tcMar>
              <w:top w:type="dxa" w:w="90"/>
              <w:left w:type="dxa" w:w="150"/>
              <w:bottom w:type="dxa" w:w="90"/>
              <w:right w:type="dxa" w:w="150"/>
            </w:tcMar>
          </w:tcPr>
          <w:p>
            <w:pPr>
              <w:spacing w:after="0" w:before="0"/>
            </w:pPr>
            <w:r>
              <w:rPr>
                <w:rFonts w:ascii="Arial" w:cs="Arial" w:eastAsia="Arial" w:hAnsi="Arial"/>
                <w:color w:val="7C3AED"/>
                <w:sz w:val="19"/>
                <w:szCs w:val="19"/>
              </w:rPr>
              <w:t xml:space="preserve">✅ Legal, Small Business, Marketing Ops (May 2026)</w:t>
            </w:r>
          </w:p>
        </w:tc>
        <w:tc>
          <w:tcPr>
            <w:tcW w:type="dxa" w:w="2266"/>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D4ED8"/>
                <w:sz w:val="19"/>
                <w:szCs w:val="19"/>
              </w:rPr>
              <w:t xml:space="preserve">— Not applicable</w:t>
            </w:r>
          </w:p>
        </w:tc>
      </w:tr>
      <w:tr>
        <w:tc>
          <w:tcPr>
            <w:tcW w:type="dxa" w:w="256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Mobile companion</w:t>
            </w:r>
          </w:p>
        </w:tc>
        <w:tc>
          <w:tcPr>
            <w:tcW w:type="dxa" w:w="2267"/>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E6FD9"/>
                <w:sz w:val="19"/>
                <w:szCs w:val="19"/>
              </w:rPr>
              <w:t xml:space="preserve">❌ Desktop only</w:t>
            </w:r>
          </w:p>
        </w:tc>
        <w:tc>
          <w:tcPr>
            <w:tcW w:type="dxa" w:w="2267"/>
            <w:tcBorders>
              <w:top w:val="single" w:color="D1D5DB" w:sz="1"/>
              <w:left w:val="single" w:color="D1D5DB" w:sz="1"/>
              <w:bottom w:val="single" w:color="D1D5DB" w:sz="1"/>
              <w:right w:val="single" w:color="D1D5DB" w:sz="1"/>
            </w:tcBorders>
            <w:shd w:fill="FAF5FF" w:val="clear"/>
            <w:tcMar>
              <w:top w:type="dxa" w:w="90"/>
              <w:left w:type="dxa" w:w="150"/>
              <w:bottom w:type="dxa" w:w="90"/>
              <w:right w:type="dxa" w:w="150"/>
            </w:tcMar>
          </w:tcPr>
          <w:p>
            <w:pPr>
              <w:spacing w:after="0" w:before="0"/>
            </w:pPr>
            <w:r>
              <w:rPr>
                <w:rFonts w:ascii="Arial" w:cs="Arial" w:eastAsia="Arial" w:hAnsi="Arial"/>
                <w:color w:val="7C3AED"/>
                <w:sz w:val="19"/>
                <w:szCs w:val="19"/>
              </w:rPr>
              <w:t xml:space="preserve">⚠️ iOS/Android Claude app (not full Cowork)</w:t>
            </w:r>
          </w:p>
        </w:tc>
        <w:tc>
          <w:tcPr>
            <w:tcW w:type="dxa" w:w="2266"/>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D4ED8"/>
                <w:sz w:val="19"/>
                <w:szCs w:val="19"/>
              </w:rPr>
              <w:t xml:space="preserve">✅ iOS and Android apps</w:t>
            </w:r>
          </w:p>
        </w:tc>
      </w:tr>
      <w:tr>
        <w:tc>
          <w:tcPr>
            <w:tcW w:type="dxa" w:w="2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Enterprise SSO / MDM</w:t>
            </w:r>
          </w:p>
        </w:tc>
        <w:tc>
          <w:tcPr>
            <w:tcW w:type="dxa" w:w="2267"/>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E6FD9"/>
                <w:sz w:val="19"/>
                <w:szCs w:val="19"/>
              </w:rPr>
              <w:t xml:space="preserve">❌ Not implemented</w:t>
            </w:r>
          </w:p>
        </w:tc>
        <w:tc>
          <w:tcPr>
            <w:tcW w:type="dxa" w:w="2267"/>
            <w:tcBorders>
              <w:top w:val="single" w:color="D1D5DB" w:sz="1"/>
              <w:left w:val="single" w:color="D1D5DB" w:sz="1"/>
              <w:bottom w:val="single" w:color="D1D5DB" w:sz="1"/>
              <w:right w:val="single" w:color="D1D5DB" w:sz="1"/>
            </w:tcBorders>
            <w:shd w:fill="FAF5FF" w:val="clear"/>
            <w:tcMar>
              <w:top w:type="dxa" w:w="90"/>
              <w:left w:type="dxa" w:w="150"/>
              <w:bottom w:type="dxa" w:w="90"/>
              <w:right w:type="dxa" w:w="150"/>
            </w:tcMar>
          </w:tcPr>
          <w:p>
            <w:pPr>
              <w:spacing w:after="0" w:before="0"/>
            </w:pPr>
            <w:r>
              <w:rPr>
                <w:rFonts w:ascii="Arial" w:cs="Arial" w:eastAsia="Arial" w:hAnsi="Arial"/>
                <w:color w:val="7C3AED"/>
                <w:sz w:val="19"/>
                <w:szCs w:val="19"/>
              </w:rPr>
              <w:t xml:space="preserve">✅ Enterprise plan with SSO, admin controls</w:t>
            </w:r>
          </w:p>
        </w:tc>
        <w:tc>
          <w:tcPr>
            <w:tcW w:type="dxa" w:w="2266"/>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D4ED8"/>
                <w:sz w:val="19"/>
                <w:szCs w:val="19"/>
              </w:rPr>
              <w:t xml:space="preserve">❌ Cloud API keys only</w:t>
            </w:r>
          </w:p>
        </w:tc>
      </w:tr>
      <w:tr>
        <w:tc>
          <w:tcPr>
            <w:tcW w:type="dxa" w:w="256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Brand &amp; distribution</w:t>
            </w:r>
          </w:p>
        </w:tc>
        <w:tc>
          <w:tcPr>
            <w:tcW w:type="dxa" w:w="2267"/>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E6FD9"/>
                <w:sz w:val="19"/>
                <w:szCs w:val="19"/>
              </w:rPr>
              <w:t xml:space="preserve">❌ Unknown / indie</w:t>
            </w:r>
          </w:p>
        </w:tc>
        <w:tc>
          <w:tcPr>
            <w:tcW w:type="dxa" w:w="2267"/>
            <w:tcBorders>
              <w:top w:val="single" w:color="D1D5DB" w:sz="1"/>
              <w:left w:val="single" w:color="D1D5DB" w:sz="1"/>
              <w:bottom w:val="single" w:color="D1D5DB" w:sz="1"/>
              <w:right w:val="single" w:color="D1D5DB" w:sz="1"/>
            </w:tcBorders>
            <w:shd w:fill="FAF5FF" w:val="clear"/>
            <w:tcMar>
              <w:top w:type="dxa" w:w="90"/>
              <w:left w:type="dxa" w:w="150"/>
              <w:bottom w:type="dxa" w:w="90"/>
              <w:right w:type="dxa" w:w="150"/>
            </w:tcMar>
          </w:tcPr>
          <w:p>
            <w:pPr>
              <w:spacing w:after="0" w:before="0"/>
            </w:pPr>
            <w:r>
              <w:rPr>
                <w:rFonts w:ascii="Arial" w:cs="Arial" w:eastAsia="Arial" w:hAnsi="Arial"/>
                <w:color w:val="7C3AED"/>
                <w:sz w:val="19"/>
                <w:szCs w:val="19"/>
              </w:rPr>
              <w:t xml:space="preserve">✅ Anthropic brand; millions of existing Claude users</w:t>
            </w:r>
          </w:p>
        </w:tc>
        <w:tc>
          <w:tcPr>
            <w:tcW w:type="dxa" w:w="2266"/>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50"/>
            </w:tcMar>
          </w:tcPr>
          <w:p>
            <w:pPr>
              <w:spacing w:after="0" w:before="0"/>
            </w:pPr>
            <w:r>
              <w:rPr>
                <w:rFonts w:ascii="Arial" w:cs="Arial" w:eastAsia="Arial" w:hAnsi="Arial"/>
                <w:color w:val="1D4ED8"/>
                <w:sz w:val="19"/>
                <w:szCs w:val="19"/>
              </w:rPr>
              <w:t xml:space="preserve">✅ Viral global brand from January 2025 moment</w:t>
            </w:r>
          </w:p>
        </w:tc>
      </w:tr>
    </w:tbl>
    <w:p>
      <w:pPr>
        <w:spacing w:after="200" w:before="0"/>
      </w:pPr>
    </w:p>
    <w:p>
      <w:pPr>
        <w:pStyle w:val="Heading2"/>
        <w:spacing w:after="120" w:before="300"/>
      </w:pPr>
      <w:r>
        <w:rPr>
          <w:rFonts w:ascii="Arial" w:cs="Arial" w:eastAsia="Arial" w:hAnsi="Arial"/>
          <w:b/>
          <w:bCs/>
          <w:color w:val="111827"/>
          <w:sz w:val="28"/>
          <w:szCs w:val="28"/>
        </w:rPr>
        <w:t xml:space="preserve">2.3  Artha's Genuine Advantages over Cowork</w:t>
      </w:r>
    </w:p>
    <w:p>
      <w:pPr>
        <w:pBdr>
          <w:left w:val="single" w:color="059669" w:sz="12" w:space="8"/>
        </w:pBdr>
        <w:shd w:fill="ECFDF5" w:val="clear"/>
        <w:spacing w:after="160" w:before="160"/>
        <w:ind w:left="320"/>
      </w:pPr>
      <w:r>
        <w:rPr>
          <w:rFonts w:ascii="Arial" w:cs="Arial" w:eastAsia="Arial" w:hAnsi="Arial"/>
          <w:color w:val="111827"/>
          <w:sz w:val="22"/>
          <w:szCs w:val="22"/>
        </w:rPr>
        <w:t xml:space="preserve">These are not features Cowork can easily copy — they require fundamental architectural changes.</w:t>
      </w:r>
    </w:p>
    <w:p>
      <w:pPr>
        <w:spacing w:after="0" w:before="80"/>
      </w:pPr>
    </w:p>
    <w:p>
      <w:pPr>
        <w:pStyle w:val="ListParagraph"/>
        <w:numPr>
          <w:ilvl w:val="0"/>
          <w:numId w:val="2"/>
        </w:numPr>
        <w:spacing w:after="40" w:before="40"/>
      </w:pPr>
      <w:r>
        <w:rPr>
          <w:rFonts w:ascii="Arial" w:cs="Arial" w:eastAsia="Arial" w:hAnsi="Arial"/>
          <w:color w:val="374151"/>
          <w:sz w:val="22"/>
          <w:szCs w:val="22"/>
        </w:rPr>
        <w:t xml:space="preserve">Complete data sovereignty. Cowork's business model depends on Claude API calls — data must traverse Anthropic's infrastructure. Artha never touches a remote server unless the user explicitly opts in. This is a structural moat for legal, medical, financial, and government users who are contractually prohibited from sending client data to third-party clouds.</w:t>
      </w:r>
    </w:p>
    <w:p>
      <w:pPr>
        <w:pStyle w:val="ListParagraph"/>
        <w:numPr>
          <w:ilvl w:val="0"/>
          <w:numId w:val="2"/>
        </w:numPr>
        <w:spacing w:after="40" w:before="40"/>
      </w:pPr>
      <w:r>
        <w:rPr>
          <w:rFonts w:ascii="Arial" w:cs="Arial" w:eastAsia="Arial" w:hAnsi="Arial"/>
          <w:color w:val="374151"/>
          <w:sz w:val="22"/>
          <w:szCs w:val="22"/>
        </w:rPr>
        <w:t xml:space="preserve">Model agnosticism. Artha can run any Ollama-compatible model — including DeepSeek V4, Qwen 2.5, Mistral, Gemma, Phi-4, and future models — the day they are released. Cowork will always be limited to Claude. When a cheaper or smarter model appears, Artha users switch in one click.</w:t>
      </w:r>
    </w:p>
    <w:p>
      <w:pPr>
        <w:pStyle w:val="ListParagraph"/>
        <w:numPr>
          <w:ilvl w:val="0"/>
          <w:numId w:val="2"/>
        </w:numPr>
        <w:spacing w:after="40" w:before="40"/>
      </w:pPr>
      <w:r>
        <w:rPr>
          <w:rFonts w:ascii="Arial" w:cs="Arial" w:eastAsia="Arial" w:hAnsi="Arial"/>
          <w:color w:val="374151"/>
          <w:sz w:val="22"/>
          <w:szCs w:val="22"/>
        </w:rPr>
        <w:t xml:space="preserve">No recurring subscription for inference. Once a model is pulled locally, inference costs $0. For high-volume use cases (batch processing, nightly scheduled tasks, team-shared LAN server), Artha's TCO is dramatically lower.</w:t>
      </w:r>
    </w:p>
    <w:p>
      <w:pPr>
        <w:pStyle w:val="ListParagraph"/>
        <w:numPr>
          <w:ilvl w:val="0"/>
          <w:numId w:val="2"/>
        </w:numPr>
        <w:spacing w:after="40" w:before="40"/>
      </w:pPr>
      <w:r>
        <w:rPr>
          <w:rFonts w:ascii="Arial" w:cs="Arial" w:eastAsia="Arial" w:hAnsi="Arial"/>
          <w:color w:val="374151"/>
          <w:sz w:val="22"/>
          <w:szCs w:val="22"/>
        </w:rPr>
        <w:t xml:space="preserve">Provenance and audit trail. Every tool call, document, and reasoning step is logged locally. For regulated industries this is not a nice-to-have — it is a regulatory requirement that Cowork cannot currently satisfy (Anthropic's own guidance advises against Cowork for regulated workloads).</w:t>
      </w:r>
    </w:p>
    <w:p>
      <w:pPr>
        <w:pStyle w:val="ListParagraph"/>
        <w:numPr>
          <w:ilvl w:val="0"/>
          <w:numId w:val="2"/>
        </w:numPr>
        <w:spacing w:after="40" w:before="40"/>
      </w:pPr>
      <w:r>
        <w:rPr>
          <w:rFonts w:ascii="Arial" w:cs="Arial" w:eastAsia="Arial" w:hAnsi="Arial"/>
          <w:color w:val="374151"/>
          <w:sz w:val="22"/>
          <w:szCs w:val="22"/>
        </w:rPr>
        <w:t xml:space="preserve">Time travel and session forking. No cloud AI product offers this because cloud sessions are stateless. Artha's SQLite step persistence enables a genuinely unique workflow: reproduce, inspect, and branch any past run.</w:t>
      </w:r>
    </w:p>
    <w:p>
      <w:pPr>
        <w:pStyle w:val="ListParagraph"/>
        <w:numPr>
          <w:ilvl w:val="0"/>
          <w:numId w:val="2"/>
        </w:numPr>
        <w:spacing w:after="40" w:before="40"/>
      </w:pPr>
      <w:r>
        <w:rPr>
          <w:rFonts w:ascii="Arial" w:cs="Arial" w:eastAsia="Arial" w:hAnsi="Arial"/>
          <w:color w:val="374151"/>
          <w:sz w:val="22"/>
          <w:szCs w:val="22"/>
        </w:rPr>
        <w:t xml:space="preserve">LAN collaboration without a SaaS tier. A small team can share one Artha instance over Wi-Fi with zero per-seat cost. Cowork requires a paid plan per seat.</w:t>
      </w:r>
    </w:p>
    <w:p>
      <w:r>
        <w:br w:type="page"/>
      </w:r>
    </w:p>
    <w:p>
      <w:pPr>
        <w:pStyle w:val="Heading1"/>
        <w:spacing w:after="180" w:before="440"/>
      </w:pPr>
      <w:r>
        <w:rPr>
          <w:rFonts w:ascii="Arial" w:cs="Arial" w:eastAsia="Arial" w:hAnsi="Arial"/>
          <w:b/>
          <w:bCs/>
          <w:color w:val="1E6FD9"/>
          <w:sz w:val="38"/>
          <w:szCs w:val="38"/>
        </w:rPr>
        <w:t xml:space="preserve">Part II — Artha vs DeepSeek</w:t>
      </w:r>
    </w:p>
    <w:p>
      <w:pPr>
        <w:pStyle w:val="Heading2"/>
        <w:spacing w:after="120" w:before="300"/>
      </w:pPr>
      <w:r>
        <w:rPr>
          <w:rFonts w:ascii="Arial" w:cs="Arial" w:eastAsia="Arial" w:hAnsi="Arial"/>
          <w:b/>
          <w:bCs/>
          <w:color w:val="111827"/>
          <w:sz w:val="28"/>
          <w:szCs w:val="28"/>
        </w:rPr>
        <w:t xml:space="preserve">3.1  Why the Comparison Is Asymmetric</w:t>
      </w:r>
    </w:p>
    <w:p>
      <w:pPr>
        <w:spacing w:after="80" w:before="80"/>
      </w:pPr>
      <w:r>
        <w:rPr>
          <w:rFonts w:ascii="Arial" w:cs="Arial" w:eastAsia="Arial" w:hAnsi="Arial"/>
          <w:color w:val="374151"/>
          <w:sz w:val="22"/>
          <w:szCs w:val="22"/>
        </w:rPr>
        <w:t xml:space="preserve">DeepSeek is not a competitor in the traditional sense — it is a model laboratory. DeepSeek does not ship a productivity agent; it ships model weights and a cloud chat interface. The correct framing is:</w:t>
      </w:r>
    </w:p>
    <w:p>
      <w:pPr>
        <w:pBdr>
          <w:left w:val="single" w:color="0D9488" w:sz="12" w:space="8"/>
        </w:pBdr>
        <w:shd w:fill="F0FDF4" w:val="clear"/>
        <w:spacing w:after="160" w:before="160"/>
        <w:ind w:left="320"/>
      </w:pPr>
      <w:r>
        <w:rPr>
          <w:rFonts w:ascii="Arial" w:cs="Arial" w:eastAsia="Arial" w:hAnsi="Arial"/>
          <w:color w:val="111827"/>
          <w:sz w:val="22"/>
          <w:szCs w:val="22"/>
        </w:rPr>
        <w:t xml:space="preserve">Artha uses DeepSeek. DeepSeek does not use Artha. They are complementary, not competing. The real threat from DeepSeek is that it commoditises the model layer, removing one of the barriers to building local agents.</w:t>
      </w:r>
    </w:p>
    <w:p>
      <w:pPr>
        <w:spacing w:after="0" w:before="120"/>
      </w:pPr>
    </w:p>
    <w:p>
      <w:pPr>
        <w:pStyle w:val="Heading2"/>
        <w:spacing w:after="120" w:before="300"/>
      </w:pPr>
      <w:r>
        <w:rPr>
          <w:rFonts w:ascii="Arial" w:cs="Arial" w:eastAsia="Arial" w:hAnsi="Arial"/>
          <w:b/>
          <w:bCs/>
          <w:color w:val="111827"/>
          <w:sz w:val="28"/>
          <w:szCs w:val="28"/>
        </w:rPr>
        <w:t xml:space="preserve">3.2  DeepSeek V4 (April 2026) — What Changed</w:t>
      </w:r>
    </w:p>
    <w:p>
      <w:pPr>
        <w:pStyle w:val="ListParagraph"/>
        <w:numPr>
          <w:ilvl w:val="0"/>
          <w:numId w:val="2"/>
        </w:numPr>
        <w:spacing w:after="40" w:before="40"/>
      </w:pPr>
      <w:r>
        <w:rPr>
          <w:rFonts w:ascii="Arial" w:cs="Arial" w:eastAsia="Arial" w:hAnsi="Arial"/>
          <w:color w:val="374151"/>
          <w:sz w:val="22"/>
          <w:szCs w:val="22"/>
        </w:rPr>
        <w:t xml:space="preserve">1.6 trillion parameter DeepSeek-V4-Pro and 284B DeepSeek-V4-Flash, both MIT licensed</w:t>
      </w:r>
    </w:p>
    <w:p>
      <w:pPr>
        <w:pStyle w:val="ListParagraph"/>
        <w:numPr>
          <w:ilvl w:val="0"/>
          <w:numId w:val="2"/>
        </w:numPr>
        <w:spacing w:after="40" w:before="40"/>
      </w:pPr>
      <w:r>
        <w:rPr>
          <w:rFonts w:ascii="Arial" w:cs="Arial" w:eastAsia="Arial" w:hAnsi="Arial"/>
          <w:color w:val="374151"/>
          <w:sz w:val="22"/>
          <w:szCs w:val="22"/>
        </w:rPr>
        <w:t xml:space="preserve">1 million token context window — directly competitive with GPT-4o and Claude Opus</w:t>
      </w:r>
    </w:p>
    <w:p>
      <w:pPr>
        <w:pStyle w:val="ListParagraph"/>
        <w:numPr>
          <w:ilvl w:val="0"/>
          <w:numId w:val="2"/>
        </w:numPr>
        <w:spacing w:after="40" w:before="40"/>
      </w:pPr>
      <w:r>
        <w:rPr>
          <w:rFonts w:ascii="Arial" w:cs="Arial" w:eastAsia="Arial" w:hAnsi="Arial"/>
          <w:color w:val="374151"/>
          <w:sz w:val="22"/>
          <w:szCs w:val="22"/>
        </w:rPr>
        <w:t xml:space="preserve">Native multimodal: text, image, and video input</w:t>
      </w:r>
    </w:p>
    <w:p>
      <w:pPr>
        <w:pStyle w:val="ListParagraph"/>
        <w:numPr>
          <w:ilvl w:val="0"/>
          <w:numId w:val="2"/>
        </w:numPr>
        <w:spacing w:after="40" w:before="40"/>
      </w:pPr>
      <w:r>
        <w:rPr>
          <w:rFonts w:ascii="Arial" w:cs="Arial" w:eastAsia="Arial" w:hAnsi="Arial"/>
          <w:color w:val="374151"/>
          <w:sz w:val="22"/>
          <w:szCs w:val="22"/>
        </w:rPr>
        <w:t xml:space="preserve">Strong agent and reasoning benchmarks; autonomous code refactoring</w:t>
      </w:r>
    </w:p>
    <w:p>
      <w:pPr>
        <w:pStyle w:val="ListParagraph"/>
        <w:numPr>
          <w:ilvl w:val="0"/>
          <w:numId w:val="2"/>
        </w:numPr>
        <w:spacing w:after="40" w:before="40"/>
      </w:pPr>
      <w:r>
        <w:rPr>
          <w:rFonts w:ascii="Arial" w:cs="Arial" w:eastAsia="Arial" w:hAnsi="Arial"/>
          <w:color w:val="374151"/>
          <w:sz w:val="22"/>
          <w:szCs w:val="22"/>
        </w:rPr>
        <w:t xml:space="preserve">Available as open weights — runnable locally via Ollama (once quantised community versions appear)</w:t>
      </w:r>
    </w:p>
    <w:p>
      <w:pPr>
        <w:spacing w:after="160" w:before="0"/>
      </w:pPr>
    </w:p>
    <w:p>
      <w:pPr>
        <w:pStyle w:val="Heading2"/>
        <w:spacing w:after="120" w:before="300"/>
      </w:pPr>
      <w:r>
        <w:rPr>
          <w:rFonts w:ascii="Arial" w:cs="Arial" w:eastAsia="Arial" w:hAnsi="Arial"/>
          <w:b/>
          <w:bCs/>
          <w:color w:val="111827"/>
          <w:sz w:val="28"/>
          <w:szCs w:val="28"/>
        </w:rPr>
        <w:t xml:space="preserve">3.3  How DeepSeek Changes the Landscape for Artha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11827"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Dimension</w:t>
            </w:r>
          </w:p>
        </w:tc>
        <w:tc>
          <w:tcPr>
            <w:tcW w:type="dxa" w:w="6160"/>
            <w:tcBorders>
              <w:top w:val="single" w:color="D1D5DB" w:sz="1"/>
              <w:left w:val="single" w:color="D1D5DB" w:sz="1"/>
              <w:bottom w:val="single" w:color="D1D5DB" w:sz="1"/>
              <w:right w:val="single" w:color="D1D5DB" w:sz="1"/>
            </w:tcBorders>
            <w:shd w:fill="111827"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Impact on Artha</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b/>
                <w:bCs/>
                <w:color w:val="111827"/>
                <w:sz w:val="20"/>
                <w:szCs w:val="20"/>
              </w:rPr>
              <w:t xml:space="preserve">Model quality ceiling rises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Artha can offer V4-Flash as a local model option — higher quality ceiling with no additional code. Artha's model-agnostic architecture turns every new open model into a free capability upgrade.</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b/>
                <w:bCs/>
                <w:color w:val="111827"/>
                <w:sz w:val="20"/>
                <w:szCs w:val="20"/>
              </w:rPr>
              <w:t xml:space="preserve">Model commodity pressure</w:t>
            </w:r>
          </w:p>
        </w:tc>
        <w:tc>
          <w:tcPr>
            <w:tcW w:type="dxa" w:w="616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The model layer is now effectively free and open. Artha's value must come from the application layer (agent loop, tools, memory, provenance, UX) — not from model access.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b/>
                <w:bCs/>
                <w:color w:val="111827"/>
                <w:sz w:val="20"/>
                <w:szCs w:val="20"/>
              </w:rPr>
              <w:t xml:space="preserve">Context window expansion</w:t>
            </w:r>
          </w:p>
        </w:tc>
        <w:tc>
          <w:tcPr>
            <w:tcW w:type="dxa" w:w="6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V4's 1M token context window, once locally quantised, enables Artha's RAG to process entire codebases or document libraries in a single context — eliminating the need for chunking for many use cases.</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b/>
                <w:bCs/>
                <w:color w:val="111827"/>
                <w:sz w:val="20"/>
                <w:szCs w:val="20"/>
              </w:rPr>
              <w:t xml:space="preserve">Multimodal locally</w:t>
            </w:r>
          </w:p>
        </w:tc>
        <w:tc>
          <w:tcPr>
            <w:tcW w:type="dxa" w:w="616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Once V4 multimodal weights are available via Ollama, Artha gets video understanding locally — a feature no cloud competitor currently offers offline.</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b/>
                <w:bCs/>
                <w:color w:val="111827"/>
                <w:sz w:val="20"/>
                <w:szCs w:val="20"/>
              </w:rPr>
              <w:t xml:space="preserve">DeepSeek's chat UI is a baseline threat</w:t>
            </w:r>
          </w:p>
        </w:tc>
        <w:tc>
          <w:tcPr>
            <w:tcW w:type="dxa" w:w="6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Power users who are comfortable self-hosting will compare Artha's UX against DeepSeek's chat UI. Artha must be meaningfully more productive, not just a wrapper.</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b/>
                <w:bCs/>
                <w:color w:val="111827"/>
                <w:sz w:val="20"/>
                <w:szCs w:val="20"/>
              </w:rPr>
              <w:t xml:space="preserve">Chinese data jurisdiction</w:t>
            </w:r>
          </w:p>
        </w:tc>
        <w:tc>
          <w:tcPr>
            <w:tcW w:type="dxa" w:w="616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DeepSeek cloud API routes data through Chinese servers — a disqualifier for Western enterprise and government. Artha's local-first model is the only way to use DeepSeek weights safely in regulated environments.</w:t>
            </w:r>
          </w:p>
        </w:tc>
      </w:tr>
    </w:tbl>
    <w:p>
      <w:r>
        <w:br w:type="page"/>
      </w:r>
    </w:p>
    <w:p>
      <w:pPr>
        <w:pStyle w:val="Heading1"/>
        <w:spacing w:after="180" w:before="440"/>
      </w:pPr>
      <w:r>
        <w:rPr>
          <w:rFonts w:ascii="Arial" w:cs="Arial" w:eastAsia="Arial" w:hAnsi="Arial"/>
          <w:b/>
          <w:bCs/>
          <w:color w:val="1E6FD9"/>
          <w:sz w:val="38"/>
          <w:szCs w:val="38"/>
        </w:rPr>
        <w:t xml:space="preserve">Part III — Gap Analysis: What Artha Is Missing</w:t>
      </w:r>
    </w:p>
    <w:p>
      <w:pPr>
        <w:pStyle w:val="Heading2"/>
        <w:spacing w:after="120" w:before="300"/>
      </w:pPr>
      <w:r>
        <w:rPr>
          <w:rFonts w:ascii="Arial" w:cs="Arial" w:eastAsia="Arial" w:hAnsi="Arial"/>
          <w:b/>
          <w:bCs/>
          <w:color w:val="111827"/>
          <w:sz w:val="28"/>
          <w:szCs w:val="28"/>
        </w:rPr>
        <w:t xml:space="preserve">4.1  To Be Genuinely Competitive (12-month horizon)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
        <w:gridCol w:w="3360"/>
        <w:gridCol w:w="3120"/>
      </w:tblGrid>
      <w:tr>
        <w:trPr>
          <w:tblHeader/>
        </w:trPr>
        <w:tc>
          <w:tcPr>
            <w:tcW w:type="dxa" w:w="2160"/>
            <w:tcBorders>
              <w:top w:val="single" w:color="D1D5DB" w:sz="1"/>
              <w:left w:val="single" w:color="D1D5DB" w:sz="1"/>
              <w:bottom w:val="single" w:color="D1D5DB" w:sz="1"/>
              <w:right w:val="single" w:color="D1D5DB" w:sz="1"/>
            </w:tcBorders>
            <w:shd w:fill="111827" w:val="clear"/>
            <w:tcMar>
              <w:top w:type="dxa" w:w="90"/>
              <w:left w:type="dxa" w:w="150"/>
              <w:bottom w:type="dxa" w:w="90"/>
              <w:right w:type="dxa" w:w="150"/>
            </w:tcMar>
          </w:tcPr>
          <w:p>
            <w:pPr>
              <w:spacing w:after="0" w:before="0"/>
            </w:pPr>
            <w:r>
              <w:rPr>
                <w:rFonts w:ascii="Arial" w:cs="Arial" w:eastAsia="Arial" w:hAnsi="Arial"/>
                <w:b/>
                <w:bCs/>
                <w:color w:val="FFFFFF"/>
                <w:sz w:val="19"/>
                <w:szCs w:val="19"/>
              </w:rPr>
              <w:t xml:space="preserve">Gap / Feature</w:t>
            </w:r>
          </w:p>
        </w:tc>
        <w:tc>
          <w:tcPr>
            <w:tcW w:type="dxa" w:w="720"/>
            <w:tcBorders>
              <w:top w:val="single" w:color="D1D5DB" w:sz="1"/>
              <w:left w:val="single" w:color="D1D5DB" w:sz="1"/>
              <w:bottom w:val="single" w:color="D1D5DB" w:sz="1"/>
              <w:right w:val="single" w:color="D1D5DB" w:sz="1"/>
            </w:tcBorders>
            <w:shd w:fill="111827" w:val="clear"/>
            <w:tcMar>
              <w:top w:type="dxa" w:w="90"/>
              <w:left w:type="dxa" w:w="150"/>
              <w:bottom w:type="dxa" w:w="90"/>
              <w:right w:type="dxa" w:w="150"/>
            </w:tcMar>
          </w:tcPr>
          <w:p>
            <w:pPr>
              <w:spacing w:after="0" w:before="0"/>
            </w:pPr>
            <w:r>
              <w:rPr>
                <w:rFonts w:ascii="Arial" w:cs="Arial" w:eastAsia="Arial" w:hAnsi="Arial"/>
                <w:b/>
                <w:bCs/>
                <w:color w:val="FFFFFF"/>
                <w:sz w:val="19"/>
                <w:szCs w:val="19"/>
              </w:rPr>
              <w:t xml:space="preserve">Priority</w:t>
            </w:r>
          </w:p>
        </w:tc>
        <w:tc>
          <w:tcPr>
            <w:tcW w:type="dxa" w:w="3360"/>
            <w:tcBorders>
              <w:top w:val="single" w:color="D1D5DB" w:sz="1"/>
              <w:left w:val="single" w:color="D1D5DB" w:sz="1"/>
              <w:bottom w:val="single" w:color="D1D5DB" w:sz="1"/>
              <w:right w:val="single" w:color="D1D5DB" w:sz="1"/>
            </w:tcBorders>
            <w:shd w:fill="111827" w:val="clear"/>
            <w:tcMar>
              <w:top w:type="dxa" w:w="90"/>
              <w:left w:type="dxa" w:w="150"/>
              <w:bottom w:type="dxa" w:w="90"/>
              <w:right w:type="dxa" w:w="150"/>
            </w:tcMar>
          </w:tcPr>
          <w:p>
            <w:pPr>
              <w:spacing w:after="0" w:before="0"/>
            </w:pPr>
            <w:r>
              <w:rPr>
                <w:rFonts w:ascii="Arial" w:cs="Arial" w:eastAsia="Arial" w:hAnsi="Arial"/>
                <w:b/>
                <w:bCs/>
                <w:color w:val="FFFFFF"/>
                <w:sz w:val="19"/>
                <w:szCs w:val="19"/>
              </w:rPr>
              <w:t xml:space="preserve">Why it matters</w:t>
            </w:r>
          </w:p>
        </w:tc>
        <w:tc>
          <w:tcPr>
            <w:tcW w:type="dxa" w:w="3120"/>
            <w:tcBorders>
              <w:top w:val="single" w:color="D1D5DB" w:sz="1"/>
              <w:left w:val="single" w:color="D1D5DB" w:sz="1"/>
              <w:bottom w:val="single" w:color="D1D5DB" w:sz="1"/>
              <w:right w:val="single" w:color="D1D5DB" w:sz="1"/>
            </w:tcBorders>
            <w:shd w:fill="111827" w:val="clear"/>
            <w:tcMar>
              <w:top w:type="dxa" w:w="90"/>
              <w:left w:type="dxa" w:w="150"/>
              <w:bottom w:type="dxa" w:w="90"/>
              <w:right w:type="dxa" w:w="150"/>
            </w:tcMar>
          </w:tcPr>
          <w:p>
            <w:pPr>
              <w:spacing w:after="0" w:before="0"/>
            </w:pPr>
            <w:r>
              <w:rPr>
                <w:rFonts w:ascii="Arial" w:cs="Arial" w:eastAsia="Arial" w:hAnsi="Arial"/>
                <w:b/>
                <w:bCs/>
                <w:color w:val="FFFFFF"/>
                <w:sz w:val="19"/>
                <w:szCs w:val="19"/>
              </w:rPr>
              <w:t xml:space="preserve">How to implement</w:t>
            </w:r>
          </w:p>
        </w:tc>
      </w:tr>
      <w:tr>
        <w:tc>
          <w:tcPr>
            <w:tcW w:type="dxa" w:w="2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Business model</w:t>
            </w:r>
          </w:p>
        </w:tc>
        <w:tc>
          <w:tcPr>
            <w:tcW w:type="dxa" w:w="720"/>
            <w:tcBorders>
              <w:top w:val="single" w:color="D1D5DB" w:sz="1"/>
              <w:left w:val="single" w:color="D1D5DB" w:sz="1"/>
              <w:bottom w:val="single" w:color="D1D5DB" w:sz="1"/>
              <w:right w:val="single" w:color="D1D5DB" w:sz="1"/>
            </w:tcBorders>
            <w:shd w:fill="FFFFFF" w:val="clear"/>
            <w:tcMar>
              <w:top w:type="dxa" w:w="90"/>
              <w:left w:type="dxa" w:w="80"/>
              <w:bottom w:type="dxa" w:w="90"/>
              <w:right w:type="dxa" w:w="80"/>
            </w:tcMar>
          </w:tcPr>
          <w:p>
            <w:pPr>
              <w:spacing w:after="0" w:before="0"/>
              <w:jc w:val="center"/>
            </w:pPr>
            <w:r>
              <w:rPr>
                <w:rFonts w:ascii="Arial" w:cs="Arial" w:eastAsia="Arial" w:hAnsi="Arial"/>
                <w:b/>
                <w:bCs/>
                <w:color w:val="DC2626"/>
                <w:sz w:val="18"/>
                <w:szCs w:val="18"/>
              </w:rPr>
              <w:t xml:space="preserve">🔴 Critical</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color w:val="374151"/>
                <w:sz w:val="19"/>
                <w:szCs w:val="19"/>
              </w:rPr>
              <w:t xml:space="preserve">An impressive product with no monetisation is a hobby, not a company. Without revenue, there is no budget for distribution, trust-building, or hiring.</w:t>
            </w:r>
          </w:p>
        </w:tc>
        <w:tc>
          <w:tcPr>
            <w:tcW w:type="dxa" w:w="3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color w:val="374151"/>
                <w:sz w:val="19"/>
                <w:szCs w:val="19"/>
              </w:rPr>
              <w:t xml:space="preserve">Freemium + Pro tier ($15-25/mo): unlimited inference stays free (local); Pro unlocks cloud sync, team features, priority support, and vertical bundle packs</w:t>
            </w:r>
          </w:p>
        </w:tc>
      </w:tr>
      <w:tr>
        <w:tc>
          <w:tcPr>
            <w:tcW w:type="dxa" w:w="216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Distribution / go-to-market</w:t>
            </w:r>
          </w:p>
        </w:tc>
        <w:tc>
          <w:tcPr>
            <w:tcW w:type="dxa" w:w="720"/>
            <w:tcBorders>
              <w:top w:val="single" w:color="D1D5DB" w:sz="1"/>
              <w:left w:val="single" w:color="D1D5DB" w:sz="1"/>
              <w:bottom w:val="single" w:color="D1D5DB" w:sz="1"/>
              <w:right w:val="single" w:color="D1D5DB" w:sz="1"/>
            </w:tcBorders>
            <w:shd w:fill="F9FAFB" w:val="clear"/>
            <w:tcMar>
              <w:top w:type="dxa" w:w="90"/>
              <w:left w:type="dxa" w:w="80"/>
              <w:bottom w:type="dxa" w:w="90"/>
              <w:right w:type="dxa" w:w="80"/>
            </w:tcMar>
          </w:tcPr>
          <w:p>
            <w:pPr>
              <w:spacing w:after="0" w:before="0"/>
              <w:jc w:val="center"/>
            </w:pPr>
            <w:r>
              <w:rPr>
                <w:rFonts w:ascii="Arial" w:cs="Arial" w:eastAsia="Arial" w:hAnsi="Arial"/>
                <w:b/>
                <w:bCs/>
                <w:color w:val="DC2626"/>
                <w:sz w:val="18"/>
                <w:szCs w:val="18"/>
              </w:rPr>
              <w:t xml:space="preserve">🔴 Critical</w:t>
            </w:r>
          </w:p>
        </w:tc>
        <w:tc>
          <w:tcPr>
            <w:tcW w:type="dxa" w:w="336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color w:val="374151"/>
                <w:sz w:val="19"/>
                <w:szCs w:val="19"/>
              </w:rPr>
              <w:t xml:space="preserve">Cowork has millions of existing Claude users. DeepSeek had a viral moment. Artha has neither. The best product doesn't win — the best-distributed product does.</w:t>
            </w:r>
          </w:p>
        </w:tc>
        <w:tc>
          <w:tcPr>
            <w:tcW w:type="dxa" w:w="312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color w:val="374151"/>
                <w:sz w:val="19"/>
                <w:szCs w:val="19"/>
              </w:rPr>
              <w:t xml:space="preserve">Pick one vertical (legal or finance), build a dedicated landing page, seed with 100 target users, collect testimonials, publish comparison posts. Product Hunt + Hacker News launch.</w:t>
            </w:r>
          </w:p>
        </w:tc>
      </w:tr>
      <w:tr>
        <w:tc>
          <w:tcPr>
            <w:tcW w:type="dxa" w:w="2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Privacy compliance certs</w:t>
            </w:r>
          </w:p>
        </w:tc>
        <w:tc>
          <w:tcPr>
            <w:tcW w:type="dxa" w:w="720"/>
            <w:tcBorders>
              <w:top w:val="single" w:color="D1D5DB" w:sz="1"/>
              <w:left w:val="single" w:color="D1D5DB" w:sz="1"/>
              <w:bottom w:val="single" w:color="D1D5DB" w:sz="1"/>
              <w:right w:val="single" w:color="D1D5DB" w:sz="1"/>
            </w:tcBorders>
            <w:shd w:fill="FFFFFF" w:val="clear"/>
            <w:tcMar>
              <w:top w:type="dxa" w:w="90"/>
              <w:left w:type="dxa" w:w="80"/>
              <w:bottom w:type="dxa" w:w="90"/>
              <w:right w:type="dxa" w:w="80"/>
            </w:tcMar>
          </w:tcPr>
          <w:p>
            <w:pPr>
              <w:spacing w:after="0" w:before="0"/>
              <w:jc w:val="center"/>
            </w:pPr>
            <w:r>
              <w:rPr>
                <w:rFonts w:ascii="Arial" w:cs="Arial" w:eastAsia="Arial" w:hAnsi="Arial"/>
                <w:b/>
                <w:bCs/>
                <w:color w:val="DC2626"/>
                <w:sz w:val="18"/>
                <w:szCs w:val="18"/>
              </w:rPr>
              <w:t xml:space="preserve">🔴 Critical</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color w:val="374151"/>
                <w:sz w:val="19"/>
                <w:szCs w:val="19"/>
              </w:rPr>
              <w:t xml:space="preserve">Regulated buyers (healthcare, legal, finance, government) will not purchase without SOC 2 Type II or ISO 27001 even if the architecture is technically superior.</w:t>
            </w:r>
          </w:p>
        </w:tc>
        <w:tc>
          <w:tcPr>
            <w:tcW w:type="dxa" w:w="3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color w:val="374151"/>
                <w:sz w:val="19"/>
                <w:szCs w:val="19"/>
              </w:rPr>
              <w:t xml:space="preserve">Self-certify with a compliance platform (Vanta, Drata). SOC 2 Type II takes ~6 months. Publish the report publicly — this alone closes enterprise deals.</w:t>
            </w:r>
          </w:p>
        </w:tc>
      </w:tr>
      <w:tr>
        <w:tc>
          <w:tcPr>
            <w:tcW w:type="dxa" w:w="216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Team / multi-user mode</w:t>
            </w:r>
          </w:p>
        </w:tc>
        <w:tc>
          <w:tcPr>
            <w:tcW w:type="dxa" w:w="720"/>
            <w:tcBorders>
              <w:top w:val="single" w:color="D1D5DB" w:sz="1"/>
              <w:left w:val="single" w:color="D1D5DB" w:sz="1"/>
              <w:bottom w:val="single" w:color="D1D5DB" w:sz="1"/>
              <w:right w:val="single" w:color="D1D5DB" w:sz="1"/>
            </w:tcBorders>
            <w:shd w:fill="F9FAFB" w:val="clear"/>
            <w:tcMar>
              <w:top w:type="dxa" w:w="90"/>
              <w:left w:type="dxa" w:w="80"/>
              <w:bottom w:type="dxa" w:w="90"/>
              <w:right w:type="dxa" w:w="80"/>
            </w:tcMar>
          </w:tcPr>
          <w:p>
            <w:pPr>
              <w:spacing w:after="0" w:before="0"/>
              <w:jc w:val="center"/>
            </w:pPr>
            <w:r>
              <w:rPr>
                <w:rFonts w:ascii="Arial" w:cs="Arial" w:eastAsia="Arial" w:hAnsi="Arial"/>
                <w:b/>
                <w:bCs/>
                <w:color w:val="D97706"/>
                <w:sz w:val="18"/>
                <w:szCs w:val="18"/>
              </w:rPr>
              <w:t xml:space="preserve">🟡 High</w:t>
            </w:r>
          </w:p>
        </w:tc>
        <w:tc>
          <w:tcPr>
            <w:tcW w:type="dxa" w:w="336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color w:val="374151"/>
                <w:sz w:val="19"/>
                <w:szCs w:val="19"/>
              </w:rPr>
              <w:t xml:space="preserve">Currently single-machine. A LAN server exists but has no shared auth, shared memory, or role-based access. Teams can't collaborate on a shared Artha instance safely.</w:t>
            </w:r>
          </w:p>
        </w:tc>
        <w:tc>
          <w:tcPr>
            <w:tcW w:type="dxa" w:w="312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color w:val="374151"/>
                <w:sz w:val="19"/>
                <w:szCs w:val="19"/>
              </w:rPr>
              <w:t xml:space="preserve">Add shared_memories table (org-scoped), user roles (admin/member), and a simple API key auth on the LAN server. Ship a "Team" tier.</w:t>
            </w:r>
          </w:p>
        </w:tc>
      </w:tr>
      <w:tr>
        <w:tc>
          <w:tcPr>
            <w:tcW w:type="dxa" w:w="2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Mobile companion app</w:t>
            </w:r>
          </w:p>
        </w:tc>
        <w:tc>
          <w:tcPr>
            <w:tcW w:type="dxa" w:w="720"/>
            <w:tcBorders>
              <w:top w:val="single" w:color="D1D5DB" w:sz="1"/>
              <w:left w:val="single" w:color="D1D5DB" w:sz="1"/>
              <w:bottom w:val="single" w:color="D1D5DB" w:sz="1"/>
              <w:right w:val="single" w:color="D1D5DB" w:sz="1"/>
            </w:tcBorders>
            <w:shd w:fill="FFFFFF" w:val="clear"/>
            <w:tcMar>
              <w:top w:type="dxa" w:w="90"/>
              <w:left w:type="dxa" w:w="80"/>
              <w:bottom w:type="dxa" w:w="90"/>
              <w:right w:type="dxa" w:w="80"/>
            </w:tcMar>
          </w:tcPr>
          <w:p>
            <w:pPr>
              <w:spacing w:after="0" w:before="0"/>
              <w:jc w:val="center"/>
            </w:pPr>
            <w:r>
              <w:rPr>
                <w:rFonts w:ascii="Arial" w:cs="Arial" w:eastAsia="Arial" w:hAnsi="Arial"/>
                <w:b/>
                <w:bCs/>
                <w:color w:val="D97706"/>
                <w:sz w:val="18"/>
                <w:szCs w:val="18"/>
              </w:rPr>
              <w:t xml:space="preserve">🟡 High</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color w:val="374151"/>
                <w:sz w:val="19"/>
                <w:szCs w:val="19"/>
              </w:rPr>
              <w:t xml:space="preserve">Cowork users can continue on iOS/Android. Artha users cannot. Mobile is critical for capturing mindshare outside desk hours.</w:t>
            </w:r>
          </w:p>
        </w:tc>
        <w:tc>
          <w:tcPr>
            <w:tcW w:type="dxa" w:w="3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color w:val="374151"/>
                <w:sz w:val="19"/>
                <w:szCs w:val="19"/>
              </w:rPr>
              <w:t xml:space="preserve">React Native app that connects to the desktop Artha instance over LAN (already implemented!) or cloud relay. View sessions, approve plans, and send quick messages.</w:t>
            </w:r>
          </w:p>
        </w:tc>
      </w:tr>
      <w:tr>
        <w:tc>
          <w:tcPr>
            <w:tcW w:type="dxa" w:w="216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Vertical skill bundles</w:t>
            </w:r>
          </w:p>
        </w:tc>
        <w:tc>
          <w:tcPr>
            <w:tcW w:type="dxa" w:w="720"/>
            <w:tcBorders>
              <w:top w:val="single" w:color="D1D5DB" w:sz="1"/>
              <w:left w:val="single" w:color="D1D5DB" w:sz="1"/>
              <w:bottom w:val="single" w:color="D1D5DB" w:sz="1"/>
              <w:right w:val="single" w:color="D1D5DB" w:sz="1"/>
            </w:tcBorders>
            <w:shd w:fill="F9FAFB" w:val="clear"/>
            <w:tcMar>
              <w:top w:type="dxa" w:w="90"/>
              <w:left w:type="dxa" w:w="80"/>
              <w:bottom w:type="dxa" w:w="90"/>
              <w:right w:type="dxa" w:w="80"/>
            </w:tcMar>
          </w:tcPr>
          <w:p>
            <w:pPr>
              <w:spacing w:after="0" w:before="0"/>
              <w:jc w:val="center"/>
            </w:pPr>
            <w:r>
              <w:rPr>
                <w:rFonts w:ascii="Arial" w:cs="Arial" w:eastAsia="Arial" w:hAnsi="Arial"/>
                <w:b/>
                <w:bCs/>
                <w:color w:val="D97706"/>
                <w:sz w:val="18"/>
                <w:szCs w:val="18"/>
              </w:rPr>
              <w:t xml:space="preserve">🟡 High</w:t>
            </w:r>
          </w:p>
        </w:tc>
        <w:tc>
          <w:tcPr>
            <w:tcW w:type="dxa" w:w="336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color w:val="374151"/>
                <w:sz w:val="19"/>
                <w:szCs w:val="19"/>
              </w:rPr>
              <w:t xml:space="preserve">Cowork shipped Legal, Small Business, and Marketing Ops bundles in May 2026. Artha's generic skills system is the right foundation — it just needs curated starter packs.</w:t>
            </w:r>
          </w:p>
        </w:tc>
        <w:tc>
          <w:tcPr>
            <w:tcW w:type="dxa" w:w="312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color w:val="374151"/>
                <w:sz w:val="19"/>
                <w:szCs w:val="19"/>
              </w:rPr>
              <w:t xml:space="preserve">Ship 3 vertical bundles: Legal (contract review, clause extraction, case research), Finance (earnings analysis, model building), Developer (code review, PR summary, doc generation).</w:t>
            </w:r>
          </w:p>
        </w:tc>
      </w:tr>
      <w:tr>
        <w:tc>
          <w:tcPr>
            <w:tcW w:type="dxa" w:w="2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Voice output (TTS)</w:t>
            </w:r>
          </w:p>
        </w:tc>
        <w:tc>
          <w:tcPr>
            <w:tcW w:type="dxa" w:w="720"/>
            <w:tcBorders>
              <w:top w:val="single" w:color="D1D5DB" w:sz="1"/>
              <w:left w:val="single" w:color="D1D5DB" w:sz="1"/>
              <w:bottom w:val="single" w:color="D1D5DB" w:sz="1"/>
              <w:right w:val="single" w:color="D1D5DB" w:sz="1"/>
            </w:tcBorders>
            <w:shd w:fill="FFFFFF" w:val="clear"/>
            <w:tcMar>
              <w:top w:type="dxa" w:w="90"/>
              <w:left w:type="dxa" w:w="80"/>
              <w:bottom w:type="dxa" w:w="90"/>
              <w:right w:type="dxa" w:w="80"/>
            </w:tcMar>
          </w:tcPr>
          <w:p>
            <w:pPr>
              <w:spacing w:after="0" w:before="0"/>
              <w:jc w:val="center"/>
            </w:pPr>
            <w:r>
              <w:rPr>
                <w:rFonts w:ascii="Arial" w:cs="Arial" w:eastAsia="Arial" w:hAnsi="Arial"/>
                <w:b/>
                <w:bCs/>
                <w:color w:val="D97706"/>
                <w:sz w:val="18"/>
                <w:szCs w:val="18"/>
              </w:rPr>
              <w:t xml:space="preserve">🟡 High</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color w:val="374151"/>
                <w:sz w:val="19"/>
                <w:szCs w:val="19"/>
              </w:rPr>
              <w:t xml:space="preserve">Voice input exists but there is no voice output. Voice-complete workflows (dictate → agent acts → reads back result) are a power-user differentiator.</w:t>
            </w:r>
          </w:p>
        </w:tc>
        <w:tc>
          <w:tcPr>
            <w:tcW w:type="dxa" w:w="3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color w:val="374151"/>
                <w:sz w:val="19"/>
                <w:szCs w:val="19"/>
              </w:rPr>
              <w:t xml:space="preserve">Integrate a local TTS model (Kokoro, Piper) via Ollama or a dedicated TTS endpoint. Stream audio as tokens arrive.</w:t>
            </w:r>
          </w:p>
        </w:tc>
      </w:tr>
      <w:tr>
        <w:tc>
          <w:tcPr>
            <w:tcW w:type="dxa" w:w="216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Cloud sync (opt-in)</w:t>
            </w:r>
          </w:p>
        </w:tc>
        <w:tc>
          <w:tcPr>
            <w:tcW w:type="dxa" w:w="720"/>
            <w:tcBorders>
              <w:top w:val="single" w:color="D1D5DB" w:sz="1"/>
              <w:left w:val="single" w:color="D1D5DB" w:sz="1"/>
              <w:bottom w:val="single" w:color="D1D5DB" w:sz="1"/>
              <w:right w:val="single" w:color="D1D5DB" w:sz="1"/>
            </w:tcBorders>
            <w:shd w:fill="F9FAFB" w:val="clear"/>
            <w:tcMar>
              <w:top w:type="dxa" w:w="90"/>
              <w:left w:type="dxa" w:w="80"/>
              <w:bottom w:type="dxa" w:w="90"/>
              <w:right w:type="dxa" w:w="80"/>
            </w:tcMar>
          </w:tcPr>
          <w:p>
            <w:pPr>
              <w:spacing w:after="0" w:before="0"/>
              <w:jc w:val="center"/>
            </w:pPr>
            <w:r>
              <w:rPr>
                <w:rFonts w:ascii="Arial" w:cs="Arial" w:eastAsia="Arial" w:hAnsi="Arial"/>
                <w:b/>
                <w:bCs/>
                <w:color w:val="D97706"/>
                <w:sz w:val="18"/>
                <w:szCs w:val="18"/>
              </w:rPr>
              <w:t xml:space="preserve">🟡 High</w:t>
            </w:r>
          </w:p>
        </w:tc>
        <w:tc>
          <w:tcPr>
            <w:tcW w:type="dxa" w:w="336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color w:val="374151"/>
                <w:sz w:val="19"/>
                <w:szCs w:val="19"/>
              </w:rPr>
              <w:t xml:space="preserve">Sessions, memory, and skills are machine-local. Switching machines means starting over. This is a daily friction point for laptop + desktop users.</w:t>
            </w:r>
          </w:p>
        </w:tc>
        <w:tc>
          <w:tcPr>
            <w:tcW w:type="dxa" w:w="312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color w:val="374151"/>
                <w:sz w:val="19"/>
                <w:szCs w:val="19"/>
              </w:rPr>
              <w:t xml:space="preserve">Offer end-to-end encrypted sync via user-supplied S3 / Cloudflare R2 bucket. Artha never sees the key — user supplies their own cloud storage. Zero trust, full sovereignty.</w:t>
            </w:r>
          </w:p>
        </w:tc>
      </w:tr>
      <w:tr>
        <w:tc>
          <w:tcPr>
            <w:tcW w:type="dxa" w:w="2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Fine-tuning / LoRA</w:t>
            </w:r>
          </w:p>
        </w:tc>
        <w:tc>
          <w:tcPr>
            <w:tcW w:type="dxa" w:w="720"/>
            <w:tcBorders>
              <w:top w:val="single" w:color="D1D5DB" w:sz="1"/>
              <w:left w:val="single" w:color="D1D5DB" w:sz="1"/>
              <w:bottom w:val="single" w:color="D1D5DB" w:sz="1"/>
              <w:right w:val="single" w:color="D1D5DB" w:sz="1"/>
            </w:tcBorders>
            <w:shd w:fill="FFFFFF" w:val="clear"/>
            <w:tcMar>
              <w:top w:type="dxa" w:w="90"/>
              <w:left w:type="dxa" w:w="80"/>
              <w:bottom w:type="dxa" w:w="90"/>
              <w:right w:type="dxa" w:w="80"/>
            </w:tcMar>
          </w:tcPr>
          <w:p>
            <w:pPr>
              <w:spacing w:after="0" w:before="0"/>
              <w:jc w:val="center"/>
            </w:pPr>
            <w:r>
              <w:rPr>
                <w:rFonts w:ascii="Arial" w:cs="Arial" w:eastAsia="Arial" w:hAnsi="Arial"/>
                <w:b/>
                <w:bCs/>
                <w:color w:val="059669"/>
                <w:sz w:val="18"/>
                <w:szCs w:val="18"/>
              </w:rPr>
              <w:t xml:space="preserve">🟢 Medium</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color w:val="374151"/>
                <w:sz w:val="19"/>
                <w:szCs w:val="19"/>
              </w:rPr>
              <w:t xml:space="preserve">Cowork cannot fine-tune. If Artha could fine-tune a small local model on the user's own documents and preferences, the agent improves with use — a moat no cloud product can replicate without sending data.</w:t>
            </w:r>
          </w:p>
        </w:tc>
        <w:tc>
          <w:tcPr>
            <w:tcW w:type="dxa" w:w="3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color w:val="374151"/>
                <w:sz w:val="19"/>
                <w:szCs w:val="19"/>
              </w:rPr>
              <w:t xml:space="preserve">Integrate Unsloth or llama.cpp LoRA fine-tuning. After 30 interactions, offer "personalise your model" — fine-tunes a small adapter on local conversation history.</w:t>
            </w:r>
          </w:p>
        </w:tc>
      </w:tr>
      <w:tr>
        <w:tc>
          <w:tcPr>
            <w:tcW w:type="dxa" w:w="216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Metrics &amp; eval dashboard</w:t>
            </w:r>
          </w:p>
        </w:tc>
        <w:tc>
          <w:tcPr>
            <w:tcW w:type="dxa" w:w="720"/>
            <w:tcBorders>
              <w:top w:val="single" w:color="D1D5DB" w:sz="1"/>
              <w:left w:val="single" w:color="D1D5DB" w:sz="1"/>
              <w:bottom w:val="single" w:color="D1D5DB" w:sz="1"/>
              <w:right w:val="single" w:color="D1D5DB" w:sz="1"/>
            </w:tcBorders>
            <w:shd w:fill="F9FAFB" w:val="clear"/>
            <w:tcMar>
              <w:top w:type="dxa" w:w="90"/>
              <w:left w:type="dxa" w:w="80"/>
              <w:bottom w:type="dxa" w:w="90"/>
              <w:right w:type="dxa" w:w="80"/>
            </w:tcMar>
          </w:tcPr>
          <w:p>
            <w:pPr>
              <w:spacing w:after="0" w:before="0"/>
              <w:jc w:val="center"/>
            </w:pPr>
            <w:r>
              <w:rPr>
                <w:rFonts w:ascii="Arial" w:cs="Arial" w:eastAsia="Arial" w:hAnsi="Arial"/>
                <w:b/>
                <w:bCs/>
                <w:color w:val="059669"/>
                <w:sz w:val="18"/>
                <w:szCs w:val="18"/>
              </w:rPr>
              <w:t xml:space="preserve">🟢 Medium</w:t>
            </w:r>
          </w:p>
        </w:tc>
        <w:tc>
          <w:tcPr>
            <w:tcW w:type="dxa" w:w="336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color w:val="374151"/>
                <w:sz w:val="19"/>
                <w:szCs w:val="19"/>
              </w:rPr>
              <w:t xml:space="preserve">No visibility into which tasks succeed/fail, which models perform best per task type, or how memory accuracy improves over time. Enterprise buyers need this to justify purchase.</w:t>
            </w:r>
          </w:p>
        </w:tc>
        <w:tc>
          <w:tcPr>
            <w:tcW w:type="dxa" w:w="312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color w:val="374151"/>
                <w:sz w:val="19"/>
                <w:szCs w:val="19"/>
              </w:rPr>
              <w:t xml:space="preserve">Add an Insights panel: task success rate, per-model quality scores, memory hit rate, average run time. All computed from existing local SQLite data.</w:t>
            </w:r>
          </w:p>
        </w:tc>
      </w:tr>
    </w:tbl>
    <w:p>
      <w:r>
        <w:br w:type="page"/>
      </w:r>
    </w:p>
    <w:p>
      <w:pPr>
        <w:pStyle w:val="Heading1"/>
        <w:spacing w:after="180" w:before="440"/>
      </w:pPr>
      <w:r>
        <w:rPr>
          <w:rFonts w:ascii="Arial" w:cs="Arial" w:eastAsia="Arial" w:hAnsi="Arial"/>
          <w:b/>
          <w:bCs/>
          <w:color w:val="1E6FD9"/>
          <w:sz w:val="38"/>
          <w:szCs w:val="38"/>
        </w:rPr>
        <w:t xml:space="preserve">Part IV — Path to Unicorn</w:t>
      </w:r>
    </w:p>
    <w:p>
      <w:pPr>
        <w:pStyle w:val="Heading2"/>
        <w:spacing w:after="120" w:before="300"/>
      </w:pPr>
      <w:r>
        <w:rPr>
          <w:rFonts w:ascii="Arial" w:cs="Arial" w:eastAsia="Arial" w:hAnsi="Arial"/>
          <w:b/>
          <w:bCs/>
          <w:color w:val="111827"/>
          <w:sz w:val="28"/>
          <w:szCs w:val="28"/>
        </w:rPr>
        <w:t xml:space="preserve">5.1  The Thesis</w:t>
      </w:r>
    </w:p>
    <w:p>
      <w:pPr>
        <w:spacing w:after="80" w:before="80"/>
      </w:pPr>
      <w:r>
        <w:rPr>
          <w:rFonts w:ascii="Arial" w:cs="Arial" w:eastAsia="Arial" w:hAnsi="Arial"/>
          <w:color w:val="374151"/>
          <w:sz w:val="22"/>
          <w:szCs w:val="22"/>
        </w:rPr>
        <w:t xml:space="preserve">AI agent market → $52B by 2030. Privacy-first + regulated verticals → 25-35% of that market. A $1B+ company capturing 3-5% of the privacy-first segment is achievable. The path is not to compete with Cowork on features — it is to own the category Cowork structurally cannot serve.</w:t>
      </w:r>
    </w:p>
    <w:p>
      <w:pPr>
        <w:pBdr>
          <w:left w:val="single" w:color="1E6FD9" w:sz="12" w:space="8"/>
        </w:pBdr>
        <w:shd w:fill="EFF6FF" w:val="clear"/>
        <w:spacing w:after="160" w:before="160"/>
        <w:ind w:left="320"/>
      </w:pPr>
      <w:r>
        <w:rPr>
          <w:rFonts w:ascii="Arial" w:cs="Arial" w:eastAsia="Arial" w:hAnsi="Arial"/>
          <w:color w:val="111827"/>
          <w:sz w:val="22"/>
          <w:szCs w:val="22"/>
        </w:rPr>
        <w:t xml:space="preserve">The category: "AI agents for industries where data sovereignty is not optional." Legal, healthcare, financial services, government. These are the highest-paying buyers on the planet, and Claude Cowork literally advises against their use cases.</w:t>
      </w:r>
    </w:p>
    <w:p>
      <w:pPr>
        <w:spacing w:after="0" w:before="120"/>
      </w:pPr>
    </w:p>
    <w:p>
      <w:pPr>
        <w:pStyle w:val="Heading2"/>
        <w:spacing w:after="120" w:before="300"/>
      </w:pPr>
      <w:r>
        <w:rPr>
          <w:rFonts w:ascii="Arial" w:cs="Arial" w:eastAsia="Arial" w:hAnsi="Arial"/>
          <w:b/>
          <w:bCs/>
          <w:color w:val="111827"/>
          <w:sz w:val="28"/>
          <w:szCs w:val="28"/>
        </w:rPr>
        <w:t xml:space="preserve">5.2  The Unicorn Stack</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1D5DB" w:sz="1"/>
              <w:left w:val="single" w:color="D1D5DB" w:sz="1"/>
              <w:bottom w:val="single" w:color="D1D5DB" w:sz="1"/>
              <w:right w:val="single" w:color="D1D5DB" w:sz="1"/>
            </w:tcBorders>
            <w:shd w:fill="111827"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Layer</w:t>
            </w:r>
          </w:p>
        </w:tc>
        <w:tc>
          <w:tcPr>
            <w:tcW w:type="dxa" w:w="7560"/>
            <w:tcBorders>
              <w:top w:val="single" w:color="D1D5DB" w:sz="1"/>
              <w:left w:val="single" w:color="D1D5DB" w:sz="1"/>
              <w:bottom w:val="single" w:color="D1D5DB" w:sz="1"/>
              <w:right w:val="single" w:color="D1D5DB" w:sz="1"/>
            </w:tcBorders>
            <w:shd w:fill="111827"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What Artha needs to build</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b/>
                <w:bCs/>
                <w:color w:val="111827"/>
                <w:sz w:val="20"/>
                <w:szCs w:val="20"/>
              </w:rPr>
              <w:t xml:space="preserve">Distribution moat</w:t>
            </w:r>
          </w:p>
        </w:tc>
        <w:tc>
          <w:tcPr>
            <w:tcW w:type="dxa" w:w="7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Own one vertical category completely before expanding. "The AI agent for law firms" is a defensible position. "A general AI agent" is not. Every law firm in your city is a reference customer for the next city.</w:t>
            </w:r>
          </w:p>
        </w:tc>
      </w:tr>
      <w:tr>
        <w:tc>
          <w:tcPr>
            <w:tcW w:type="dxa" w:w="180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b/>
                <w:bCs/>
                <w:color w:val="111827"/>
                <w:sz w:val="20"/>
                <w:szCs w:val="20"/>
              </w:rPr>
              <w:t xml:space="preserve">Revenue model</w:t>
            </w:r>
          </w:p>
        </w:tc>
        <w:tc>
          <w:tcPr>
            <w:tcW w:type="dxa" w:w="756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Freemium individual (free local inference) + Pro $20/mo (sync, advanced skills, priority updates) + Team $15/seat/mo (shared memory, admin console) + Enterprise (annual contract, SOC2, on-prem support, SLA). Target: $1M ARR within 12 months of launch.</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b/>
                <w:bCs/>
                <w:color w:val="111827"/>
                <w:sz w:val="20"/>
                <w:szCs w:val="20"/>
              </w:rPr>
              <w:t xml:space="preserve">Network effects</w:t>
            </w:r>
          </w:p>
        </w:tc>
        <w:tc>
          <w:tcPr>
            <w:tcW w:type="dxa" w:w="7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Skills marketplace where users publish and sell skill packs. Creator gets 70%, Artha gets 30%. Every skill published makes Artha more valuable to every user — the classic App Store flywheel. Target: 1,000 skills published in year 1.</w:t>
            </w:r>
          </w:p>
        </w:tc>
      </w:tr>
      <w:tr>
        <w:tc>
          <w:tcPr>
            <w:tcW w:type="dxa" w:w="180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b/>
                <w:bCs/>
                <w:color w:val="111827"/>
                <w:sz w:val="20"/>
                <w:szCs w:val="20"/>
              </w:rPr>
              <w:t xml:space="preserve">Compliance as product</w:t>
            </w:r>
          </w:p>
        </w:tc>
        <w:tc>
          <w:tcPr>
            <w:tcW w:type="dxa" w:w="756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SOC 2 Type II + HIPAA BAA + GDPR DPA. These are table stakes for regulated buyers. Position the compliance documentation as a product feature, not a checkbox. "The only AI agent with a signed BAA you can put in front of your auditors."</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b/>
                <w:bCs/>
                <w:color w:val="111827"/>
                <w:sz w:val="20"/>
                <w:szCs w:val="20"/>
              </w:rPr>
              <w:t xml:space="preserve">Model marketplace moat</w:t>
            </w:r>
          </w:p>
        </w:tc>
        <w:tc>
          <w:tcPr>
            <w:tcW w:type="dxa" w:w="7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As open models improve (DeepSeek V4, Llama 4, Qwen 3), Artha's model-agnostic architecture means it automatically offers the best local model. Build a one-click model benchmark so users can prove which model is fastest for their use case. No cloud product can do this.</w:t>
            </w:r>
          </w:p>
        </w:tc>
      </w:tr>
      <w:tr>
        <w:tc>
          <w:tcPr>
            <w:tcW w:type="dxa" w:w="180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b/>
                <w:bCs/>
                <w:color w:val="111827"/>
                <w:sz w:val="20"/>
                <w:szCs w:val="20"/>
              </w:rPr>
              <w:t xml:space="preserve">The "personal AI brain" narrative</w:t>
            </w:r>
          </w:p>
        </w:tc>
        <w:tc>
          <w:tcPr>
            <w:tcW w:type="dxa" w:w="756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Memory + RAG + provenance + time-travel = an agent that genuinely gets smarter about you over time without exposing anything. This narrative is emotionally resonant and technically true. Lead every marketing touchpoint with it.</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b/>
                <w:bCs/>
                <w:color w:val="111827"/>
                <w:sz w:val="20"/>
                <w:szCs w:val="20"/>
              </w:rPr>
              <w:t xml:space="preserve">Enterprise on-prem tier</w:t>
            </w:r>
          </w:p>
        </w:tc>
        <w:tc>
          <w:tcPr>
            <w:tcW w:type="dxa" w:w="7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For large law firms, hospitals, and government agencies that cannot use any external software: ship a Docker/Helm chart for self-hosted Artha on a private server. This unlocks $50K-$500K/year enterprise contracts that Cowork cannot pursue at all.</w:t>
            </w:r>
          </w:p>
        </w:tc>
      </w:tr>
      <w:tr>
        <w:tc>
          <w:tcPr>
            <w:tcW w:type="dxa" w:w="180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b/>
                <w:bCs/>
                <w:color w:val="111827"/>
                <w:sz w:val="20"/>
                <w:szCs w:val="20"/>
              </w:rPr>
              <w:t xml:space="preserve">Open-source core</w:t>
            </w:r>
          </w:p>
        </w:tc>
        <w:tc>
          <w:tcPr>
            <w:tcW w:type="dxa" w:w="756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Make the core engine MIT-licensed. Enterprise features are commercial. This is the MongoDB/GitLab playbook: developer adoption is free, enterprise contracts fund the business. The open-source community builds integrations and skills.</w:t>
            </w:r>
          </w:p>
        </w:tc>
      </w:tr>
    </w:tbl>
    <w:p>
      <w:pPr>
        <w:spacing w:after="200" w:before="0"/>
      </w:pPr>
    </w:p>
    <w:p>
      <w:pPr>
        <w:pStyle w:val="Heading2"/>
        <w:spacing w:after="120" w:before="300"/>
      </w:pPr>
      <w:r>
        <w:rPr>
          <w:rFonts w:ascii="Arial" w:cs="Arial" w:eastAsia="Arial" w:hAnsi="Arial"/>
          <w:b/>
          <w:bCs/>
          <w:color w:val="111827"/>
          <w:sz w:val="28"/>
          <w:szCs w:val="28"/>
        </w:rPr>
        <w:t xml:space="preserve">5.3  12-Month Roadmap to $1M ARR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5920"/>
      </w:tblGrid>
      <w:tr>
        <w:trPr>
          <w:tblHeader/>
        </w:trPr>
        <w:tc>
          <w:tcPr>
            <w:tcW w:type="dxa" w:w="1440"/>
            <w:tcBorders>
              <w:top w:val="single" w:color="D1D5DB" w:sz="1"/>
              <w:left w:val="single" w:color="D1D5DB" w:sz="1"/>
              <w:bottom w:val="single" w:color="D1D5DB" w:sz="1"/>
              <w:right w:val="single" w:color="D1D5DB" w:sz="1"/>
            </w:tcBorders>
            <w:shd w:fill="111827"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Quarter</w:t>
            </w:r>
          </w:p>
        </w:tc>
        <w:tc>
          <w:tcPr>
            <w:tcW w:type="dxa" w:w="2000"/>
            <w:tcBorders>
              <w:top w:val="single" w:color="D1D5DB" w:sz="1"/>
              <w:left w:val="single" w:color="D1D5DB" w:sz="1"/>
              <w:bottom w:val="single" w:color="D1D5DB" w:sz="1"/>
              <w:right w:val="single" w:color="D1D5DB" w:sz="1"/>
            </w:tcBorders>
            <w:shd w:fill="111827"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Theme</w:t>
            </w:r>
          </w:p>
        </w:tc>
        <w:tc>
          <w:tcPr>
            <w:tcW w:type="dxa" w:w="5920"/>
            <w:tcBorders>
              <w:top w:val="single" w:color="D1D5DB" w:sz="1"/>
              <w:left w:val="single" w:color="D1D5DB" w:sz="1"/>
              <w:bottom w:val="single" w:color="D1D5DB" w:sz="1"/>
              <w:right w:val="single" w:color="D1D5DB" w:sz="1"/>
            </w:tcBorders>
            <w:shd w:fill="111827" w:val="clear"/>
            <w:tcMar>
              <w:top w:type="dxa" w:w="90"/>
              <w:left w:type="dxa" w:w="150"/>
              <w:bottom w:type="dxa" w:w="90"/>
              <w:right w:type="dxa" w:w="150"/>
            </w:tcMar>
          </w:tcPr>
          <w:p>
            <w:pPr>
              <w:spacing w:after="0" w:before="0"/>
            </w:pPr>
            <w:r>
              <w:rPr>
                <w:rFonts w:ascii="Arial" w:cs="Arial" w:eastAsia="Arial" w:hAnsi="Arial"/>
                <w:b/>
                <w:bCs/>
                <w:color w:val="111827"/>
                <w:sz w:val="19"/>
                <w:szCs w:val="19"/>
              </w:rPr>
              <w:t xml:space="preserve">Key milestones</w:t>
            </w:r>
          </w:p>
        </w:tc>
      </w:tr>
      <w:t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b/>
                <w:bCs/>
                <w:color w:val="111827"/>
                <w:sz w:val="20"/>
                <w:szCs w:val="20"/>
              </w:rPr>
              <w:t xml:space="preserve">Q3 2026</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Foundation</w:t>
            </w:r>
          </w:p>
        </w:tc>
        <w:tc>
          <w:tcPr>
            <w:tcW w:type="dxa" w:w="59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Ship Pro tier ($20/mo) with opt-in encrypted sync. Launch on Product Hunt and Hacker News. Target: 500 paying users, $10K MRR.</w:t>
            </w:r>
          </w:p>
        </w:tc>
      </w:tr>
      <w:tr>
        <w:tc>
          <w:tcPr>
            <w:tcW w:type="dxa" w:w="144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b/>
                <w:bCs/>
                <w:color w:val="111827"/>
                <w:sz w:val="20"/>
                <w:szCs w:val="20"/>
              </w:rPr>
              <w:t xml:space="preserve">Q3 2026</w:t>
            </w:r>
          </w:p>
        </w:tc>
        <w:tc>
          <w:tcPr>
            <w:tcW w:type="dxa" w:w="200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Vertical</w:t>
            </w:r>
          </w:p>
        </w:tc>
        <w:tc>
          <w:tcPr>
            <w:tcW w:type="dxa" w:w="592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Ship Legal Bundle (contract review, clause extraction, case research skills). Partner with 5 law firms for beta. Target: 50 law firm users, $25K MRR.</w:t>
            </w:r>
          </w:p>
        </w:tc>
      </w:tr>
      <w:t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b/>
                <w:bCs/>
                <w:color w:val="111827"/>
                <w:sz w:val="20"/>
                <w:szCs w:val="20"/>
              </w:rPr>
              <w:t xml:space="preserve">Q4 2026</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Team</w:t>
            </w:r>
          </w:p>
        </w:tc>
        <w:tc>
          <w:tcPr>
            <w:tcW w:type="dxa" w:w="59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Ship Team tier ($15/seat). Shared memory, admin console, LAN server auth. Target: 20 teams (avg 5 seats), $40K MRR.</w:t>
            </w:r>
          </w:p>
        </w:tc>
      </w:tr>
      <w:tr>
        <w:tc>
          <w:tcPr>
            <w:tcW w:type="dxa" w:w="144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b/>
                <w:bCs/>
                <w:color w:val="111827"/>
                <w:sz w:val="20"/>
                <w:szCs w:val="20"/>
              </w:rPr>
              <w:t xml:space="preserve">Q4 2026</w:t>
            </w:r>
          </w:p>
        </w:tc>
        <w:tc>
          <w:tcPr>
            <w:tcW w:type="dxa" w:w="200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Compliance</w:t>
            </w:r>
          </w:p>
        </w:tc>
        <w:tc>
          <w:tcPr>
            <w:tcW w:type="dxa" w:w="592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Complete SOC 2 Type II audit. Publish report publicly. Begin HIPAA BAA programme. Unlock healthcare vertical. Target: $60K MRR.</w:t>
            </w:r>
          </w:p>
        </w:tc>
      </w:tr>
      <w:t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b/>
                <w:bCs/>
                <w:color w:val="111827"/>
                <w:sz w:val="20"/>
                <w:szCs w:val="20"/>
              </w:rPr>
              <w:t xml:space="preserve">Q1 2027</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Marketplace</w:t>
            </w:r>
          </w:p>
        </w:tc>
        <w:tc>
          <w:tcPr>
            <w:tcW w:type="dxa" w:w="59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Launch skills marketplace. Seed with 50 published skills. Creator revenue share (70/30). Target: 500 skills, $80K MRR.</w:t>
            </w:r>
          </w:p>
        </w:tc>
      </w:tr>
      <w:tr>
        <w:tc>
          <w:tcPr>
            <w:tcW w:type="dxa" w:w="144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b/>
                <w:bCs/>
                <w:color w:val="111827"/>
                <w:sz w:val="20"/>
                <w:szCs w:val="20"/>
              </w:rPr>
              <w:t xml:space="preserve">Q2 2027</w:t>
            </w:r>
          </w:p>
        </w:tc>
        <w:tc>
          <w:tcPr>
            <w:tcW w:type="dxa" w:w="200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Enterprise</w:t>
            </w:r>
          </w:p>
        </w:tc>
        <w:tc>
          <w:tcPr>
            <w:tcW w:type="dxa" w:w="592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50"/>
            </w:tcMar>
          </w:tcPr>
          <w:p>
            <w:pPr>
              <w:spacing w:after="0" w:before="0"/>
            </w:pPr>
            <w:r>
              <w:rPr>
                <w:rFonts w:ascii="Arial" w:cs="Arial" w:eastAsia="Arial" w:hAnsi="Arial"/>
                <w:color w:val="374151"/>
                <w:sz w:val="20"/>
                <w:szCs w:val="20"/>
              </w:rPr>
              <w:t xml:space="preserve">Ship Docker on-prem tier. First enterprise contract ($100K+/year). Target: 3 enterprise contracts, $150K MRR → $1.8M ARR.</w:t>
            </w:r>
          </w:p>
        </w:tc>
      </w:tr>
    </w:tbl>
    <w:p>
      <w:r>
        <w:br w:type="page"/>
      </w:r>
    </w:p>
    <w:p>
      <w:pPr>
        <w:pStyle w:val="Heading1"/>
        <w:spacing w:after="180" w:before="440"/>
      </w:pPr>
      <w:r>
        <w:rPr>
          <w:rFonts w:ascii="Arial" w:cs="Arial" w:eastAsia="Arial" w:hAnsi="Arial"/>
          <w:b/>
          <w:bCs/>
          <w:color w:val="1E6FD9"/>
          <w:sz w:val="38"/>
          <w:szCs w:val="38"/>
        </w:rPr>
        <w:t xml:space="preserve">Part V — SWOT Summary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c>
          <w:tcPr>
            <w:tcW w:type="dxa" w:w="1440"/>
            <w:tcBorders>
              <w:top w:val="single" w:color="D1D5DB" w:sz="1"/>
              <w:left w:val="single" w:color="D1D5DB" w:sz="1"/>
              <w:bottom w:val="single" w:color="D1D5DB" w:sz="1"/>
              <w:right w:val="single" w:color="D1D5DB" w:sz="1"/>
            </w:tcBorders>
            <w:shd w:fill="111827" w:val="clear"/>
            <w:tcMar>
              <w:top w:type="dxa" w:w="90"/>
              <w:left w:type="dxa" w:w="150"/>
              <w:bottom w:type="dxa" w:w="90"/>
              <w:right w:type="dxa" w:w="150"/>
            </w:tcMar>
          </w:tcPr>
          <w:p>
            <w:pPr>
              <w:spacing w:after="0" w:before="0"/>
            </w:pPr>
            <w:r>
              <w:rPr>
                <w:rFonts w:ascii="Arial" w:cs="Arial" w:eastAsia="Arial" w:hAnsi="Arial"/>
                <w:b/>
                <w:bCs/>
                <w:color w:val="FFFFFF"/>
                <w:sz w:val="18"/>
                <w:szCs w:val="18"/>
              </w:rPr>
              <w:t xml:space="preserve"/>
            </w:r>
          </w:p>
        </w:tc>
        <w:tc>
          <w:tcPr>
            <w:tcW w:type="dxa" w:w="3960"/>
            <w:tcBorders>
              <w:top w:val="single" w:color="D1D5DB" w:sz="1"/>
              <w:left w:val="single" w:color="D1D5DB" w:sz="1"/>
              <w:bottom w:val="single" w:color="D1D5DB" w:sz="1"/>
              <w:right w:val="single" w:color="D1D5DB" w:sz="1"/>
            </w:tcBorders>
            <w:shd w:fill="1E6FD9" w:val="clear"/>
            <w:tcMar>
              <w:top w:type="dxa" w:w="90"/>
              <w:left w:type="dxa" w:w="150"/>
              <w:bottom w:type="dxa" w:w="90"/>
              <w:right w:type="dxa" w:w="150"/>
            </w:tcMar>
          </w:tcPr>
          <w:p>
            <w:pPr>
              <w:spacing w:after="0" w:before="0"/>
            </w:pPr>
            <w:r>
              <w:rPr>
                <w:rFonts w:ascii="Arial" w:cs="Arial" w:eastAsia="Arial" w:hAnsi="Arial"/>
                <w:b/>
                <w:bCs/>
                <w:color w:val="FFFFFF"/>
                <w:sz w:val="18"/>
                <w:szCs w:val="18"/>
              </w:rPr>
              <w:t xml:space="preserve">Artha</w:t>
            </w:r>
          </w:p>
        </w:tc>
        <w:tc>
          <w:tcPr>
            <w:tcW w:type="dxa" w:w="3960"/>
            <w:tcBorders>
              <w:top w:val="single" w:color="D1D5DB" w:sz="1"/>
              <w:left w:val="single" w:color="D1D5DB" w:sz="1"/>
              <w:bottom w:val="single" w:color="D1D5DB" w:sz="1"/>
              <w:right w:val="single" w:color="D1D5DB" w:sz="1"/>
            </w:tcBorders>
            <w:shd w:fill="DC2626" w:val="clear"/>
            <w:tcMar>
              <w:top w:type="dxa" w:w="90"/>
              <w:left w:type="dxa" w:w="150"/>
              <w:bottom w:type="dxa" w:w="90"/>
              <w:right w:type="dxa" w:w="150"/>
            </w:tcMar>
          </w:tcPr>
          <w:p>
            <w:pPr>
              <w:spacing w:after="0" w:before="0"/>
            </w:pPr>
            <w:r>
              <w:rPr>
                <w:rFonts w:ascii="Arial" w:cs="Arial" w:eastAsia="Arial" w:hAnsi="Arial"/>
                <w:b/>
                <w:bCs/>
                <w:color w:val="FFFFFF"/>
                <w:sz w:val="18"/>
                <w:szCs w:val="18"/>
              </w:rPr>
              <w:t xml:space="preserve">Threat</w:t>
            </w:r>
          </w:p>
        </w:tc>
      </w:tr>
      <w:tr>
        <w:tc>
          <w:tcPr>
            <w:tcW w:type="dxa" w:w="1440"/>
            <w:tcBorders>
              <w:top w:val="single" w:color="D1D5DB" w:sz="1"/>
              <w:left w:val="single" w:color="D1D5DB" w:sz="1"/>
              <w:bottom w:val="single" w:color="D1D5DB" w:sz="1"/>
              <w:right w:val="single" w:color="D1D5DB" w:sz="1"/>
            </w:tcBorders>
            <w:shd w:fill="059669" w:val="clear"/>
            <w:tcMar>
              <w:top w:type="dxa" w:w="90"/>
              <w:left w:type="dxa" w:w="150"/>
              <w:bottom w:type="dxa" w:w="90"/>
              <w:right w:type="dxa" w:w="150"/>
            </w:tcMar>
          </w:tcPr>
          <w:p>
            <w:pPr>
              <w:spacing w:after="0" w:before="0"/>
            </w:pPr>
            <w:r>
              <w:rPr>
                <w:rFonts w:ascii="Arial" w:cs="Arial" w:eastAsia="Arial" w:hAnsi="Arial"/>
                <w:b/>
                <w:bCs/>
                <w:color w:val="FFFFFF"/>
                <w:sz w:val="18"/>
                <w:szCs w:val="18"/>
              </w:rPr>
              <w:t xml:space="preserve">Strength</w:t>
            </w:r>
          </w:p>
        </w:tc>
        <w:tc>
          <w:tcPr>
            <w:tcW w:type="dxa" w:w="3960"/>
            <w:tcBorders>
              <w:top w:val="single" w:color="D1D5DB" w:sz="1"/>
              <w:left w:val="single" w:color="D1D5DB" w:sz="1"/>
              <w:bottom w:val="single" w:color="D1D5DB" w:sz="1"/>
              <w:right w:val="single" w:color="D1D5DB" w:sz="1"/>
            </w:tcBorders>
            <w:shd w:fill="ECFDF5" w:val="clear"/>
            <w:tcMar>
              <w:top w:type="dxa" w:w="90"/>
              <w:left w:type="dxa" w:w="150"/>
              <w:bottom w:type="dxa" w:w="90"/>
              <w:right w:type="dxa" w:w="150"/>
            </w:tcMar>
          </w:tcPr>
          <w:p>
            <w:pPr>
              <w:spacing w:after="0" w:before="0"/>
            </w:pPr>
            <w:r>
              <w:rPr>
                <w:rFonts w:ascii="Arial" w:cs="Arial" w:eastAsia="Arial" w:hAnsi="Arial"/>
                <w:color w:val="065F46"/>
                <w:sz w:val="19"/>
                <w:szCs w:val="19"/>
              </w:rPr>
              <w:t xml:space="preserve">Data sovereignty · Model agnosticism · Audit trail · Zero inference cost · Time travel · LAN sharing · Open MCP ecosystem</w:t>
            </w:r>
          </w:p>
        </w:tc>
        <w:tc>
          <w:tcPr>
            <w:tcW w:type="dxa" w:w="3960"/>
            <w:tcBorders>
              <w:top w:val="single" w:color="D1D5DB" w:sz="1"/>
              <w:left w:val="single" w:color="D1D5DB" w:sz="1"/>
              <w:bottom w:val="single" w:color="D1D5DB" w:sz="1"/>
              <w:right w:val="single" w:color="D1D5DB" w:sz="1"/>
            </w:tcBorders>
            <w:shd w:fill="FEF2F2" w:val="clear"/>
            <w:tcMar>
              <w:top w:type="dxa" w:w="90"/>
              <w:left w:type="dxa" w:w="150"/>
              <w:bottom w:type="dxa" w:w="90"/>
              <w:right w:type="dxa" w:w="150"/>
            </w:tcMar>
          </w:tcPr>
          <w:p>
            <w:pPr>
              <w:spacing w:after="0" w:before="0"/>
            </w:pPr>
            <w:r>
              <w:rPr>
                <w:rFonts w:ascii="Arial" w:cs="Arial" w:eastAsia="Arial" w:hAnsi="Arial"/>
                <w:color w:val="991B1B"/>
                <w:sz w:val="19"/>
                <w:szCs w:val="19"/>
              </w:rPr>
              <w:t xml:space="preserve">Cowork offline mode (if Anthropic ships it) · DeepSeek V4 cloud free tier · Open-source local agent competitors (Open Interpreter, Aider, Continue)</w:t>
            </w:r>
          </w:p>
        </w:tc>
      </w:tr>
      <w:tr>
        <w:tc>
          <w:tcPr>
            <w:tcW w:type="dxa" w:w="1440"/>
            <w:tcBorders>
              <w:top w:val="single" w:color="D1D5DB" w:sz="1"/>
              <w:left w:val="single" w:color="D1D5DB" w:sz="1"/>
              <w:bottom w:val="single" w:color="D1D5DB" w:sz="1"/>
              <w:right w:val="single" w:color="D1D5DB" w:sz="1"/>
            </w:tcBorders>
            <w:shd w:fill="D97706" w:val="clear"/>
            <w:tcMar>
              <w:top w:type="dxa" w:w="90"/>
              <w:left w:type="dxa" w:w="150"/>
              <w:bottom w:type="dxa" w:w="90"/>
              <w:right w:type="dxa" w:w="150"/>
            </w:tcMar>
          </w:tcPr>
          <w:p>
            <w:pPr>
              <w:spacing w:after="0" w:before="0"/>
            </w:pPr>
            <w:r>
              <w:rPr>
                <w:rFonts w:ascii="Arial" w:cs="Arial" w:eastAsia="Arial" w:hAnsi="Arial"/>
                <w:b/>
                <w:bCs/>
                <w:color w:val="FFFFFF"/>
                <w:sz w:val="18"/>
                <w:szCs w:val="18"/>
              </w:rPr>
              <w:t xml:space="preserve">Weakness</w:t>
            </w:r>
          </w:p>
        </w:tc>
        <w:tc>
          <w:tcPr>
            <w:tcW w:type="dxa" w:w="3960"/>
            <w:tcBorders>
              <w:top w:val="single" w:color="D1D5DB" w:sz="1"/>
              <w:left w:val="single" w:color="D1D5DB" w:sz="1"/>
              <w:bottom w:val="single" w:color="D1D5DB" w:sz="1"/>
              <w:right w:val="single" w:color="D1D5DB" w:sz="1"/>
            </w:tcBorders>
            <w:shd w:fill="FFFBEB" w:val="clear"/>
            <w:tcMar>
              <w:top w:type="dxa" w:w="90"/>
              <w:left w:type="dxa" w:w="150"/>
              <w:bottom w:type="dxa" w:w="90"/>
              <w:right w:type="dxa" w:w="150"/>
            </w:tcMar>
          </w:tcPr>
          <w:p>
            <w:pPr>
              <w:spacing w:after="0" w:before="0"/>
            </w:pPr>
            <w:r>
              <w:rPr>
                <w:rFonts w:ascii="Arial" w:cs="Arial" w:eastAsia="Arial" w:hAnsi="Arial"/>
                <w:color w:val="92400E"/>
                <w:sz w:val="19"/>
                <w:szCs w:val="19"/>
              </w:rPr>
              <w:t xml:space="preserve">No distribution · No business model · No compliance certs · No mobile · No team features · Weaker model quality than cloud frontier (Claude Opus 4 / GPT-4.5)</w:t>
            </w:r>
          </w:p>
        </w:tc>
        <w:tc>
          <w:tcPr>
            <w:tcW w:type="dxa" w:w="3960"/>
            <w:tcBorders>
              <w:top w:val="single" w:color="D1D5DB" w:sz="1"/>
              <w:left w:val="single" w:color="D1D5DB" w:sz="1"/>
              <w:bottom w:val="single" w:color="D1D5DB" w:sz="1"/>
              <w:right w:val="single" w:color="D1D5DB" w:sz="1"/>
            </w:tcBorders>
            <w:shd w:fill="FEF2F2" w:val="clear"/>
            <w:tcMar>
              <w:top w:type="dxa" w:w="90"/>
              <w:left w:type="dxa" w:w="150"/>
              <w:bottom w:type="dxa" w:w="90"/>
              <w:right w:type="dxa" w:w="150"/>
            </w:tcMar>
          </w:tcPr>
          <w:p>
            <w:pPr>
              <w:spacing w:after="0" w:before="0"/>
            </w:pPr>
            <w:r>
              <w:rPr>
                <w:rFonts w:ascii="Arial" w:cs="Arial" w:eastAsia="Arial" w:hAnsi="Arial"/>
                <w:color w:val="991B1B"/>
                <w:sz w:val="19"/>
                <w:szCs w:val="19"/>
              </w:rPr>
              <w:t xml:space="preserve">Regulated buyers requiring SOC 2 before purchase · Enterprise IT blocking unsigned desktop apps · Model quality gap widening as frontier models accelerate</w:t>
            </w:r>
          </w:p>
        </w:tc>
      </w:tr>
    </w:tbl>
    <w:p>
      <w:pPr>
        <w:spacing w:after="200" w:before="0"/>
      </w:pPr>
    </w:p>
    <w:p>
      <w:pPr>
        <w:pStyle w:val="Heading2"/>
        <w:spacing w:after="120" w:before="300"/>
      </w:pPr>
      <w:r>
        <w:rPr>
          <w:rFonts w:ascii="Arial" w:cs="Arial" w:eastAsia="Arial" w:hAnsi="Arial"/>
          <w:b/>
          <w:bCs/>
          <w:color w:val="111827"/>
          <w:sz w:val="28"/>
          <w:szCs w:val="28"/>
        </w:rPr>
        <w:t xml:space="preserve">5.4  The Single Most Important Thing</w:t>
      </w:r>
    </w:p>
    <w:p>
      <w:pPr>
        <w:pBdr>
          <w:left w:val="single" w:color="1E6FD9" w:sz="12" w:space="8"/>
        </w:pBdr>
        <w:shd w:fill="EFF6FF" w:val="clear"/>
        <w:spacing w:after="160" w:before="160"/>
        <w:ind w:left="320"/>
      </w:pPr>
      <w:r>
        <w:rPr>
          <w:rFonts w:ascii="Arial" w:cs="Arial" w:eastAsia="Arial" w:hAnsi="Arial"/>
          <w:color w:val="111827"/>
          <w:sz w:val="22"/>
          <w:szCs w:val="22"/>
        </w:rPr>
        <w:t xml:space="preserve">Artha's architecture is a genuine moat. The codebase is feature-complete enough to charge for today. The only thing standing between Artha and a unicorn trajectory is choosing a vertical, shipping a paywall, and getting 50 paying customers in that vertical. Everything else — compliance, mobile, marketplace — follows the revenue. Start charging.</w:t>
      </w:r>
    </w:p>
    <w:p>
      <w:r>
        <w:br w:type="page"/>
      </w:r>
    </w:p>
    <w:p>
      <w:pPr>
        <w:pStyle w:val="Heading1"/>
        <w:spacing w:after="180" w:before="440"/>
      </w:pPr>
      <w:r>
        <w:rPr>
          <w:rFonts w:ascii="Arial" w:cs="Arial" w:eastAsia="Arial" w:hAnsi="Arial"/>
          <w:b/>
          <w:bCs/>
          <w:color w:val="1E6FD9"/>
          <w:sz w:val="38"/>
          <w:szCs w:val="38"/>
        </w:rPr>
        <w:t xml:space="preserve">Appendix — Sources &amp; References</w:t>
      </w:r>
    </w:p>
    <w:p>
      <w:pPr>
        <w:spacing w:after="80" w:before="80"/>
      </w:pPr>
      <w:r>
        <w:rPr>
          <w:rFonts w:ascii="Arial" w:cs="Arial" w:eastAsia="Arial" w:hAnsi="Arial"/>
          <w:color w:val="374151"/>
          <w:sz w:val="22"/>
          <w:szCs w:val="22"/>
        </w:rPr>
        <w:t xml:space="preserve">Claude Cowork GA announcement and feature details: claude.com/product/cowork · anthropic.com/product/claude-cowork</w:t>
      </w:r>
    </w:p>
    <w:p>
      <w:pPr>
        <w:spacing w:after="80" w:before="80"/>
      </w:pPr>
      <w:r>
        <w:rPr>
          <w:rFonts w:ascii="Arial" w:cs="Arial" w:eastAsia="Arial" w:hAnsi="Arial"/>
          <w:color w:val="374151"/>
          <w:sz w:val="22"/>
          <w:szCs w:val="22"/>
        </w:rPr>
        <w:t xml:space="preserve">Claude Cowork security and compliance gaps: support.claude.com/en/articles/13364135-use-claude-cowork-safely · harmonic.security · mintmcp.com · irmcon.com · generalanalysis.com</w:t>
      </w:r>
    </w:p>
    <w:p>
      <w:pPr>
        <w:spacing w:after="80" w:before="80"/>
      </w:pPr>
      <w:r>
        <w:rPr>
          <w:rFonts w:ascii="Arial" w:cs="Arial" w:eastAsia="Arial" w:hAnsi="Arial"/>
          <w:color w:val="374151"/>
          <w:sz w:val="22"/>
          <w:szCs w:val="22"/>
        </w:rPr>
        <w:t xml:space="preserve">DeepSeek V4 (April 2026): cnbc.com/2026/04/24/deepseek-v4-llm-preview · technologyreview.com/2026/04/24/1136422/why-deepseeks-v4-matters · aitoolranked.com</w:t>
      </w:r>
    </w:p>
    <w:p>
      <w:pPr>
        <w:spacing w:after="80" w:before="80"/>
      </w:pPr>
      <w:r>
        <w:rPr>
          <w:rFonts w:ascii="Arial" w:cs="Arial" w:eastAsia="Arial" w:hAnsi="Arial"/>
          <w:color w:val="374151"/>
          <w:sz w:val="22"/>
          <w:szCs w:val="22"/>
        </w:rPr>
        <w:t xml:space="preserve">AI agent market sizing: wellows.com/blog/ai-startups · aifundingtracker.com/top-ai-agent-startups · failory.com/startups/artificial-intelligence-unicorns</w:t>
      </w:r>
    </w:p>
    <w:p>
      <w:pPr>
        <w:spacing w:after="80" w:before="80"/>
      </w:pPr>
      <w:r>
        <w:rPr>
          <w:rFonts w:ascii="Arial" w:cs="Arial" w:eastAsia="Arial" w:hAnsi="Arial"/>
          <w:color w:val="374151"/>
          <w:sz w:val="22"/>
          <w:szCs w:val="22"/>
        </w:rPr>
        <w:t xml:space="preserve">One-person unicorn thesis: linas.substack.com · buildmvpfast.com/blog/one-person-unicorn-ai-agents-solo-founder-billion-dollar-2026 · nxcode.io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after="0" w:before="80"/>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FD9" w:sz="4" w:space="1"/>
      </w:pBdr>
      <w:spacing w:after="80" w:before="0"/>
    </w:pPr>
    <w:r>
      <w:rPr>
        <w:rFonts w:ascii="Arial" w:cs="Arial" w:eastAsia="Arial" w:hAnsi="Arial"/>
        <w:b/>
        <w:bCs/>
        <w:color w:val="1E6FD9"/>
        <w:sz w:val="18"/>
        <w:szCs w:val="18"/>
      </w:rPr>
      <w:t xml:space="preserve">Artha  ·  Competitive Analysis &amp; Unicorn Roadmap</w:t>
    </w:r>
    <w:r>
      <w:rPr>
        <w:rFonts w:ascii="Arial" w:cs="Arial" w:eastAsia="Arial" w:hAnsi="Arial"/>
        <w:color w:val="6B728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1E6FD9"/>
      <w:sz w:val="38"/>
      <w:szCs w:val="38"/>
    </w:rPr>
  </w:style>
  <w:style w:type="paragraph" w:styleId="Heading2">
    <w:name w:val="Heading 2"/>
    <w:basedOn w:val="Normal"/>
    <w:next w:val="Normal"/>
    <w:qFormat/>
    <w:pPr>
      <w:spacing w:after="120" w:before="300"/>
      <w:outlineLvl w:val="1"/>
    </w:pPr>
    <w:rPr>
      <w:rFonts w:ascii="Arial" w:cs="Arial" w:eastAsia="Arial" w:hAnsi="Arial"/>
      <w:b/>
      <w:bCs/>
      <w:color w:val="111827"/>
      <w:sz w:val="28"/>
      <w:szCs w:val="28"/>
    </w:rPr>
  </w:style>
  <w:style w:type="paragraph" w:styleId="Heading3">
    <w:name w:val="Heading 3"/>
    <w:basedOn w:val="Normal"/>
    <w:next w:val="Normal"/>
    <w:qFormat/>
    <w:pPr>
      <w:spacing w:after="80" w:before="22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Artha Competitive Analysis &amp; Unicorn Roadmap</dc:title>
  <dc:creator>Artha Strategic Analysis</dc:creator>
  <dc:description>Artha vs Claude Cowork vs DeepSeek — gaps and path to $1B</dc:description>
  <cp:lastModifiedBy>Un-named</cp:lastModifiedBy>
  <cp:revision>1</cp:revision>
  <dcterms:created xsi:type="dcterms:W3CDTF">2026-05-26T21:32:45.835Z</dcterms:created>
  <dcterms:modified xsi:type="dcterms:W3CDTF">2026-05-26T21:32:45.836Z</dcterms:modified>
</cp:coreProperties>
</file>

<file path=docProps/custom.xml><?xml version="1.0" encoding="utf-8"?>
<Properties xmlns="http://schemas.openxmlformats.org/officeDocument/2006/custom-properties" xmlns:vt="http://schemas.openxmlformats.org/officeDocument/2006/docPropsVTypes"/>
</file>