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3C565" w14:textId="77777777" w:rsidR="005E4DC0" w:rsidRDefault="00931588">
      <w:pPr>
        <w:spacing w:after="0" w:line="335" w:lineRule="auto"/>
        <w:ind w:left="11"/>
      </w:pPr>
      <w:r>
        <w:rPr>
          <w:rFonts w:ascii="微软雅黑" w:eastAsia="微软雅黑" w:hAnsi="微软雅黑" w:cs="微软雅黑"/>
          <w:b/>
          <w:sz w:val="38"/>
        </w:rPr>
        <w:t>基于可解释⼈⼯智能的充电站⽹络异常检测</w:t>
      </w:r>
      <w:r>
        <w:rPr>
          <w:rFonts w:ascii="微软雅黑" w:eastAsia="微软雅黑" w:hAnsi="微软雅黑" w:cs="微软雅黑"/>
          <w:sz w:val="38"/>
        </w:rPr>
        <w:t>:</w:t>
      </w:r>
      <w:r>
        <w:rPr>
          <w:rFonts w:ascii="微软雅黑" w:eastAsia="微软雅黑" w:hAnsi="微软雅黑" w:cs="微软雅黑"/>
          <w:b/>
          <w:sz w:val="38"/>
        </w:rPr>
        <w:t>⾯向欧盟《⼈⼯智能法案》合规⽅案</w:t>
      </w:r>
      <w:r>
        <w:rPr>
          <w:rFonts w:ascii="微软雅黑" w:eastAsia="微软雅黑" w:hAnsi="微软雅黑" w:cs="微软雅黑"/>
          <w:color w:val="0366D6"/>
          <w:sz w:val="38"/>
        </w:rPr>
        <w:t xml:space="preserve"> </w:t>
      </w:r>
    </w:p>
    <w:p w14:paraId="34688F8E" w14:textId="77777777" w:rsidR="005E4DC0" w:rsidRDefault="00931588">
      <w:pPr>
        <w:spacing w:after="268"/>
        <w:ind w:left="11" w:right="-4"/>
      </w:pPr>
      <w:r>
        <w:rPr>
          <w:noProof/>
        </w:rPr>
        <mc:AlternateContent>
          <mc:Choice Requires="wpg">
            <w:drawing>
              <wp:inline distT="0" distB="0" distL="0" distR="0" wp14:anchorId="60D4A64F" wp14:editId="58FD1338">
                <wp:extent cx="6936566" cy="10170"/>
                <wp:effectExtent l="0" t="0" r="0" b="0"/>
                <wp:docPr id="31088" name="Group 31088"/>
                <wp:cNvGraphicFramePr/>
                <a:graphic xmlns:a="http://schemas.openxmlformats.org/drawingml/2006/main">
                  <a:graphicData uri="http://schemas.microsoft.com/office/word/2010/wordprocessingGroup">
                    <wpg:wgp>
                      <wpg:cNvGrpSpPr/>
                      <wpg:grpSpPr>
                        <a:xfrm>
                          <a:off x="0" y="0"/>
                          <a:ext cx="6936566" cy="10170"/>
                          <a:chOff x="0" y="0"/>
                          <a:chExt cx="6936566" cy="10170"/>
                        </a:xfrm>
                      </wpg:grpSpPr>
                      <wps:wsp>
                        <wps:cNvPr id="36619" name="Shape 36619"/>
                        <wps:cNvSpPr/>
                        <wps:spPr>
                          <a:xfrm>
                            <a:off x="0" y="0"/>
                            <a:ext cx="6936566" cy="10170"/>
                          </a:xfrm>
                          <a:custGeom>
                            <a:avLst/>
                            <a:gdLst/>
                            <a:ahLst/>
                            <a:cxnLst/>
                            <a:rect l="0" t="0" r="0" b="0"/>
                            <a:pathLst>
                              <a:path w="6936566" h="10170">
                                <a:moveTo>
                                  <a:pt x="0" y="0"/>
                                </a:moveTo>
                                <a:lnTo>
                                  <a:pt x="6936566" y="0"/>
                                </a:lnTo>
                                <a:lnTo>
                                  <a:pt x="6936566" y="10170"/>
                                </a:lnTo>
                                <a:lnTo>
                                  <a:pt x="0" y="10170"/>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31088" style="width:546.186pt;height:0.800781pt;mso-position-horizontal-relative:char;mso-position-vertical-relative:line" coordsize="69365,101">
                <v:shape id="Shape 36620" style="position:absolute;width:69365;height:101;left:0;top:0;" coordsize="6936566,10170" path="m0,0l6936566,0l6936566,10170l0,10170l0,0">
                  <v:stroke weight="0pt" endcap="flat" joinstyle="miter" miterlimit="10" on="false" color="#000000" opacity="0"/>
                  <v:fill on="true" color="#eaecef"/>
                </v:shape>
              </v:group>
            </w:pict>
          </mc:Fallback>
        </mc:AlternateContent>
      </w:r>
    </w:p>
    <w:p w14:paraId="2A580897" w14:textId="77777777" w:rsidR="005E4DC0" w:rsidRDefault="00931588">
      <w:pPr>
        <w:spacing w:after="297"/>
        <w:ind w:left="6" w:right="5735" w:hanging="10"/>
      </w:pPr>
      <w:r>
        <w:rPr>
          <w:b/>
        </w:rPr>
        <w:t>傅坚</w:t>
      </w:r>
      <w:r>
        <w:rPr>
          <w:b w:val="0"/>
          <w:vertAlign w:val="superscript"/>
        </w:rPr>
        <w:t>1</w:t>
      </w:r>
      <w:r>
        <w:rPr>
          <w:b/>
        </w:rPr>
        <w:t>,王莹</w:t>
      </w:r>
      <w:r>
        <w:rPr>
          <w:b w:val="0"/>
          <w:vertAlign w:val="superscript"/>
        </w:rPr>
        <w:t>2</w:t>
      </w:r>
      <w:r>
        <w:rPr>
          <w:b/>
        </w:rPr>
        <w:t>,陈天元</w:t>
      </w:r>
      <w:r>
        <w:rPr>
          <w:b w:val="0"/>
          <w:vertAlign w:val="superscript"/>
        </w:rPr>
        <w:t>2</w:t>
      </w:r>
      <w:r>
        <w:rPr>
          <w:b/>
        </w:rPr>
        <w:t>,朱禹林</w:t>
      </w:r>
      <w:r>
        <w:rPr>
          <w:b w:val="0"/>
          <w:vertAlign w:val="superscript"/>
        </w:rPr>
        <w:t>2*</w:t>
      </w:r>
    </w:p>
    <w:p w14:paraId="0E4E3FB5" w14:textId="77777777" w:rsidR="005E4DC0" w:rsidRDefault="00931588">
      <w:pPr>
        <w:numPr>
          <w:ilvl w:val="0"/>
          <w:numId w:val="1"/>
        </w:numPr>
        <w:spacing w:after="45" w:line="305" w:lineRule="auto"/>
        <w:ind w:hanging="153"/>
      </w:pPr>
      <w:r>
        <w:rPr>
          <w:b w:val="0"/>
        </w:rPr>
        <w:t>岭南大学</w:t>
      </w:r>
      <w:r>
        <w:rPr>
          <w:b w:val="0"/>
          <w:vertAlign w:val="superscript"/>
        </w:rPr>
        <w:t>1</w:t>
      </w:r>
    </w:p>
    <w:p w14:paraId="6AEEB4BB" w14:textId="77777777" w:rsidR="005E4DC0" w:rsidRDefault="00931588">
      <w:pPr>
        <w:numPr>
          <w:ilvl w:val="0"/>
          <w:numId w:val="1"/>
        </w:numPr>
        <w:spacing w:after="4" w:line="305" w:lineRule="auto"/>
        <w:ind w:hanging="153"/>
      </w:pPr>
      <w:r>
        <w:rPr>
          <w:b w:val="0"/>
        </w:rPr>
        <w:t>珠海学院 应用人工智能理学硕士</w:t>
      </w:r>
      <w:r>
        <w:rPr>
          <w:b w:val="0"/>
          <w:vertAlign w:val="superscript"/>
        </w:rPr>
        <w:t>2</w:t>
      </w:r>
    </w:p>
    <w:p w14:paraId="6AEEB4BB" w14:textId="77777777" w:rsidR="005E4DC0" w:rsidRDefault="00931588">
      <w:pPr>
        <w:numPr>
          <w:ilvl w:val="0"/>
          <w:numId w:val="1"/>
        </w:numPr>
        <w:spacing w:after="4" w:line="305" w:lineRule="auto"/>
        <w:ind w:hanging="153"/>
      </w:pPr>
      <w:r>
        <w:rPr/>
        <w:t>珠海学院 教授(通讯作者)</w:t>
      </w:r>
      <w:r>
        <w:rPr>
          <w:vertAlign w:val="superscript"/>
        </w:rPr>
        <w:t>2*</w:t>
      </w:r>
    </w:p>
    <w:p w14:paraId="629849B1" w14:textId="77777777" w:rsidR="005E4DC0" w:rsidRDefault="00931588">
      <w:pPr>
        <w:spacing w:after="375"/>
        <w:ind w:left="11" w:right="-4"/>
      </w:pPr>
      <w:r>
        <w:rPr>
          <w:noProof/>
        </w:rPr>
        <mc:AlternateContent>
          <mc:Choice Requires="wpg">
            <w:drawing>
              <wp:inline distT="0" distB="0" distL="0" distR="0" wp14:anchorId="7FD7221B" wp14:editId="7B44730C">
                <wp:extent cx="6936566" cy="40684"/>
                <wp:effectExtent l="0" t="0" r="0" b="0"/>
                <wp:docPr id="31089" name="Group 31089"/>
                <wp:cNvGraphicFramePr/>
                <a:graphic xmlns:a="http://schemas.openxmlformats.org/drawingml/2006/main">
                  <a:graphicData uri="http://schemas.microsoft.com/office/word/2010/wordprocessingGroup">
                    <wpg:wgp>
                      <wpg:cNvGrpSpPr/>
                      <wpg:grpSpPr>
                        <a:xfrm>
                          <a:off x="0" y="0"/>
                          <a:ext cx="6936566" cy="40684"/>
                          <a:chOff x="0" y="0"/>
                          <a:chExt cx="6936566" cy="40684"/>
                        </a:xfrm>
                      </wpg:grpSpPr>
                      <wps:wsp>
                        <wps:cNvPr id="36621" name="Shape 36621"/>
                        <wps:cNvSpPr/>
                        <wps:spPr>
                          <a:xfrm>
                            <a:off x="0" y="0"/>
                            <a:ext cx="6936566" cy="40684"/>
                          </a:xfrm>
                          <a:custGeom>
                            <a:avLst/>
                            <a:gdLst/>
                            <a:ahLst/>
                            <a:cxnLst/>
                            <a:rect l="0" t="0" r="0" b="0"/>
                            <a:pathLst>
                              <a:path w="6936566" h="40684">
                                <a:moveTo>
                                  <a:pt x="0" y="0"/>
                                </a:moveTo>
                                <a:lnTo>
                                  <a:pt x="6936566" y="0"/>
                                </a:lnTo>
                                <a:lnTo>
                                  <a:pt x="6936566" y="40684"/>
                                </a:lnTo>
                                <a:lnTo>
                                  <a:pt x="0" y="40684"/>
                                </a:lnTo>
                                <a:lnTo>
                                  <a:pt x="0" y="0"/>
                                </a:lnTo>
                              </a:path>
                            </a:pathLst>
                          </a:custGeom>
                          <a:ln w="0" cap="flat">
                            <a:miter lim="127000"/>
                          </a:ln>
                        </wps:spPr>
                        <wps:style>
                          <a:lnRef idx="0">
                            <a:srgbClr val="000000">
                              <a:alpha val="0"/>
                            </a:srgbClr>
                          </a:lnRef>
                          <a:fillRef idx="1">
                            <a:srgbClr val="E0E4E8"/>
                          </a:fillRef>
                          <a:effectRef idx="0">
                            <a:scrgbClr r="0" g="0" b="0"/>
                          </a:effectRef>
                          <a:fontRef idx="none"/>
                        </wps:style>
                        <wps:bodyPr/>
                      </wps:wsp>
                      <wps:wsp>
                        <wps:cNvPr id="36622" name="Shape 36622"/>
                        <wps:cNvSpPr/>
                        <wps:spPr>
                          <a:xfrm>
                            <a:off x="0" y="30514"/>
                            <a:ext cx="6936566" cy="10170"/>
                          </a:xfrm>
                          <a:custGeom>
                            <a:avLst/>
                            <a:gdLst/>
                            <a:ahLst/>
                            <a:cxnLst/>
                            <a:rect l="0" t="0" r="0" b="0"/>
                            <a:pathLst>
                              <a:path w="6936566" h="10170">
                                <a:moveTo>
                                  <a:pt x="0" y="0"/>
                                </a:moveTo>
                                <a:lnTo>
                                  <a:pt x="6936566" y="0"/>
                                </a:lnTo>
                                <a:lnTo>
                                  <a:pt x="6936566" y="10170"/>
                                </a:lnTo>
                                <a:lnTo>
                                  <a:pt x="0" y="10170"/>
                                </a:lnTo>
                                <a:lnTo>
                                  <a:pt x="0" y="0"/>
                                </a:lnTo>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inline>
            </w:drawing>
          </mc:Choice>
          <mc:Fallback xmlns:a="http://schemas.openxmlformats.org/drawingml/2006/main">
            <w:pict>
              <v:group id="Group 31089" style="width:546.186pt;height:3.20343pt;mso-position-horizontal-relative:char;mso-position-vertical-relative:line" coordsize="69365,406">
                <v:shape id="Shape 36623" style="position:absolute;width:69365;height:406;left:0;top:0;" coordsize="6936566,40684" path="m0,0l6936566,0l6936566,40684l0,40684l0,0">
                  <v:stroke weight="0pt" endcap="flat" joinstyle="miter" miterlimit="10" on="false" color="#000000" opacity="0"/>
                  <v:fill on="true" color="#e0e4e8"/>
                </v:shape>
                <v:shape id="Shape 36624" style="position:absolute;width:69365;height:101;left:0;top:305;" coordsize="6936566,10170" path="m0,0l6936566,0l6936566,10170l0,10170l0,0">
                  <v:stroke weight="0pt" endcap="flat" joinstyle="miter" miterlimit="10" on="false" color="#000000" opacity="0"/>
                  <v:fill on="true" color="#ededed"/>
                </v:shape>
              </v:group>
            </w:pict>
          </mc:Fallback>
        </mc:AlternateContent>
      </w:r>
    </w:p>
    <w:p w14:paraId="074FEA8A" w14:textId="77777777" w:rsidR="005E4DC0" w:rsidRDefault="00931588">
      <w:pPr>
        <w:pStyle w:val="1"/>
        <w:ind w:left="6"/>
        <w:rPr>
          <w:rFonts w:hint="eastAsia"/>
        </w:rPr>
      </w:pPr>
      <w:r>
        <w:rPr>
          <w:b/>
        </w:rPr>
        <w:t>摘要</w:t>
      </w:r>
      <w:r>
        <w:rPr>
          <w:color w:val="0366D6"/>
        </w:rPr>
        <w:t xml:space="preserve"> </w:t>
      </w:r>
    </w:p>
    <w:p w14:paraId="1FE55E71" w14:textId="77777777" w:rsidR="005E4DC0" w:rsidRDefault="00931588">
      <w:pPr>
        <w:spacing w:after="232"/>
        <w:ind w:left="11" w:right="-4"/>
      </w:pPr>
      <w:r>
        <w:rPr>
          <w:noProof/>
        </w:rPr>
        <mc:AlternateContent>
          <mc:Choice Requires="wpg">
            <w:drawing>
              <wp:inline distT="0" distB="0" distL="0" distR="0" wp14:anchorId="0BFE7C56" wp14:editId="3CF4B527">
                <wp:extent cx="6936566" cy="10171"/>
                <wp:effectExtent l="0" t="0" r="0" b="0"/>
                <wp:docPr id="31090" name="Group 31090"/>
                <wp:cNvGraphicFramePr/>
                <a:graphic xmlns:a="http://schemas.openxmlformats.org/drawingml/2006/main">
                  <a:graphicData uri="http://schemas.microsoft.com/office/word/2010/wordprocessingGroup">
                    <wpg:wgp>
                      <wpg:cNvGrpSpPr/>
                      <wpg:grpSpPr>
                        <a:xfrm>
                          <a:off x="0" y="0"/>
                          <a:ext cx="6936566" cy="10171"/>
                          <a:chOff x="0" y="0"/>
                          <a:chExt cx="6936566" cy="10171"/>
                        </a:xfrm>
                      </wpg:grpSpPr>
                      <wps:wsp>
                        <wps:cNvPr id="36625" name="Shape 36625"/>
                        <wps:cNvSpPr/>
                        <wps:spPr>
                          <a:xfrm>
                            <a:off x="0" y="0"/>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31090" style="width:546.186pt;height:0.800903pt;mso-position-horizontal-relative:char;mso-position-vertical-relative:line" coordsize="69365,101">
                <v:shape id="Shape 36626" style="position:absolute;width:69365;height:101;left:0;top:0;" coordsize="6936566,10171" path="m0,0l6936566,0l6936566,10171l0,10171l0,0">
                  <v:stroke weight="0pt" endcap="flat" joinstyle="miter" miterlimit="10" on="false" color="#000000" opacity="0"/>
                  <v:fill on="true" color="#eaecef"/>
                </v:shape>
              </v:group>
            </w:pict>
          </mc:Fallback>
        </mc:AlternateContent>
      </w:r>
    </w:p>
    <w:p w14:paraId="3D64D245" w14:textId="77777777" w:rsidR="005E4DC0" w:rsidRDefault="00931588">
      <w:pPr>
        <w:spacing w:after="4" w:line="305" w:lineRule="auto"/>
        <w:ind w:left="6" w:hanging="10"/>
      </w:pPr>
      <w:r>
        <w:rPr>
          <w:rFonts w:ascii="微软雅黑" w:eastAsia="微软雅黑" w:hAnsi="微软雅黑" w:cs="微软雅黑"/>
          <w:color w:val="24282E"/>
          <w:sz w:val="19"/>
        </w:rPr>
        <w:t>电动汽⻋充电基础设施的快速扩张对运营监控与故障诊断提出了严峻挑战。深度学习⽅法在充电站异常检测中取得了先进性能,但</w:t>
      </w:r>
    </w:p>
    <w:p w14:paraId="5FE363E7" w14:textId="77777777" w:rsidR="005E4DC0" w:rsidRDefault="00931588">
      <w:pPr>
        <w:spacing w:after="4" w:line="305" w:lineRule="auto"/>
        <w:ind w:left="6" w:hanging="10"/>
      </w:pPr>
      <w:r>
        <w:rPr>
          <w:rFonts w:ascii="微软雅黑" w:eastAsia="微软雅黑" w:hAnsi="微软雅黑" w:cs="微软雅黑"/>
          <w:color w:val="24282E"/>
          <w:sz w:val="19"/>
        </w:rPr>
        <w:t>现有⼯作普遍缺乏对</w:t>
      </w:r>
      <w:r>
        <w:rPr>
          <w:rFonts w:ascii="微软雅黑" w:eastAsia="微软雅黑" w:hAnsi="微软雅黑" w:cs="微软雅黑"/>
          <w:b/>
          <w:sz w:val="19"/>
        </w:rPr>
        <w:t>跨站点泛化能⼒</w:t>
      </w:r>
      <w:r>
        <w:rPr>
          <w:rFonts w:ascii="微软雅黑" w:eastAsia="微软雅黑" w:hAnsi="微软雅黑" w:cs="微软雅黑"/>
          <w:color w:val="24282E"/>
          <w:sz w:val="19"/>
        </w:rPr>
        <w:t>与</w:t>
      </w:r>
      <w:r>
        <w:rPr>
          <w:rFonts w:ascii="微软雅黑" w:eastAsia="微软雅黑" w:hAnsi="微软雅黑" w:cs="微软雅黑"/>
          <w:b/>
          <w:sz w:val="19"/>
        </w:rPr>
        <w:t>监管合规要求</w:t>
      </w:r>
      <w:r>
        <w:rPr>
          <w:rFonts w:ascii="微软雅黑" w:eastAsia="微软雅黑" w:hAnsi="微软雅黑" w:cs="微软雅黑"/>
          <w:color w:val="24282E"/>
          <w:sz w:val="19"/>
        </w:rPr>
        <w:t>的系统性回应。本⽂基于深圳 30 座充电站真实运营数据(155.6 万采样点,2020-2024),提出⼀个⾯向充电站⽹络的可解释异常检测框架,主要包含三个模块:(1)</w:t>
      </w:r>
      <w:r>
        <w:rPr>
          <w:rFonts w:ascii="微软雅黑" w:eastAsia="微软雅黑" w:hAnsi="微软雅黑" w:cs="微软雅黑"/>
          <w:b/>
          <w:sz w:val="19"/>
        </w:rPr>
        <w:t>多模态注意⼒融合检测器</w:t>
      </w:r>
      <w:r>
        <w:rPr>
          <w:rFonts w:ascii="微软雅黑" w:eastAsia="微软雅黑" w:hAnsi="微软雅黑" w:cs="微软雅黑"/>
          <w:sz w:val="19"/>
        </w:rPr>
        <w:t>(Token-Attn)</w:t>
      </w:r>
    </w:p>
    <w:p w14:paraId="317C6FA8" w14:textId="77777777" w:rsidR="005E4DC0" w:rsidRDefault="00931588">
      <w:pPr>
        <w:spacing w:after="4" w:line="305" w:lineRule="auto"/>
        <w:ind w:left="6" w:hanging="10"/>
      </w:pPr>
      <w:r>
        <w:rPr>
          <w:rFonts w:ascii="微软雅黑" w:eastAsia="微软雅黑" w:hAnsi="微软雅黑" w:cs="微软雅黑"/>
          <w:color w:val="24282E"/>
          <w:sz w:val="19"/>
        </w:rPr>
        <w:t>⸺双向 LSTM 将六通道原始充电时序(电压/电流/功率/枪温 1/枪温 2/SOC)编码后按充电进度分段池化为序列 token,与 62 维领域</w:t>
      </w:r>
    </w:p>
    <w:p w14:paraId="27A93074" w14:textId="39FFA4A2" w:rsidR="00A042F1" w:rsidRDefault="00931588">
      <w:pPr>
        <w:spacing w:after="4" w:line="305" w:lineRule="auto"/>
        <w:ind w:left="6" w:hanging="10"/>
        <w:rPr>
          <w:rFonts w:ascii="微软雅黑" w:eastAsia="微软雅黑" w:hAnsi="微软雅黑" w:cs="微软雅黑" w:hint="eastAsia"/>
          <w:color w:val="24282E"/>
          <w:sz w:val="19"/>
        </w:rPr>
      </w:pPr>
      <w:r>
        <w:rPr>
          <w:rFonts w:ascii="微软雅黑" w:eastAsia="微软雅黑" w:hAnsi="微软雅黑" w:cs="微软雅黑"/>
          <w:color w:val="24282E"/>
          <w:sz w:val="19"/>
        </w:rPr>
        <w:t>⼿⼯特征 token 及 [CLS] token ⼀同送⼊ Transformer 编码器做跨模态⾃注意⼒融合,让"序列"与"特征"在同⼀注意⼒空间互相查阅;(2)</w:t>
      </w:r>
      <w:r>
        <w:rPr>
          <w:rFonts w:ascii="微软雅黑" w:eastAsia="微软雅黑" w:hAnsi="微软雅黑" w:cs="微软雅黑"/>
          <w:b/>
          <w:sz w:val="19"/>
        </w:rPr>
        <w:t>多视⻆可解释归因</w:t>
      </w:r>
      <w:r>
        <w:rPr>
          <w:rFonts w:ascii="微软雅黑" w:eastAsia="微软雅黑" w:hAnsi="微软雅黑" w:cs="微软雅黑"/>
          <w:color w:val="24282E"/>
          <w:sz w:val="19"/>
        </w:rPr>
        <w:t>⸺⾃注意⼒权重对序列×特征做归因(哪个特征在关注哪段充电进程),置换特征重要性与</w:t>
      </w:r>
    </w:p>
    <w:p w14:paraId="0DD4589A" w14:textId="0C9412FD" w:rsidR="005E4DC0" w:rsidRDefault="00931588">
      <w:pPr>
        <w:spacing w:after="4" w:line="305" w:lineRule="auto"/>
        <w:ind w:left="6" w:hanging="10"/>
      </w:pPr>
      <w:r>
        <w:rPr>
          <w:rFonts w:ascii="微软雅黑" w:eastAsia="微软雅黑" w:hAnsi="微软雅黑" w:cs="微软雅黑"/>
          <w:color w:val="24282E"/>
          <w:sz w:val="19"/>
        </w:rPr>
        <w:t>特征组消融对⼿⼯</w:t>
      </w:r>
    </w:p>
    <w:p w14:paraId="2657B3E2" w14:textId="77777777" w:rsidR="005E4DC0" w:rsidRDefault="00931588">
      <w:pPr>
        <w:spacing w:after="4" w:line="305" w:lineRule="auto"/>
        <w:ind w:left="6" w:hanging="10"/>
      </w:pPr>
      <w:r>
        <w:rPr>
          <w:rFonts w:ascii="微软雅黑" w:eastAsia="微软雅黑" w:hAnsi="微软雅黑" w:cs="微软雅黑"/>
          <w:color w:val="24282E"/>
          <w:sz w:val="19"/>
        </w:rPr>
        <w:t>特征分⽀做逐特征/逐组归因,三者交叉印证;(3)⾯向欧盟《⼈⼯智能法案》(EU AI Act)⾼⻛险系统的合规治理⽅案。在新站点</w:t>
      </w:r>
    </w:p>
    <w:p w14:paraId="0D9CB7D3" w14:textId="77777777" w:rsidR="005E4DC0" w:rsidRDefault="00931588">
      <w:pPr>
        <w:spacing w:after="43"/>
        <w:ind w:left="6" w:right="46" w:hanging="10"/>
        <w:jc w:val="both"/>
      </w:pPr>
      <w:r>
        <w:rPr>
          <w:rFonts w:ascii="微软雅黑" w:eastAsia="微软雅黑" w:hAnsi="微软雅黑" w:cs="微软雅黑"/>
          <w:color w:val="24282E"/>
          <w:sz w:val="19"/>
        </w:rPr>
        <w:t xml:space="preserve">(owner 7-8)跨域测试中,Token-Attn 经 7-seed 概率集成达到 </w:t>
      </w:r>
      <w:r>
        <w:rPr>
          <w:rFonts w:ascii="微软雅黑" w:eastAsia="微软雅黑" w:hAnsi="微软雅黑" w:cs="微软雅黑"/>
          <w:sz w:val="19"/>
        </w:rPr>
        <w:t>PR-AUC=0.918</w:t>
      </w:r>
      <w:r>
        <w:rPr>
          <w:rFonts w:ascii="微软雅黑" w:eastAsia="微软雅黑" w:hAnsi="微软雅黑" w:cs="微软雅黑"/>
          <w:b/>
          <w:sz w:val="19"/>
        </w:rPr>
        <w:t>、</w:t>
      </w:r>
      <w:r>
        <w:rPr>
          <w:rFonts w:ascii="微软雅黑" w:eastAsia="微软雅黑" w:hAnsi="微软雅黑" w:cs="微软雅黑"/>
          <w:sz w:val="19"/>
        </w:rPr>
        <w:t>AUC=0.990</w:t>
      </w:r>
      <w:r>
        <w:rPr>
          <w:rFonts w:ascii="微软雅黑" w:eastAsia="微软雅黑" w:hAnsi="微软雅黑" w:cs="微软雅黑"/>
          <w:b/>
          <w:sz w:val="19"/>
        </w:rPr>
        <w:t>、</w:t>
      </w:r>
      <w:r>
        <w:rPr>
          <w:rFonts w:ascii="微软雅黑" w:eastAsia="微软雅黑" w:hAnsi="微软雅黑" w:cs="微软雅黑"/>
          <w:sz w:val="19"/>
        </w:rPr>
        <w:t>F1=0.795(th=0.5)</w:t>
      </w:r>
      <w:r>
        <w:rPr>
          <w:rFonts w:ascii="微软雅黑" w:eastAsia="微软雅黑" w:hAnsi="微软雅黑" w:cs="微软雅黑"/>
          <w:color w:val="24282E"/>
          <w:sz w:val="19"/>
        </w:rPr>
        <w:t>,显著超越 LightGBM(0.868,bootstrap p=0.026,边际显著),⾼于 XGBoost(0.887,未达显著),为端到端纯 Bi-LSTM(PR-AUC=0.351)的约</w:t>
      </w:r>
    </w:p>
    <w:p w14:paraId="5044E182" w14:textId="77777777" w:rsidR="005E4DC0" w:rsidRDefault="00931588">
      <w:pPr>
        <w:spacing w:after="3" w:line="307" w:lineRule="auto"/>
        <w:ind w:left="6" w:right="75" w:hanging="10"/>
        <w:jc w:val="both"/>
      </w:pPr>
      <w:r>
        <w:rPr>
          <w:rFonts w:ascii="微软雅黑" w:eastAsia="微软雅黑" w:hAnsi="微软雅黑" w:cs="微软雅黑"/>
          <w:color w:val="24282E"/>
          <w:sz w:val="19"/>
        </w:rPr>
        <w:t>2.6 倍。三路归因交叉印证:枪温统计量(t2_max/t1_mean 等)与基础统计量主导判别,异常时模型注意⼒从充电启动段向中后段漂移,共同⽀撑"⼤电流⾼功率段突然中断 + 温度异常"的故障指纹。本⽂进⼀步通过故障分型与终⽌⽅式对⽐揭示异常成因机制:故障本质是⾼功率未衰减的异常终⽌(电⽓中断型 95.3% 为主、超温型 4.7%),枪温升⾼是充电时⻓的伴随结果⽽⾮中断原因。在此基</w:t>
      </w:r>
    </w:p>
    <w:p w14:paraId="7D8C197B" w14:textId="77777777" w:rsidR="005E4DC0" w:rsidRDefault="00931588">
      <w:pPr>
        <w:spacing w:after="199" w:line="305" w:lineRule="auto"/>
        <w:ind w:left="6" w:hanging="10"/>
      </w:pPr>
      <w:r>
        <w:rPr>
          <w:rFonts w:ascii="微软雅黑" w:eastAsia="微软雅黑" w:hAnsi="微软雅黑" w:cs="微软雅黑"/>
          <w:color w:val="24282E"/>
          <w:sz w:val="19"/>
        </w:rPr>
        <w:t>础上,本⽂提出⾯向 EU AI Act 的合规⽅案(义务映射、审计⽇志、模型卡⽚),为关键基础设施 AI 系统的透明性与可追责性提供完整技术落地⽅案。</w:t>
      </w:r>
    </w:p>
    <w:p w14:paraId="02BA7B0C" w14:textId="77777777" w:rsidR="005E4DC0" w:rsidRDefault="00931588">
      <w:pPr>
        <w:spacing w:after="35" w:line="305" w:lineRule="auto"/>
        <w:ind w:left="6" w:hanging="10"/>
      </w:pPr>
      <w:r>
        <w:rPr>
          <w:rFonts w:ascii="微软雅黑" w:eastAsia="微软雅黑" w:hAnsi="微软雅黑" w:cs="微软雅黑"/>
          <w:b/>
          <w:sz w:val="19"/>
        </w:rPr>
        <w:t>关键词</w:t>
      </w:r>
      <w:r>
        <w:rPr>
          <w:rFonts w:ascii="微软雅黑" w:eastAsia="微软雅黑" w:hAnsi="微软雅黑" w:cs="微软雅黑"/>
          <w:color w:val="24282E"/>
          <w:sz w:val="19"/>
        </w:rPr>
        <w:t>:可解释⼈⼯智能,异常检测,电动汽⻋充电站,注意⼒融合,置换特征重要性,成因机制分析,EU AI Act,关键基础设施</w:t>
      </w:r>
    </w:p>
    <w:p w14:paraId="470F3C79" w14:textId="77777777" w:rsidR="005E4DC0" w:rsidRDefault="00931588">
      <w:pPr>
        <w:spacing w:after="371"/>
        <w:ind w:left="11" w:right="-4"/>
      </w:pPr>
      <w:r>
        <w:rPr>
          <w:noProof/>
        </w:rPr>
        <mc:AlternateContent>
          <mc:Choice Requires="wpg">
            <w:drawing>
              <wp:inline distT="0" distB="0" distL="0" distR="0" wp14:anchorId="12D65EB4" wp14:editId="44FBE872">
                <wp:extent cx="6936566" cy="40683"/>
                <wp:effectExtent l="0" t="0" r="0" b="0"/>
                <wp:docPr id="31091" name="Group 31091"/>
                <wp:cNvGraphicFramePr/>
                <a:graphic xmlns:a="http://schemas.openxmlformats.org/drawingml/2006/main">
                  <a:graphicData uri="http://schemas.microsoft.com/office/word/2010/wordprocessingGroup">
                    <wpg:wgp>
                      <wpg:cNvGrpSpPr/>
                      <wpg:grpSpPr>
                        <a:xfrm>
                          <a:off x="0" y="0"/>
                          <a:ext cx="6936566" cy="40683"/>
                          <a:chOff x="0" y="0"/>
                          <a:chExt cx="6936566" cy="40683"/>
                        </a:xfrm>
                      </wpg:grpSpPr>
                      <wps:wsp>
                        <wps:cNvPr id="36627" name="Shape 36627"/>
                        <wps:cNvSpPr/>
                        <wps:spPr>
                          <a:xfrm>
                            <a:off x="0" y="0"/>
                            <a:ext cx="6936566" cy="40683"/>
                          </a:xfrm>
                          <a:custGeom>
                            <a:avLst/>
                            <a:gdLst/>
                            <a:ahLst/>
                            <a:cxnLst/>
                            <a:rect l="0" t="0" r="0" b="0"/>
                            <a:pathLst>
                              <a:path w="6936566" h="40683">
                                <a:moveTo>
                                  <a:pt x="0" y="0"/>
                                </a:moveTo>
                                <a:lnTo>
                                  <a:pt x="6936566" y="0"/>
                                </a:lnTo>
                                <a:lnTo>
                                  <a:pt x="6936566" y="40683"/>
                                </a:lnTo>
                                <a:lnTo>
                                  <a:pt x="0" y="40683"/>
                                </a:lnTo>
                                <a:lnTo>
                                  <a:pt x="0" y="0"/>
                                </a:lnTo>
                              </a:path>
                            </a:pathLst>
                          </a:custGeom>
                          <a:ln w="0" cap="flat">
                            <a:miter lim="127000"/>
                          </a:ln>
                        </wps:spPr>
                        <wps:style>
                          <a:lnRef idx="0">
                            <a:srgbClr val="000000">
                              <a:alpha val="0"/>
                            </a:srgbClr>
                          </a:lnRef>
                          <a:fillRef idx="1">
                            <a:srgbClr val="E0E4E8"/>
                          </a:fillRef>
                          <a:effectRef idx="0">
                            <a:scrgbClr r="0" g="0" b="0"/>
                          </a:effectRef>
                          <a:fontRef idx="none"/>
                        </wps:style>
                        <wps:bodyPr/>
                      </wps:wsp>
                      <wps:wsp>
                        <wps:cNvPr id="36628" name="Shape 36628"/>
                        <wps:cNvSpPr/>
                        <wps:spPr>
                          <a:xfrm>
                            <a:off x="0" y="30512"/>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inline>
            </w:drawing>
          </mc:Choice>
          <mc:Fallback xmlns:a="http://schemas.openxmlformats.org/drawingml/2006/main">
            <w:pict>
              <v:group id="Group 31091" style="width:546.186pt;height:3.2034pt;mso-position-horizontal-relative:char;mso-position-vertical-relative:line" coordsize="69365,406">
                <v:shape id="Shape 36629" style="position:absolute;width:69365;height:406;left:0;top:0;" coordsize="6936566,40683" path="m0,0l6936566,0l6936566,40683l0,40683l0,0">
                  <v:stroke weight="0pt" endcap="flat" joinstyle="miter" miterlimit="10" on="false" color="#000000" opacity="0"/>
                  <v:fill on="true" color="#e0e4e8"/>
                </v:shape>
                <v:shape id="Shape 36630" style="position:absolute;width:69365;height:101;left:0;top:305;" coordsize="6936566,10171" path="m0,0l6936566,0l6936566,10171l0,10171l0,0">
                  <v:stroke weight="0pt" endcap="flat" joinstyle="miter" miterlimit="10" on="false" color="#000000" opacity="0"/>
                  <v:fill on="true" color="#ededed"/>
                </v:shape>
              </v:group>
            </w:pict>
          </mc:Fallback>
        </mc:AlternateContent>
      </w:r>
    </w:p>
    <w:p w14:paraId="2E8FC1E1" w14:textId="77777777" w:rsidR="005E4DC0" w:rsidRDefault="00931588">
      <w:pPr>
        <w:pStyle w:val="1"/>
        <w:ind w:left="6"/>
        <w:rPr>
          <w:rFonts w:hint="eastAsia"/>
        </w:rPr>
      </w:pPr>
      <w:r>
        <w:t xml:space="preserve">1. </w:t>
      </w:r>
      <w:r>
        <w:rPr>
          <w:b/>
        </w:rPr>
        <w:t>引⾔</w:t>
      </w:r>
      <w:r>
        <w:rPr>
          <w:color w:val="0366D6"/>
        </w:rPr>
        <w:t xml:space="preserve"> </w:t>
      </w:r>
    </w:p>
    <w:p w14:paraId="5C0DB000" w14:textId="77777777" w:rsidR="005E4DC0" w:rsidRDefault="00931588">
      <w:pPr>
        <w:spacing w:after="228"/>
        <w:ind w:left="11" w:right="-4"/>
      </w:pPr>
      <w:r>
        <w:rPr>
          <w:noProof/>
        </w:rPr>
        <mc:AlternateContent>
          <mc:Choice Requires="wpg">
            <w:drawing>
              <wp:inline distT="0" distB="0" distL="0" distR="0" wp14:anchorId="0F113B14" wp14:editId="231423B1">
                <wp:extent cx="6936566" cy="10171"/>
                <wp:effectExtent l="0" t="0" r="0" b="0"/>
                <wp:docPr id="31092" name="Group 31092"/>
                <wp:cNvGraphicFramePr/>
                <a:graphic xmlns:a="http://schemas.openxmlformats.org/drawingml/2006/main">
                  <a:graphicData uri="http://schemas.microsoft.com/office/word/2010/wordprocessingGroup">
                    <wpg:wgp>
                      <wpg:cNvGrpSpPr/>
                      <wpg:grpSpPr>
                        <a:xfrm>
                          <a:off x="0" y="0"/>
                          <a:ext cx="6936566" cy="10171"/>
                          <a:chOff x="0" y="0"/>
                          <a:chExt cx="6936566" cy="10171"/>
                        </a:xfrm>
                      </wpg:grpSpPr>
                      <wps:wsp>
                        <wps:cNvPr id="36631" name="Shape 36631"/>
                        <wps:cNvSpPr/>
                        <wps:spPr>
                          <a:xfrm>
                            <a:off x="0" y="0"/>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31092" style="width:546.186pt;height:0.800903pt;mso-position-horizontal-relative:char;mso-position-vertical-relative:line" coordsize="69365,101">
                <v:shape id="Shape 36632" style="position:absolute;width:69365;height:101;left:0;top:0;" coordsize="6936566,10171" path="m0,0l6936566,0l6936566,10171l0,10171l0,0">
                  <v:stroke weight="0pt" endcap="flat" joinstyle="miter" miterlimit="10" on="false" color="#000000" opacity="0"/>
                  <v:fill on="true" color="#eaecef"/>
                </v:shape>
              </v:group>
            </w:pict>
          </mc:Fallback>
        </mc:AlternateContent>
      </w:r>
    </w:p>
    <w:p w14:paraId="1425D2FC" w14:textId="77777777" w:rsidR="005E4DC0" w:rsidRDefault="00931588">
      <w:pPr>
        <w:spacing w:after="201" w:line="305" w:lineRule="auto"/>
        <w:ind w:left="6" w:hanging="10"/>
      </w:pPr>
      <w:r>
        <w:rPr>
          <w:rFonts w:ascii="微软雅黑" w:eastAsia="微软雅黑" w:hAnsi="微软雅黑" w:cs="微软雅黑"/>
          <w:color w:val="24282E"/>
          <w:sz w:val="19"/>
        </w:rPr>
        <w:t>全球电动汽⻋充电基础设施正处于规模化扩张阶段。深度学习⽅法⸺尤其是 LSTM、Transformer 与图神经⽹络⸺已在充电站异常检测中展现出优于传统统计⽅法的性能 [1, 2]。然⽽,该领域存在两个关键缺⼝尚未得到系统性回应:</w:t>
      </w:r>
    </w:p>
    <w:p w14:paraId="0A1BBF01" w14:textId="77777777" w:rsidR="005E4DC0" w:rsidRDefault="00931588">
      <w:pPr>
        <w:spacing w:after="4" w:line="305" w:lineRule="auto"/>
        <w:ind w:left="6" w:hanging="10"/>
      </w:pPr>
      <w:r>
        <w:rPr>
          <w:rFonts w:ascii="微软雅黑" w:eastAsia="微软雅黑" w:hAnsi="微软雅黑" w:cs="微软雅黑"/>
          <w:b/>
          <w:sz w:val="19"/>
        </w:rPr>
        <w:lastRenderedPageBreak/>
        <w:t>第⼀</w:t>
      </w:r>
      <w:r>
        <w:rPr>
          <w:rFonts w:ascii="微软雅黑" w:eastAsia="微软雅黑" w:hAnsi="微软雅黑" w:cs="微软雅黑"/>
          <w:sz w:val="19"/>
        </w:rPr>
        <w:t>,</w:t>
      </w:r>
      <w:r>
        <w:rPr>
          <w:rFonts w:ascii="微软雅黑" w:eastAsia="微软雅黑" w:hAnsi="微软雅黑" w:cs="微软雅黑"/>
          <w:b/>
          <w:sz w:val="19"/>
        </w:rPr>
        <w:t>跨站点泛化问题。</w:t>
      </w:r>
      <w:r>
        <w:rPr>
          <w:rFonts w:ascii="微软雅黑" w:eastAsia="微软雅黑" w:hAnsi="微软雅黑" w:cs="微软雅黑"/>
          <w:color w:val="24282E"/>
          <w:sz w:val="19"/>
        </w:rPr>
        <w:t xml:space="preserve"> 现有⽅法多在单⼀充电站或分布⼀致的数据上进⾏评估,⽽实际运营中的充电⽹络由地理分布各异、设备型号多样的站点组成。Yang 等⼈ [3] 指出,单全局模型在新站点上的性能会出现显著衰退,其通过站点⾃适应参数⽣成(基于 Hyper-</w:t>
      </w:r>
    </w:p>
    <w:p w14:paraId="657B3857" w14:textId="77777777" w:rsidR="005E4DC0" w:rsidRDefault="00931588">
      <w:pPr>
        <w:spacing w:after="199" w:line="305" w:lineRule="auto"/>
        <w:ind w:left="6" w:hanging="10"/>
      </w:pPr>
      <w:r>
        <w:rPr>
          <w:rFonts w:ascii="微软雅黑" w:eastAsia="微软雅黑" w:hAnsi="微软雅黑" w:cs="微软雅黑"/>
          <w:color w:val="24282E"/>
          <w:sz w:val="19"/>
        </w:rPr>
        <w:t>Network 的个性化策略)使故障召回率提升⾄ 73.56%。然⽽,这类个性化机制显著增加了系统复杂度,尚未有⼯作验证端到端深度时序模型能否在不引⼊复杂参数⾃适应机制的前提下解决跨站点泛化问题。</w:t>
      </w:r>
    </w:p>
    <w:p w14:paraId="432D5D89" w14:textId="77777777" w:rsidR="005E4DC0" w:rsidRDefault="00931588">
      <w:pPr>
        <w:spacing w:after="197" w:line="305" w:lineRule="auto"/>
        <w:ind w:left="6" w:hanging="10"/>
      </w:pPr>
      <w:r>
        <w:rPr>
          <w:rFonts w:ascii="微软雅黑" w:eastAsia="微软雅黑" w:hAnsi="微软雅黑" w:cs="微软雅黑"/>
          <w:b/>
          <w:sz w:val="19"/>
        </w:rPr>
        <w:t>第⼆</w:t>
      </w:r>
      <w:r>
        <w:rPr>
          <w:rFonts w:ascii="微软雅黑" w:eastAsia="微软雅黑" w:hAnsi="微软雅黑" w:cs="微软雅黑"/>
          <w:sz w:val="19"/>
        </w:rPr>
        <w:t>,</w:t>
      </w:r>
      <w:r>
        <w:rPr>
          <w:rFonts w:ascii="微软雅黑" w:eastAsia="微软雅黑" w:hAnsi="微软雅黑" w:cs="微软雅黑"/>
          <w:b/>
          <w:sz w:val="19"/>
        </w:rPr>
        <w:t>监管合规问题。</w:t>
      </w:r>
      <w:r>
        <w:rPr>
          <w:rFonts w:ascii="微软雅黑" w:eastAsia="微软雅黑" w:hAnsi="微软雅黑" w:cs="微软雅黑"/>
          <w:color w:val="24282E"/>
          <w:sz w:val="19"/>
        </w:rPr>
        <w:t xml:space="preserve"> 欧盟《⼈⼯智能法案》[4] 将关键基础设施(包括电⽹与充电⽹络)的 AI 系统归类为"⾼⻛险",强制要求透明性 (第 13 条)、⼈类监督(第 14 条)与⽇志记录(第 12 条)。现有异常检测⽅法普遍缺乏可解释性组件⸺仅输出异常分数,⽆法告知运维⼈员</w:t>
      </w:r>
      <w:r>
        <w:rPr>
          <w:rFonts w:ascii="微软雅黑" w:eastAsia="微软雅黑" w:hAnsi="微软雅黑" w:cs="微软雅黑"/>
          <w:b/>
          <w:sz w:val="19"/>
        </w:rPr>
        <w:t>哪个传感器驱动了告警</w:t>
      </w:r>
      <w:r>
        <w:rPr>
          <w:rFonts w:ascii="微软雅黑" w:eastAsia="微软雅黑" w:hAnsi="微软雅黑" w:cs="微软雅黑"/>
          <w:color w:val="24282E"/>
          <w:sz w:val="19"/>
        </w:rPr>
        <w:t>,这与监管要求之间存在显著鸿沟。</w:t>
      </w:r>
    </w:p>
    <w:p w14:paraId="3E6A3B3E" w14:textId="77777777" w:rsidR="005E4DC0" w:rsidRDefault="00931588">
      <w:pPr>
        <w:spacing w:after="238"/>
        <w:ind w:left="6" w:right="5735" w:hanging="10"/>
      </w:pPr>
      <w:r>
        <w:rPr>
          <w:rFonts w:ascii="微软雅黑" w:eastAsia="微软雅黑" w:hAnsi="微软雅黑" w:cs="微软雅黑"/>
          <w:b/>
          <w:sz w:val="19"/>
        </w:rPr>
        <w:t>本⽂贡献</w:t>
      </w:r>
      <w:r>
        <w:rPr>
          <w:rFonts w:ascii="微软雅黑" w:eastAsia="微软雅黑" w:hAnsi="微软雅黑" w:cs="微软雅黑"/>
          <w:sz w:val="19"/>
        </w:rPr>
        <w:t>:</w:t>
      </w:r>
    </w:p>
    <w:p w14:paraId="0C6F97A3" w14:textId="77777777" w:rsidR="005E4DC0" w:rsidRDefault="00931588">
      <w:pPr>
        <w:numPr>
          <w:ilvl w:val="0"/>
          <w:numId w:val="2"/>
        </w:numPr>
        <w:spacing w:after="47" w:line="305" w:lineRule="auto"/>
        <w:ind w:hanging="296"/>
      </w:pPr>
      <w:r>
        <w:rPr>
          <w:rFonts w:ascii="微软雅黑" w:eastAsia="微软雅黑" w:hAnsi="微软雅黑" w:cs="微软雅黑"/>
          <w:color w:val="24282E"/>
          <w:sz w:val="19"/>
        </w:rPr>
        <w:t>基于深圳 30 座充电站 155.6 万采样点(2020-2024)的实证研究,揭示了充电站异常的核⼼"故障指纹"⸺⼤电流⾼功率段突然中断,表现为末端 SOC 未充满与功率骤降;</w:t>
      </w:r>
    </w:p>
    <w:p w14:paraId="30190116" w14:textId="77777777" w:rsidR="005E4DC0" w:rsidRDefault="00931588">
      <w:pPr>
        <w:numPr>
          <w:ilvl w:val="0"/>
          <w:numId w:val="2"/>
        </w:numPr>
        <w:spacing w:after="37"/>
        <w:ind w:hanging="296"/>
      </w:pPr>
      <w:r>
        <w:rPr>
          <w:rFonts w:ascii="微软雅黑" w:eastAsia="微软雅黑" w:hAnsi="微软雅黑" w:cs="微软雅黑"/>
          <w:color w:val="24282E"/>
          <w:sz w:val="19"/>
        </w:rPr>
        <w:t>构建</w:t>
      </w:r>
      <w:r>
        <w:rPr>
          <w:rFonts w:ascii="微软雅黑" w:eastAsia="微软雅黑" w:hAnsi="微软雅黑" w:cs="微软雅黑"/>
          <w:b/>
          <w:sz w:val="19"/>
        </w:rPr>
        <w:t>多模态注意⼒融合检测模型</w:t>
      </w:r>
      <w:r>
        <w:rPr>
          <w:rFonts w:ascii="微软雅黑" w:eastAsia="微软雅黑" w:hAnsi="微软雅黑" w:cs="微软雅黑"/>
          <w:sz w:val="19"/>
        </w:rPr>
        <w:t xml:space="preserve"> Token-Attn</w:t>
      </w:r>
      <w:r>
        <w:rPr>
          <w:rFonts w:ascii="微软雅黑" w:eastAsia="微软雅黑" w:hAnsi="微软雅黑" w:cs="微软雅黑"/>
          <w:color w:val="24282E"/>
          <w:sz w:val="19"/>
        </w:rPr>
        <w:t>(双向 LSTM 时序 token + 62 维⼿⼯特征 token + [CLS] 联合⾃注意⼒),在跨站点设定(owner 1-6 训练 → owner 7-8 测试)下经 7-seed 概率集成达到 PR-AUC=0.918、AUC=0.990、F1=0.795,显著超越</w:t>
      </w:r>
    </w:p>
    <w:p w14:paraId="4A4B7DA9" w14:textId="77777777" w:rsidR="005E4DC0" w:rsidRDefault="00931588">
      <w:pPr>
        <w:spacing w:after="100"/>
        <w:ind w:left="405" w:right="46" w:hanging="10"/>
        <w:jc w:val="both"/>
      </w:pPr>
      <w:r>
        <w:rPr>
          <w:rFonts w:ascii="微软雅黑" w:eastAsia="微软雅黑" w:hAnsi="微软雅黑" w:cs="微软雅黑"/>
          <w:color w:val="24282E"/>
          <w:sz w:val="19"/>
        </w:rPr>
        <w:t>LightGBM、⾼于 XGBoost,为端到端纯 Bi-LSTM 的约 2.6 倍;</w:t>
      </w:r>
    </w:p>
    <w:p w14:paraId="4D209FF9" w14:textId="77777777" w:rsidR="005E4DC0" w:rsidRDefault="00931588">
      <w:pPr>
        <w:numPr>
          <w:ilvl w:val="0"/>
          <w:numId w:val="2"/>
        </w:numPr>
        <w:spacing w:after="50" w:line="305" w:lineRule="auto"/>
        <w:ind w:hanging="296"/>
      </w:pPr>
      <w:r>
        <w:rPr>
          <w:rFonts w:ascii="微软雅黑" w:eastAsia="微软雅黑" w:hAnsi="微软雅黑" w:cs="微软雅黑"/>
          <w:color w:val="24282E"/>
          <w:sz w:val="19"/>
        </w:rPr>
        <w:t>引⼊</w:t>
      </w:r>
      <w:r>
        <w:rPr>
          <w:rFonts w:ascii="微软雅黑" w:eastAsia="微软雅黑" w:hAnsi="微软雅黑" w:cs="微软雅黑"/>
          <w:b/>
          <w:sz w:val="19"/>
        </w:rPr>
        <w:t>多视⻆可解释归因</w:t>
      </w:r>
      <w:r>
        <w:rPr>
          <w:rFonts w:ascii="微软雅黑" w:eastAsia="微软雅黑" w:hAnsi="微软雅黑" w:cs="微软雅黑"/>
          <w:sz w:val="19"/>
        </w:rPr>
        <w:t xml:space="preserve"> + </w:t>
      </w:r>
      <w:r>
        <w:rPr>
          <w:rFonts w:ascii="微软雅黑" w:eastAsia="微软雅黑" w:hAnsi="微软雅黑" w:cs="微软雅黑"/>
          <w:b/>
          <w:sz w:val="19"/>
        </w:rPr>
        <w:t>成因机制分析</w:t>
      </w:r>
      <w:r>
        <w:rPr>
          <w:rFonts w:ascii="微软雅黑" w:eastAsia="微软雅黑" w:hAnsi="微软雅黑" w:cs="微软雅黑"/>
          <w:color w:val="24282E"/>
          <w:sz w:val="19"/>
        </w:rPr>
        <w:t>(⾃注意⼒序列×特征归因 + 置换特征重要性 + 特征组消融,并通过故障分型与终⽌⽅式对⽐揭示"⾼功率未衰减异常终⽌"的成因机制),⽣成物理可解释的诊断依据,⽀撑运维决策与监管审计;</w:t>
      </w:r>
    </w:p>
    <w:p w14:paraId="77A5FCA7" w14:textId="77777777" w:rsidR="005E4DC0" w:rsidRDefault="00931588">
      <w:pPr>
        <w:numPr>
          <w:ilvl w:val="0"/>
          <w:numId w:val="2"/>
        </w:numPr>
        <w:spacing w:after="35" w:line="305" w:lineRule="auto"/>
        <w:ind w:hanging="296"/>
      </w:pPr>
      <w:r>
        <w:rPr>
          <w:rFonts w:ascii="微软雅黑" w:eastAsia="微软雅黑" w:hAnsi="微软雅黑" w:cs="微软雅黑"/>
          <w:color w:val="24282E"/>
          <w:sz w:val="19"/>
        </w:rPr>
        <w:t>提出⾯向 EU AI Act 合规的可解释异常检测治理⽅案,包含义务映射表、审计⽇志模板与模型卡⽚(Model Card),为关键基础设施 AI 系统的合规落地提供完整⽅案。</w:t>
      </w:r>
    </w:p>
    <w:p w14:paraId="35DA93C5" w14:textId="77777777" w:rsidR="005E4DC0" w:rsidRDefault="00931588">
      <w:pPr>
        <w:spacing w:after="377"/>
        <w:ind w:left="11" w:right="-4"/>
      </w:pPr>
      <w:r>
        <w:rPr>
          <w:noProof/>
        </w:rPr>
        <mc:AlternateContent>
          <mc:Choice Requires="wpg">
            <w:drawing>
              <wp:inline distT="0" distB="0" distL="0" distR="0" wp14:anchorId="56AA0455" wp14:editId="53751236">
                <wp:extent cx="6936566" cy="40684"/>
                <wp:effectExtent l="0" t="0" r="0" b="0"/>
                <wp:docPr id="31789" name="Group 31789"/>
                <wp:cNvGraphicFramePr/>
                <a:graphic xmlns:a="http://schemas.openxmlformats.org/drawingml/2006/main">
                  <a:graphicData uri="http://schemas.microsoft.com/office/word/2010/wordprocessingGroup">
                    <wpg:wgp>
                      <wpg:cNvGrpSpPr/>
                      <wpg:grpSpPr>
                        <a:xfrm>
                          <a:off x="0" y="0"/>
                          <a:ext cx="6936566" cy="40684"/>
                          <a:chOff x="0" y="0"/>
                          <a:chExt cx="6936566" cy="40684"/>
                        </a:xfrm>
                      </wpg:grpSpPr>
                      <wps:wsp>
                        <wps:cNvPr id="36633" name="Shape 36633"/>
                        <wps:cNvSpPr/>
                        <wps:spPr>
                          <a:xfrm>
                            <a:off x="0" y="0"/>
                            <a:ext cx="6936566" cy="40684"/>
                          </a:xfrm>
                          <a:custGeom>
                            <a:avLst/>
                            <a:gdLst/>
                            <a:ahLst/>
                            <a:cxnLst/>
                            <a:rect l="0" t="0" r="0" b="0"/>
                            <a:pathLst>
                              <a:path w="6936566" h="40684">
                                <a:moveTo>
                                  <a:pt x="0" y="0"/>
                                </a:moveTo>
                                <a:lnTo>
                                  <a:pt x="6936566" y="0"/>
                                </a:lnTo>
                                <a:lnTo>
                                  <a:pt x="6936566" y="40684"/>
                                </a:lnTo>
                                <a:lnTo>
                                  <a:pt x="0" y="40684"/>
                                </a:lnTo>
                                <a:lnTo>
                                  <a:pt x="0" y="0"/>
                                </a:lnTo>
                              </a:path>
                            </a:pathLst>
                          </a:custGeom>
                          <a:ln w="0" cap="flat">
                            <a:miter lim="127000"/>
                          </a:ln>
                        </wps:spPr>
                        <wps:style>
                          <a:lnRef idx="0">
                            <a:srgbClr val="000000">
                              <a:alpha val="0"/>
                            </a:srgbClr>
                          </a:lnRef>
                          <a:fillRef idx="1">
                            <a:srgbClr val="E0E4E8"/>
                          </a:fillRef>
                          <a:effectRef idx="0">
                            <a:scrgbClr r="0" g="0" b="0"/>
                          </a:effectRef>
                          <a:fontRef idx="none"/>
                        </wps:style>
                        <wps:bodyPr/>
                      </wps:wsp>
                      <wps:wsp>
                        <wps:cNvPr id="36634" name="Shape 36634"/>
                        <wps:cNvSpPr/>
                        <wps:spPr>
                          <a:xfrm>
                            <a:off x="0" y="30514"/>
                            <a:ext cx="6936566" cy="10170"/>
                          </a:xfrm>
                          <a:custGeom>
                            <a:avLst/>
                            <a:gdLst/>
                            <a:ahLst/>
                            <a:cxnLst/>
                            <a:rect l="0" t="0" r="0" b="0"/>
                            <a:pathLst>
                              <a:path w="6936566" h="10170">
                                <a:moveTo>
                                  <a:pt x="0" y="0"/>
                                </a:moveTo>
                                <a:lnTo>
                                  <a:pt x="6936566" y="0"/>
                                </a:lnTo>
                                <a:lnTo>
                                  <a:pt x="6936566" y="10170"/>
                                </a:lnTo>
                                <a:lnTo>
                                  <a:pt x="0" y="10170"/>
                                </a:lnTo>
                                <a:lnTo>
                                  <a:pt x="0" y="0"/>
                                </a:lnTo>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inline>
            </w:drawing>
          </mc:Choice>
          <mc:Fallback xmlns:a="http://schemas.openxmlformats.org/drawingml/2006/main">
            <w:pict>
              <v:group id="Group 31789" style="width:546.186pt;height:3.20343pt;mso-position-horizontal-relative:char;mso-position-vertical-relative:line" coordsize="69365,406">
                <v:shape id="Shape 36635" style="position:absolute;width:69365;height:406;left:0;top:0;" coordsize="6936566,40684" path="m0,0l6936566,0l6936566,40684l0,40684l0,0">
                  <v:stroke weight="0pt" endcap="flat" joinstyle="miter" miterlimit="10" on="false" color="#000000" opacity="0"/>
                  <v:fill on="true" color="#e0e4e8"/>
                </v:shape>
                <v:shape id="Shape 36636" style="position:absolute;width:69365;height:101;left:0;top:305;" coordsize="6936566,10170" path="m0,0l6936566,0l6936566,10170l0,10170l0,0">
                  <v:stroke weight="0pt" endcap="flat" joinstyle="miter" miterlimit="10" on="false" color="#000000" opacity="0"/>
                  <v:fill on="true" color="#ededed"/>
                </v:shape>
              </v:group>
            </w:pict>
          </mc:Fallback>
        </mc:AlternateContent>
      </w:r>
    </w:p>
    <w:p w14:paraId="1D63C536" w14:textId="77777777" w:rsidR="005E4DC0" w:rsidRDefault="00931588">
      <w:pPr>
        <w:pStyle w:val="1"/>
        <w:ind w:left="6"/>
        <w:rPr>
          <w:rFonts w:hint="eastAsia"/>
        </w:rPr>
      </w:pPr>
      <w:r>
        <w:t xml:space="preserve">2. </w:t>
      </w:r>
      <w:r>
        <w:rPr>
          <w:b/>
        </w:rPr>
        <w:t>相关⼯作</w:t>
      </w:r>
      <w:r>
        <w:rPr>
          <w:color w:val="0366D6"/>
        </w:rPr>
        <w:t xml:space="preserve"> </w:t>
      </w:r>
    </w:p>
    <w:p w14:paraId="17915786" w14:textId="77777777" w:rsidR="005E4DC0" w:rsidRDefault="00931588">
      <w:pPr>
        <w:spacing w:after="362"/>
        <w:ind w:left="11" w:right="-4"/>
      </w:pPr>
      <w:r>
        <w:rPr>
          <w:noProof/>
        </w:rPr>
        <mc:AlternateContent>
          <mc:Choice Requires="wpg">
            <w:drawing>
              <wp:inline distT="0" distB="0" distL="0" distR="0" wp14:anchorId="4D487995" wp14:editId="706D2C68">
                <wp:extent cx="6936566" cy="10171"/>
                <wp:effectExtent l="0" t="0" r="0" b="0"/>
                <wp:docPr id="31791" name="Group 31791"/>
                <wp:cNvGraphicFramePr/>
                <a:graphic xmlns:a="http://schemas.openxmlformats.org/drawingml/2006/main">
                  <a:graphicData uri="http://schemas.microsoft.com/office/word/2010/wordprocessingGroup">
                    <wpg:wgp>
                      <wpg:cNvGrpSpPr/>
                      <wpg:grpSpPr>
                        <a:xfrm>
                          <a:off x="0" y="0"/>
                          <a:ext cx="6936566" cy="10171"/>
                          <a:chOff x="0" y="0"/>
                          <a:chExt cx="6936566" cy="10171"/>
                        </a:xfrm>
                      </wpg:grpSpPr>
                      <wps:wsp>
                        <wps:cNvPr id="36637" name="Shape 36637"/>
                        <wps:cNvSpPr/>
                        <wps:spPr>
                          <a:xfrm>
                            <a:off x="0" y="0"/>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31791" style="width:546.186pt;height:0.800903pt;mso-position-horizontal-relative:char;mso-position-vertical-relative:line" coordsize="69365,101">
                <v:shape id="Shape 36638" style="position:absolute;width:69365;height:101;left:0;top:0;" coordsize="6936566,10171" path="m0,0l6936566,0l6936566,10171l0,10171l0,0">
                  <v:stroke weight="0pt" endcap="flat" joinstyle="miter" miterlimit="10" on="false" color="#000000" opacity="0"/>
                  <v:fill on="true" color="#eaecef"/>
                </v:shape>
              </v:group>
            </w:pict>
          </mc:Fallback>
        </mc:AlternateContent>
      </w:r>
    </w:p>
    <w:p w14:paraId="3DD77E48" w14:textId="77777777" w:rsidR="005E4DC0" w:rsidRDefault="00931588">
      <w:pPr>
        <w:pStyle w:val="2"/>
        <w:ind w:left="6"/>
        <w:rPr>
          <w:rFonts w:hint="eastAsia"/>
        </w:rPr>
      </w:pPr>
      <w:r>
        <w:rPr>
          <w:b w:val="0"/>
        </w:rPr>
        <w:t xml:space="preserve">2.1 </w:t>
      </w:r>
      <w:r>
        <w:t>充电基础设施中的异常检测</w:t>
      </w:r>
      <w:r>
        <w:rPr>
          <w:b w:val="0"/>
          <w:color w:val="0366D6"/>
        </w:rPr>
        <w:t xml:space="preserve"> </w:t>
      </w:r>
    </w:p>
    <w:p w14:paraId="0F145864" w14:textId="77777777" w:rsidR="005E4DC0" w:rsidRDefault="00931588">
      <w:pPr>
        <w:spacing w:after="202" w:line="305" w:lineRule="auto"/>
        <w:ind w:left="6" w:hanging="10"/>
      </w:pPr>
      <w:r>
        <w:rPr>
          <w:rFonts w:ascii="微软雅黑" w:eastAsia="微软雅黑" w:hAnsi="微软雅黑" w:cs="微软雅黑"/>
          <w:color w:val="24282E"/>
          <w:sz w:val="19"/>
        </w:rPr>
        <w:t>充电站异常检测涵盖统计⽅法、深度重建⽅法与有监督学习⽅法三条主线。</w:t>
      </w:r>
    </w:p>
    <w:p w14:paraId="1A8FABB4" w14:textId="77777777" w:rsidR="005E4DC0" w:rsidRDefault="00931588">
      <w:pPr>
        <w:spacing w:after="184" w:line="305" w:lineRule="auto"/>
        <w:ind w:left="6" w:hanging="10"/>
      </w:pPr>
      <w:r>
        <w:rPr>
          <w:rFonts w:ascii="微软雅黑" w:eastAsia="微软雅黑" w:hAnsi="微软雅黑" w:cs="微软雅黑"/>
          <w:b/>
          <w:sz w:val="19"/>
        </w:rPr>
        <w:t>统计与⽆监督⽅法</w:t>
      </w:r>
      <w:r>
        <w:rPr>
          <w:rFonts w:ascii="微软雅黑" w:eastAsia="微软雅黑" w:hAnsi="微软雅黑" w:cs="微软雅黑"/>
          <w:color w:val="24282E"/>
          <w:sz w:val="19"/>
        </w:rPr>
        <w:t>:孤⽴森林(Isolation Forest)[5]、基于变分⾃编码器(VAE)的重建模型 [6] 以及 USAD [7] 等⽆监督⽅法被⼴泛部署于⽣产环境。这些⽅法在分布⼀致假设下表现良好,但⽆法针对已知故障类别进⾏定向优化,且缺乏对运维⼈员的诊断指导。本⽂在 §4.2 实验评估了重建式(LSTM-AE)路线,其 PR-AUC 仅 0.248⸺微弱异常被重建平滑,验证了该路线在本数据上的局限。</w:t>
      </w:r>
    </w:p>
    <w:p w14:paraId="14BAD4C9" w14:textId="77777777" w:rsidR="005E4DC0" w:rsidRDefault="00931588">
      <w:pPr>
        <w:spacing w:after="4" w:line="305" w:lineRule="auto"/>
        <w:ind w:left="6" w:hanging="10"/>
      </w:pPr>
      <w:r>
        <w:rPr>
          <w:rFonts w:ascii="微软雅黑" w:eastAsia="微软雅黑" w:hAnsi="微软雅黑" w:cs="微软雅黑"/>
          <w:b/>
          <w:sz w:val="19"/>
        </w:rPr>
        <w:t>深度学习⽅法</w:t>
      </w:r>
      <w:r>
        <w:rPr>
          <w:rFonts w:ascii="微软雅黑" w:eastAsia="微软雅黑" w:hAnsi="微软雅黑" w:cs="微软雅黑"/>
          <w:color w:val="24282E"/>
          <w:sz w:val="19"/>
        </w:rPr>
        <w:t>:深度学习已被⼴泛验证为时序分类与异常检测的有效⼯具 [8],其中 MTAD-GAT [1] 使⽤图注意⼒⽹络联合建模时序</w:t>
      </w:r>
    </w:p>
    <w:p w14:paraId="5E81E5EE" w14:textId="77777777" w:rsidR="005E4DC0" w:rsidRDefault="00931588">
      <w:pPr>
        <w:spacing w:after="197" w:line="305" w:lineRule="auto"/>
        <w:ind w:left="6" w:hanging="10"/>
      </w:pPr>
      <w:r>
        <w:rPr>
          <w:rFonts w:ascii="微软雅黑" w:eastAsia="微软雅黑" w:hAnsi="微软雅黑" w:cs="微软雅黑"/>
          <w:color w:val="24282E"/>
          <w:sz w:val="19"/>
        </w:rPr>
        <w:t>与特征依赖;GDN [2] 通过学习传感器关系图实现异常检测;Anomaly Transformer [9] 将 Transformer 架构引⼊时序异常检测;Lee 等⼈ [10] 提出基于掩码潜在⽣成建模的可解释时序异常检测。然⽽,这些⽅法均在新站点泛化上表现脆弱(⻅本⽂ §4.2 实验)。</w:t>
      </w:r>
    </w:p>
    <w:p w14:paraId="385EBD2B" w14:textId="77777777" w:rsidR="005E4DC0" w:rsidRDefault="00931588">
      <w:pPr>
        <w:spacing w:after="412" w:line="305" w:lineRule="auto"/>
        <w:ind w:left="6" w:hanging="10"/>
      </w:pPr>
      <w:r>
        <w:rPr>
          <w:rFonts w:ascii="微软雅黑" w:eastAsia="微软雅黑" w:hAnsi="微软雅黑" w:cs="微软雅黑"/>
          <w:b/>
          <w:sz w:val="19"/>
        </w:rPr>
        <w:t>站点⾃适应⽅法</w:t>
      </w:r>
      <w:r>
        <w:rPr>
          <w:rFonts w:ascii="微软雅黑" w:eastAsia="微软雅黑" w:hAnsi="微软雅黑" w:cs="微软雅黑"/>
          <w:color w:val="24282E"/>
          <w:sz w:val="19"/>
        </w:rPr>
        <w:t>:Yang 等⼈ [3] 针对跨站点泛化问题提出了基于 Hyper-Network 的站点⾃适应参数⽣成⽅法,通过超⽹络为每个数据所有者⽣成定制化模型参数,在全部数据所有者参与训练后,于各⾃数据上达到 Recall=73.56%(Acc=92.43%、F1=0.578)。需要指出,该成绩为同分布评估(各所有者评估⾃身数据),与本⽂的跨站点泛化设定(新站点 owner 7-8)不同,因此不构成直接可⽐基准。本⽂另辟蹊径,验证了"深度时序表征 + ⼿⼯特征融合"路线⸺通过多模态注意⼒融合从原始时序与⼿⼯特征联合学习,⽆需复杂参数⾃适应机制即可在跨站点设定下取得稳健且可解释的性能。</w:t>
      </w:r>
    </w:p>
    <w:p w14:paraId="258BEF11" w14:textId="77777777" w:rsidR="005E4DC0" w:rsidRDefault="00931588">
      <w:pPr>
        <w:pStyle w:val="2"/>
        <w:ind w:left="6"/>
        <w:rPr>
          <w:rFonts w:hint="eastAsia"/>
        </w:rPr>
      </w:pPr>
      <w:r>
        <w:rPr>
          <w:b w:val="0"/>
        </w:rPr>
        <w:t xml:space="preserve">2.2 </w:t>
      </w:r>
      <w:r>
        <w:t>⾯向时序数据的可解释</w:t>
      </w:r>
      <w:r>
        <w:rPr>
          <w:b w:val="0"/>
        </w:rPr>
        <w:t xml:space="preserve"> AI</w:t>
      </w:r>
      <w:r>
        <w:rPr>
          <w:b w:val="0"/>
          <w:color w:val="0366D6"/>
        </w:rPr>
        <w:t xml:space="preserve"> </w:t>
      </w:r>
    </w:p>
    <w:p w14:paraId="045F2DDB" w14:textId="77777777" w:rsidR="005E4DC0" w:rsidRDefault="00931588">
      <w:pPr>
        <w:spacing w:after="205" w:line="305" w:lineRule="auto"/>
        <w:ind w:left="6" w:hanging="10"/>
      </w:pPr>
      <w:r>
        <w:rPr>
          <w:rFonts w:ascii="微软雅黑" w:eastAsia="微软雅黑" w:hAnsi="微软雅黑" w:cs="微软雅黑"/>
          <w:color w:val="24282E"/>
          <w:sz w:val="19"/>
        </w:rPr>
        <w:t>时序数据的可解释⼈⼯智能(XAI)⽅法主要分为三类:</w:t>
      </w:r>
    </w:p>
    <w:p w14:paraId="526ED365" w14:textId="77777777" w:rsidR="005E4DC0" w:rsidRDefault="00931588">
      <w:pPr>
        <w:spacing w:after="235"/>
        <w:ind w:left="6" w:right="46" w:hanging="10"/>
        <w:jc w:val="both"/>
      </w:pPr>
      <w:r>
        <w:rPr>
          <w:rFonts w:ascii="微软雅黑" w:eastAsia="微软雅黑" w:hAnsi="微软雅黑" w:cs="微软雅黑"/>
          <w:b/>
          <w:sz w:val="19"/>
        </w:rPr>
        <w:t>基于梯度的⽅法</w:t>
      </w:r>
      <w:r>
        <w:rPr>
          <w:rFonts w:ascii="微软雅黑" w:eastAsia="微软雅黑" w:hAnsi="微软雅黑" w:cs="微软雅黑"/>
          <w:color w:val="24282E"/>
          <w:sz w:val="19"/>
        </w:rPr>
        <w:t>:Grad-CAM [11] 通过梯度反向传播计算类别区分性激活图,其 1D 适配将时间维度替代空间维度,⽤于时序分类的归因可视化。Integrated Gradients [12] 通过路径积分梯度提供理论保证。</w:t>
      </w:r>
    </w:p>
    <w:p w14:paraId="00B0A34F" w14:textId="77777777" w:rsidR="005E4DC0" w:rsidRDefault="00931588">
      <w:pPr>
        <w:spacing w:after="195" w:line="305" w:lineRule="auto"/>
        <w:ind w:left="6" w:hanging="10"/>
      </w:pPr>
      <w:r>
        <w:rPr>
          <w:rFonts w:ascii="微软雅黑" w:eastAsia="微软雅黑" w:hAnsi="微软雅黑" w:cs="微软雅黑"/>
          <w:b/>
          <w:sz w:val="19"/>
        </w:rPr>
        <w:t>加性特征归因</w:t>
      </w:r>
      <w:r>
        <w:rPr>
          <w:rFonts w:ascii="微软雅黑" w:eastAsia="微软雅黑" w:hAnsi="微软雅黑" w:cs="微软雅黑"/>
          <w:color w:val="24282E"/>
          <w:sz w:val="19"/>
        </w:rPr>
        <w:t>:SHAP [13] 基于 Shapley 值理论统⼀了特征归因⽅法,具有局部保真度与全局⼀致性双重保证。TreeSHAP [14] 专为树模型设计。</w:t>
      </w:r>
      <w:r>
        <w:rPr>
          <w:rFonts w:ascii="微软雅黑" w:eastAsia="微软雅黑" w:hAnsi="微软雅黑" w:cs="微软雅黑"/>
          <w:b/>
          <w:sz w:val="19"/>
        </w:rPr>
        <w:t>置换特征重要性</w:t>
      </w:r>
      <w:r>
        <w:rPr>
          <w:rFonts w:ascii="微软雅黑" w:eastAsia="微软雅黑" w:hAnsi="微软雅黑" w:cs="微软雅黑"/>
          <w:sz w:val="19"/>
        </w:rPr>
        <w:t>(permutation importance)</w:t>
      </w:r>
      <w:r>
        <w:rPr>
          <w:rFonts w:ascii="微软雅黑" w:eastAsia="微软雅黑" w:hAnsi="微软雅黑" w:cs="微软雅黑"/>
          <w:color w:val="24282E"/>
          <w:sz w:val="19"/>
        </w:rPr>
        <w:t xml:space="preserve"> 是模型⽆关的归因⽅法⸺逐⼀打乱某特征并观测性能下降,下降越⼤则该特征越重要,适⽤于任意⿊盒模型。</w:t>
      </w:r>
    </w:p>
    <w:p w14:paraId="1375CA78" w14:textId="77777777" w:rsidR="005E4DC0" w:rsidRDefault="00931588">
      <w:pPr>
        <w:spacing w:after="209" w:line="305" w:lineRule="auto"/>
        <w:ind w:left="6" w:hanging="10"/>
      </w:pPr>
      <w:r>
        <w:rPr>
          <w:rFonts w:ascii="微软雅黑" w:eastAsia="微软雅黑" w:hAnsi="微软雅黑" w:cs="微软雅黑"/>
          <w:b/>
          <w:sz w:val="19"/>
        </w:rPr>
        <w:t>注意⼒可视化</w:t>
      </w:r>
      <w:r>
        <w:rPr>
          <w:rFonts w:ascii="微软雅黑" w:eastAsia="微软雅黑" w:hAnsi="微软雅黑" w:cs="微软雅黑"/>
          <w:color w:val="24282E"/>
          <w:sz w:val="19"/>
        </w:rPr>
        <w:t>:Transformer 的⾃注意⼒权重可解释为时序特征重要性分数,但注意⼒机制是否真正捕获因果关系仍存在争议 [15]。</w:t>
      </w:r>
    </w:p>
    <w:p w14:paraId="28E51CFC" w14:textId="77777777" w:rsidR="005E4DC0" w:rsidRDefault="00931588">
      <w:pPr>
        <w:spacing w:after="412" w:line="305" w:lineRule="auto"/>
        <w:ind w:left="6" w:hanging="10"/>
      </w:pPr>
      <w:r>
        <w:rPr>
          <w:rFonts w:ascii="微软雅黑" w:eastAsia="微软雅黑" w:hAnsi="微软雅黑" w:cs="微软雅黑"/>
          <w:color w:val="24282E"/>
          <w:sz w:val="19"/>
        </w:rPr>
        <w:t>本⽂采⽤</w:t>
      </w:r>
      <w:r>
        <w:rPr>
          <w:rFonts w:ascii="微软雅黑" w:eastAsia="微软雅黑" w:hAnsi="微软雅黑" w:cs="微软雅黑"/>
          <w:b/>
          <w:sz w:val="19"/>
        </w:rPr>
        <w:t>多视⻆归因</w:t>
      </w:r>
      <w:r>
        <w:rPr>
          <w:rFonts w:ascii="微软雅黑" w:eastAsia="微软雅黑" w:hAnsi="微软雅黑" w:cs="微软雅黑"/>
          <w:color w:val="24282E"/>
          <w:sz w:val="19"/>
        </w:rPr>
        <w:t>:对序列×特征交互使⽤⾃注意⼒权重(哪个特征 token 在关注哪段充电进程),对⼿⼯特征分⽀使⽤置换特征重要性与特征组消融(逐特征/逐组归因),并通过三路交叉印证(⻅ §4.3)。相⽐单⼀归因⽅法,多视⻆的⼀致性显著增强了归因结论的可信度。</w:t>
      </w:r>
    </w:p>
    <w:p w14:paraId="7895C825" w14:textId="77777777" w:rsidR="005E4DC0" w:rsidRDefault="00931588">
      <w:pPr>
        <w:pStyle w:val="2"/>
        <w:ind w:left="6"/>
        <w:rPr>
          <w:rFonts w:hint="eastAsia"/>
        </w:rPr>
      </w:pPr>
      <w:r>
        <w:rPr>
          <w:b w:val="0"/>
        </w:rPr>
        <w:t xml:space="preserve">2.3 </w:t>
      </w:r>
      <w:r>
        <w:t>关键基础设施</w:t>
      </w:r>
      <w:r>
        <w:rPr>
          <w:b w:val="0"/>
        </w:rPr>
        <w:t xml:space="preserve"> AI </w:t>
      </w:r>
      <w:r>
        <w:t>治理</w:t>
      </w:r>
      <w:r>
        <w:rPr>
          <w:b w:val="0"/>
          <w:color w:val="0366D6"/>
        </w:rPr>
        <w:t xml:space="preserve"> </w:t>
      </w:r>
    </w:p>
    <w:p w14:paraId="252C3EC6" w14:textId="77777777" w:rsidR="005E4DC0" w:rsidRDefault="00931588">
      <w:pPr>
        <w:spacing w:after="235"/>
        <w:ind w:left="6" w:right="46" w:hanging="10"/>
        <w:jc w:val="both"/>
      </w:pPr>
      <w:r>
        <w:rPr>
          <w:rFonts w:ascii="微软雅黑" w:eastAsia="微软雅黑" w:hAnsi="微软雅黑" w:cs="微软雅黑"/>
          <w:color w:val="24282E"/>
          <w:sz w:val="19"/>
        </w:rPr>
        <w:t>《欧盟⼈⼯智能法案》(EU AI Act, Regulation (EU) 2024/1689)[4] 建⽴了全球⾸个全⾯的 AI 监管框架,将关键基础设施的 AI 系统归类为⾼⻛险(附录 III 第 2 类),需满⾜⻛险管理体系(第 9 条)、数据治理(第 10 条)、技术⽂档(第 11 条)、⽇志记录(第 12 条)、透明度(第 13 条)、⼈类监督(第 14 条)与准确性(第 15 条)七项义务。</w:t>
      </w:r>
    </w:p>
    <w:p w14:paraId="2D70EF73" w14:textId="77777777" w:rsidR="005E4DC0" w:rsidRDefault="00931588">
      <w:pPr>
        <w:spacing w:after="35" w:line="305" w:lineRule="auto"/>
        <w:ind w:left="6" w:hanging="10"/>
      </w:pPr>
      <w:r>
        <w:rPr>
          <w:rFonts w:ascii="微软雅黑" w:eastAsia="微软雅黑" w:hAnsi="微软雅黑" w:cs="微软雅黑"/>
          <w:color w:val="24282E"/>
          <w:sz w:val="19"/>
        </w:rPr>
        <w:t>本⽂ §5 将给出义务→技术对策的完整映射,并提出审计⽇志模板与模型卡⽚,为充电站异常检测系统的合规落地提供具体⽅案。</w:t>
      </w:r>
    </w:p>
    <w:p w14:paraId="609EC71F" w14:textId="77777777" w:rsidR="005E4DC0" w:rsidRDefault="00931588">
      <w:pPr>
        <w:spacing w:after="370"/>
        <w:ind w:left="11" w:right="-4"/>
      </w:pPr>
      <w:r>
        <w:rPr>
          <w:noProof/>
        </w:rPr>
        <mc:AlternateContent>
          <mc:Choice Requires="wpg">
            <w:drawing>
              <wp:inline distT="0" distB="0" distL="0" distR="0" wp14:anchorId="274D8579" wp14:editId="640637D0">
                <wp:extent cx="6936566" cy="40683"/>
                <wp:effectExtent l="0" t="0" r="0" b="0"/>
                <wp:docPr id="31792" name="Group 31792"/>
                <wp:cNvGraphicFramePr/>
                <a:graphic xmlns:a="http://schemas.openxmlformats.org/drawingml/2006/main">
                  <a:graphicData uri="http://schemas.microsoft.com/office/word/2010/wordprocessingGroup">
                    <wpg:wgp>
                      <wpg:cNvGrpSpPr/>
                      <wpg:grpSpPr>
                        <a:xfrm>
                          <a:off x="0" y="0"/>
                          <a:ext cx="6936566" cy="40683"/>
                          <a:chOff x="0" y="0"/>
                          <a:chExt cx="6936566" cy="40683"/>
                        </a:xfrm>
                      </wpg:grpSpPr>
                      <wps:wsp>
                        <wps:cNvPr id="36639" name="Shape 36639"/>
                        <wps:cNvSpPr/>
                        <wps:spPr>
                          <a:xfrm>
                            <a:off x="0" y="0"/>
                            <a:ext cx="6936566" cy="40683"/>
                          </a:xfrm>
                          <a:custGeom>
                            <a:avLst/>
                            <a:gdLst/>
                            <a:ahLst/>
                            <a:cxnLst/>
                            <a:rect l="0" t="0" r="0" b="0"/>
                            <a:pathLst>
                              <a:path w="6936566" h="40683">
                                <a:moveTo>
                                  <a:pt x="0" y="0"/>
                                </a:moveTo>
                                <a:lnTo>
                                  <a:pt x="6936566" y="0"/>
                                </a:lnTo>
                                <a:lnTo>
                                  <a:pt x="6936566" y="40683"/>
                                </a:lnTo>
                                <a:lnTo>
                                  <a:pt x="0" y="40683"/>
                                </a:lnTo>
                                <a:lnTo>
                                  <a:pt x="0" y="0"/>
                                </a:lnTo>
                              </a:path>
                            </a:pathLst>
                          </a:custGeom>
                          <a:ln w="0" cap="flat">
                            <a:miter lim="127000"/>
                          </a:ln>
                        </wps:spPr>
                        <wps:style>
                          <a:lnRef idx="0">
                            <a:srgbClr val="000000">
                              <a:alpha val="0"/>
                            </a:srgbClr>
                          </a:lnRef>
                          <a:fillRef idx="1">
                            <a:srgbClr val="E0E4E8"/>
                          </a:fillRef>
                          <a:effectRef idx="0">
                            <a:scrgbClr r="0" g="0" b="0"/>
                          </a:effectRef>
                          <a:fontRef idx="none"/>
                        </wps:style>
                        <wps:bodyPr/>
                      </wps:wsp>
                      <wps:wsp>
                        <wps:cNvPr id="36640" name="Shape 36640"/>
                        <wps:cNvSpPr/>
                        <wps:spPr>
                          <a:xfrm>
                            <a:off x="0" y="30511"/>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inline>
            </w:drawing>
          </mc:Choice>
          <mc:Fallback xmlns:a="http://schemas.openxmlformats.org/drawingml/2006/main">
            <w:pict>
              <v:group id="Group 31792" style="width:546.186pt;height:3.20337pt;mso-position-horizontal-relative:char;mso-position-vertical-relative:line" coordsize="69365,406">
                <v:shape id="Shape 36641" style="position:absolute;width:69365;height:406;left:0;top:0;" coordsize="6936566,40683" path="m0,0l6936566,0l6936566,40683l0,40683l0,0">
                  <v:stroke weight="0pt" endcap="flat" joinstyle="miter" miterlimit="10" on="false" color="#000000" opacity="0"/>
                  <v:fill on="true" color="#e0e4e8"/>
                </v:shape>
                <v:shape id="Shape 36642" style="position:absolute;width:69365;height:101;left:0;top:305;" coordsize="6936566,10171" path="m0,0l6936566,0l6936566,10171l0,10171l0,0">
                  <v:stroke weight="0pt" endcap="flat" joinstyle="miter" miterlimit="10" on="false" color="#000000" opacity="0"/>
                  <v:fill on="true" color="#ededed"/>
                </v:shape>
              </v:group>
            </w:pict>
          </mc:Fallback>
        </mc:AlternateContent>
      </w:r>
    </w:p>
    <w:p w14:paraId="4649E0E1" w14:textId="77777777" w:rsidR="005E4DC0" w:rsidRDefault="00931588">
      <w:pPr>
        <w:pStyle w:val="1"/>
        <w:ind w:left="6"/>
        <w:rPr>
          <w:rFonts w:hint="eastAsia"/>
        </w:rPr>
      </w:pPr>
      <w:r>
        <w:t xml:space="preserve">3. </w:t>
      </w:r>
      <w:r>
        <w:rPr>
          <w:b/>
        </w:rPr>
        <w:t>⽅法</w:t>
      </w:r>
      <w:r>
        <w:rPr>
          <w:color w:val="0366D6"/>
        </w:rPr>
        <w:t xml:space="preserve"> </w:t>
      </w:r>
    </w:p>
    <w:p w14:paraId="1B44F1CE" w14:textId="77777777" w:rsidR="005E4DC0" w:rsidRDefault="00931588">
      <w:pPr>
        <w:spacing w:after="355"/>
        <w:ind w:left="11" w:right="-4"/>
      </w:pPr>
      <w:r>
        <w:rPr>
          <w:noProof/>
        </w:rPr>
        <mc:AlternateContent>
          <mc:Choice Requires="wpg">
            <w:drawing>
              <wp:inline distT="0" distB="0" distL="0" distR="0" wp14:anchorId="5D9823FE" wp14:editId="30A9A3A9">
                <wp:extent cx="6936566" cy="10171"/>
                <wp:effectExtent l="0" t="0" r="0" b="0"/>
                <wp:docPr id="31793" name="Group 31793"/>
                <wp:cNvGraphicFramePr/>
                <a:graphic xmlns:a="http://schemas.openxmlformats.org/drawingml/2006/main">
                  <a:graphicData uri="http://schemas.microsoft.com/office/word/2010/wordprocessingGroup">
                    <wpg:wgp>
                      <wpg:cNvGrpSpPr/>
                      <wpg:grpSpPr>
                        <a:xfrm>
                          <a:off x="0" y="0"/>
                          <a:ext cx="6936566" cy="10171"/>
                          <a:chOff x="0" y="0"/>
                          <a:chExt cx="6936566" cy="10171"/>
                        </a:xfrm>
                      </wpg:grpSpPr>
                      <wps:wsp>
                        <wps:cNvPr id="36643" name="Shape 36643"/>
                        <wps:cNvSpPr/>
                        <wps:spPr>
                          <a:xfrm>
                            <a:off x="0" y="0"/>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31793" style="width:546.186pt;height:0.800903pt;mso-position-horizontal-relative:char;mso-position-vertical-relative:line" coordsize="69365,101">
                <v:shape id="Shape 36644" style="position:absolute;width:69365;height:101;left:0;top:0;" coordsize="6936566,10171" path="m0,0l6936566,0l6936566,10171l0,10171l0,0">
                  <v:stroke weight="0pt" endcap="flat" joinstyle="miter" miterlimit="10" on="false" color="#000000" opacity="0"/>
                  <v:fill on="true" color="#eaecef"/>
                </v:shape>
              </v:group>
            </w:pict>
          </mc:Fallback>
        </mc:AlternateContent>
      </w:r>
    </w:p>
    <w:p w14:paraId="3EFD2C0D" w14:textId="77777777" w:rsidR="005E4DC0" w:rsidRDefault="00931588">
      <w:pPr>
        <w:pStyle w:val="2"/>
        <w:ind w:left="6"/>
        <w:rPr>
          <w:rFonts w:hint="eastAsia"/>
        </w:rPr>
      </w:pPr>
      <w:r>
        <w:rPr>
          <w:b w:val="0"/>
        </w:rPr>
        <w:t xml:space="preserve">3.1 </w:t>
      </w:r>
      <w:r>
        <w:t>数据集</w:t>
      </w:r>
      <w:r>
        <w:rPr>
          <w:b w:val="0"/>
          <w:color w:val="0366D6"/>
        </w:rPr>
        <w:t xml:space="preserve"> </w:t>
      </w:r>
    </w:p>
    <w:p w14:paraId="118FBBC1" w14:textId="77777777" w:rsidR="005E4DC0" w:rsidRDefault="00931588">
      <w:pPr>
        <w:spacing w:after="4" w:line="305" w:lineRule="auto"/>
        <w:ind w:left="6" w:hanging="10"/>
      </w:pPr>
      <w:r>
        <w:rPr>
          <w:rFonts w:ascii="微软雅黑" w:eastAsia="微软雅黑" w:hAnsi="微软雅黑" w:cs="微软雅黑"/>
          <w:color w:val="24282E"/>
          <w:sz w:val="19"/>
        </w:rPr>
        <w:t>本⽂使⽤ Yang 等⼈ [3] 发布的深圳充电站公开数据集,来源为深圳 autosun 科技有限公司与⾹港理⼯⼤学。数据集托管于</w:t>
      </w:r>
    </w:p>
    <w:p w14:paraId="52228419" w14:textId="77777777" w:rsidR="005E4DC0" w:rsidRDefault="00931588">
      <w:pPr>
        <w:spacing w:after="235"/>
        <w:ind w:left="6" w:right="46" w:hanging="10"/>
        <w:jc w:val="both"/>
      </w:pPr>
      <w:r>
        <w:rPr>
          <w:rFonts w:ascii="微软雅黑" w:eastAsia="微软雅黑" w:hAnsi="微软雅黑" w:cs="微软雅黑"/>
          <w:color w:val="24282E"/>
          <w:sz w:val="19"/>
        </w:rPr>
        <w:t>Mendeley Data(DOI: 10.17632/c7gg94tmvz.3),作者代码开源于 Zenodo(DOI: 10.5281/zenodo.17423221)。</w:t>
      </w:r>
    </w:p>
    <w:p w14:paraId="11329AA3" w14:textId="77777777" w:rsidR="005E4DC0" w:rsidRDefault="00931588">
      <w:pPr>
        <w:spacing w:after="235"/>
        <w:ind w:left="6" w:right="46" w:hanging="10"/>
        <w:jc w:val="both"/>
      </w:pPr>
      <w:r>
        <w:rPr>
          <w:noProof/>
        </w:rPr>
        <mc:AlternateContent>
          <mc:Choice Requires="wpg">
            <w:drawing>
              <wp:anchor distT="0" distB="0" distL="114300" distR="114300" simplePos="0" relativeHeight="251658240" behindDoc="1" locked="0" layoutInCell="1" allowOverlap="1" wp14:anchorId="76F862CF" wp14:editId="31F385ED">
                <wp:simplePos x="0" y="0"/>
                <wp:positionH relativeFrom="column">
                  <wp:posOffset>4782123</wp:posOffset>
                </wp:positionH>
                <wp:positionV relativeFrom="paragraph">
                  <wp:posOffset>-8759</wp:posOffset>
                </wp:positionV>
                <wp:extent cx="1281535" cy="157649"/>
                <wp:effectExtent l="0" t="0" r="0" b="0"/>
                <wp:wrapNone/>
                <wp:docPr id="31794" name="Group 31794"/>
                <wp:cNvGraphicFramePr/>
                <a:graphic xmlns:a="http://schemas.openxmlformats.org/drawingml/2006/main">
                  <a:graphicData uri="http://schemas.microsoft.com/office/word/2010/wordprocessingGroup">
                    <wpg:wgp>
                      <wpg:cNvGrpSpPr/>
                      <wpg:grpSpPr>
                        <a:xfrm>
                          <a:off x="0" y="0"/>
                          <a:ext cx="1281535" cy="157649"/>
                          <a:chOff x="0" y="0"/>
                          <a:chExt cx="1281535" cy="157649"/>
                        </a:xfrm>
                      </wpg:grpSpPr>
                      <wps:wsp>
                        <wps:cNvPr id="1396" name="Shape 1396"/>
                        <wps:cNvSpPr/>
                        <wps:spPr>
                          <a:xfrm>
                            <a:off x="0" y="0"/>
                            <a:ext cx="1281535" cy="157649"/>
                          </a:xfrm>
                          <a:custGeom>
                            <a:avLst/>
                            <a:gdLst/>
                            <a:ahLst/>
                            <a:cxnLst/>
                            <a:rect l="0" t="0" r="0" b="0"/>
                            <a:pathLst>
                              <a:path w="1281535" h="157649">
                                <a:moveTo>
                                  <a:pt x="22836" y="0"/>
                                </a:moveTo>
                                <a:lnTo>
                                  <a:pt x="1258698" y="0"/>
                                </a:lnTo>
                                <a:cubicBezTo>
                                  <a:pt x="1271311" y="0"/>
                                  <a:pt x="1281535" y="10064"/>
                                  <a:pt x="1281535" y="22477"/>
                                </a:cubicBezTo>
                                <a:lnTo>
                                  <a:pt x="1281535" y="135172"/>
                                </a:lnTo>
                                <a:cubicBezTo>
                                  <a:pt x="1281535" y="147586"/>
                                  <a:pt x="1271311" y="157649"/>
                                  <a:pt x="1258698" y="157649"/>
                                </a:cubicBezTo>
                                <a:lnTo>
                                  <a:pt x="22836" y="157649"/>
                                </a:lnTo>
                                <a:cubicBezTo>
                                  <a:pt x="10224" y="157649"/>
                                  <a:pt x="0" y="147586"/>
                                  <a:pt x="0" y="135172"/>
                                </a:cubicBezTo>
                                <a:lnTo>
                                  <a:pt x="0" y="22477"/>
                                </a:lnTo>
                                <a:cubicBezTo>
                                  <a:pt x="0" y="10064"/>
                                  <a:pt x="10224" y="0"/>
                                  <a:pt x="22836" y="0"/>
                                </a:cubicBezTo>
                                <a:close/>
                              </a:path>
                            </a:pathLst>
                          </a:custGeom>
                          <a:ln w="0" cap="flat">
                            <a:miter lim="127000"/>
                          </a:ln>
                        </wps:spPr>
                        <wps:style>
                          <a:lnRef idx="0">
                            <a:srgbClr val="000000">
                              <a:alpha val="0"/>
                            </a:srgbClr>
                          </a:lnRef>
                          <a:fillRef idx="1">
                            <a:srgbClr val="1B1E22">
                              <a:alpha val="5098"/>
                            </a:srgbClr>
                          </a:fillRef>
                          <a:effectRef idx="0">
                            <a:scrgbClr r="0" g="0" b="0"/>
                          </a:effectRef>
                          <a:fontRef idx="none"/>
                        </wps:style>
                        <wps:bodyPr/>
                      </wps:wsp>
                    </wpg:wgp>
                  </a:graphicData>
                </a:graphic>
              </wp:anchor>
            </w:drawing>
          </mc:Choice>
          <mc:Fallback xmlns:a="http://schemas.openxmlformats.org/drawingml/2006/main">
            <w:pict>
              <v:group id="Group 31794" style="width:100.908pt;height:12.4133pt;position:absolute;z-index:-2147482925;mso-position-horizontal-relative:text;mso-position-horizontal:absolute;margin-left:376.545pt;mso-position-vertical-relative:text;margin-top:-0.689758pt;" coordsize="12815,1576">
                <v:shape id="Shape 1396" style="position:absolute;width:12815;height:1576;left:0;top:0;" coordsize="1281535,157649" path="m22836,0l1258698,0c1271311,0,1281535,10064,1281535,22477l1281535,135172c1281535,147586,1271311,157649,1258698,157649l22836,157649c10224,157649,0,147586,0,135172l0,22477c0,10064,10224,0,22836,0x">
                  <v:stroke weight="0pt" endcap="flat" joinstyle="miter" miterlimit="10" on="false" color="#000000" opacity="0"/>
                  <v:fill on="true" color="#1b1e22" opacity="0.0509804"/>
                </v:shape>
              </v:group>
            </w:pict>
          </mc:Fallback>
        </mc:AlternateContent>
      </w:r>
      <w:r>
        <w:rPr>
          <w:rFonts w:ascii="微软雅黑" w:eastAsia="微软雅黑" w:hAnsi="微软雅黑" w:cs="微软雅黑"/>
          <w:b/>
          <w:sz w:val="19"/>
        </w:rPr>
        <w:t>数据规模</w:t>
      </w:r>
      <w:r>
        <w:rPr>
          <w:rFonts w:ascii="微软雅黑" w:eastAsia="微软雅黑" w:hAnsi="微软雅黑" w:cs="微软雅黑"/>
          <w:color w:val="24282E"/>
          <w:sz w:val="19"/>
        </w:rPr>
        <w:t xml:space="preserve">:30 座充电站,2020 年 7 ⽉⾄ 2024 年 3 ⽉,共 155.6 万采样点(来⾃全量数据集 </w:t>
      </w:r>
      <w:r>
        <w:rPr>
          <w:rFonts w:ascii="微软雅黑" w:eastAsia="微软雅黑" w:hAnsi="微软雅黑" w:cs="微软雅黑"/>
          <w:color w:val="545454"/>
          <w:sz w:val="16"/>
        </w:rPr>
        <w:t xml:space="preserve">processed_data.xlsx </w:t>
      </w:r>
      <w:r>
        <w:rPr>
          <w:rFonts w:ascii="微软雅黑" w:eastAsia="微软雅黑" w:hAnsi="微软雅黑" w:cs="微软雅黑"/>
          <w:color w:val="24282E"/>
          <w:sz w:val="19"/>
        </w:rPr>
        <w:t>),数据所有者 (owner)共 8 个。采样点级故障率 5.68%。</w:t>
      </w:r>
    </w:p>
    <w:p w14:paraId="5D6313BD" w14:textId="77777777" w:rsidR="005E4DC0" w:rsidRDefault="00931588">
      <w:pPr>
        <w:spacing w:after="235"/>
        <w:ind w:left="6" w:right="46" w:hanging="10"/>
        <w:jc w:val="both"/>
      </w:pPr>
      <w:r>
        <w:rPr>
          <w:rFonts w:ascii="微软雅黑" w:eastAsia="微软雅黑" w:hAnsi="微软雅黑" w:cs="微软雅黑"/>
          <w:b/>
          <w:sz w:val="19"/>
        </w:rPr>
        <w:t>电⽓特征</w:t>
      </w:r>
      <w:r>
        <w:rPr>
          <w:rFonts w:ascii="微软雅黑" w:eastAsia="微软雅黑" w:hAnsi="微软雅黑" w:cs="微软雅黑"/>
          <w:color w:val="24282E"/>
          <w:sz w:val="19"/>
        </w:rPr>
        <w:t>(16 列):充电电压(chargingv, V)、充电电流(charginga, A)、输出功率(out_power, kW)、SOC(current_soc, %)、枪头温度 1/2(charging_gun_temperature1/2, °C)、电池类型(types)等。</w:t>
      </w:r>
    </w:p>
    <w:p w14:paraId="3CF9202A" w14:textId="77777777" w:rsidR="005E4DC0" w:rsidRDefault="00931588">
      <w:pPr>
        <w:spacing w:after="4" w:line="305" w:lineRule="auto"/>
        <w:ind w:left="6" w:hanging="10"/>
      </w:pPr>
      <w:r>
        <w:rPr>
          <w:rFonts w:ascii="微软雅黑" w:eastAsia="微软雅黑" w:hAnsi="微软雅黑" w:cs="微软雅黑"/>
          <w:b/>
          <w:sz w:val="19"/>
        </w:rPr>
        <w:t>故障标签</w:t>
      </w:r>
      <w:r>
        <w:rPr>
          <w:rFonts w:ascii="微软雅黑" w:eastAsia="微软雅黑" w:hAnsi="微软雅黑" w:cs="微软雅黑"/>
          <w:color w:val="24282E"/>
          <w:sz w:val="19"/>
        </w:rPr>
        <w:t>:label=1 表示该采样点发⽣故障。故障分为两类:1⼯程⼈员上报故障(热失控、电芯电压不均衡、短路等);2充电站因枪温过⾼⾃动断开的故障。电池类型分布(按 19,658 条有效充电序列统计,序列级):LFP(磷酸铁锂)61.7%、NMC(镍钴锰)36.7%、</w:t>
      </w:r>
    </w:p>
    <w:p w14:paraId="3C53B151" w14:textId="77777777" w:rsidR="005E4DC0" w:rsidRDefault="00931588">
      <w:pPr>
        <w:spacing w:after="235"/>
        <w:ind w:left="6" w:right="46" w:hanging="10"/>
        <w:jc w:val="both"/>
      </w:pPr>
      <w:r>
        <w:rPr>
          <w:rFonts w:ascii="微软雅黑" w:eastAsia="微软雅黑" w:hAnsi="微软雅黑" w:cs="微软雅黑"/>
          <w:color w:val="24282E"/>
          <w:sz w:val="19"/>
        </w:rPr>
        <w:t>LMO(锰酸锂)1.2%、LCO(钴酸锂)0.1%、LP(锂聚合物)0.2%。</w:t>
      </w:r>
    </w:p>
    <w:p w14:paraId="71C643E5" w14:textId="77777777" w:rsidR="005E4DC0" w:rsidRDefault="00931588">
      <w:pPr>
        <w:spacing w:after="192" w:line="305" w:lineRule="auto"/>
        <w:ind w:left="6" w:hanging="10"/>
      </w:pPr>
      <w:r>
        <w:rPr>
          <w:rFonts w:ascii="微软雅黑" w:eastAsia="微软雅黑" w:hAnsi="微软雅黑" w:cs="微软雅黑"/>
          <w:b/>
          <w:sz w:val="19"/>
        </w:rPr>
        <w:t>按数据所有者划分</w:t>
      </w:r>
      <w:r>
        <w:rPr>
          <w:rFonts w:ascii="微软雅黑" w:eastAsia="微软雅黑" w:hAnsi="微软雅黑" w:cs="微软雅黑"/>
          <w:color w:val="24282E"/>
          <w:sz w:val="19"/>
        </w:rPr>
        <w:t>:遵循 Yang 等⼈ [3] 的设定,按数据所有者划分(本⽂不采⽤参数⾃适应机制,仅沿⽤其数据划分⽅式)。以 ≥30 采样点筛选出 19,658 条有效充电序列:</w:t>
      </w:r>
    </w:p>
    <w:p w14:paraId="5E278F5E" w14:textId="77777777" w:rsidR="005E4DC0" w:rsidRDefault="00931588">
      <w:pPr>
        <w:spacing w:after="85"/>
        <w:ind w:left="165" w:right="46" w:hanging="10"/>
        <w:jc w:val="both"/>
      </w:pPr>
      <w:r>
        <w:rPr>
          <w:noProof/>
        </w:rPr>
        <mc:AlternateContent>
          <mc:Choice Requires="wpg">
            <w:drawing>
              <wp:anchor distT="0" distB="0" distL="114300" distR="114300" simplePos="0" relativeHeight="251659264" behindDoc="0" locked="0" layoutInCell="1" allowOverlap="1" wp14:anchorId="6665B022" wp14:editId="6622FCCA">
                <wp:simplePos x="0" y="0"/>
                <wp:positionH relativeFrom="column">
                  <wp:posOffset>98416</wp:posOffset>
                </wp:positionH>
                <wp:positionV relativeFrom="paragraph">
                  <wp:posOffset>50631</wp:posOffset>
                </wp:positionV>
                <wp:extent cx="45769" cy="442435"/>
                <wp:effectExtent l="0" t="0" r="0" b="0"/>
                <wp:wrapSquare wrapText="bothSides"/>
                <wp:docPr id="31820" name="Group 31820"/>
                <wp:cNvGraphicFramePr/>
                <a:graphic xmlns:a="http://schemas.openxmlformats.org/drawingml/2006/main">
                  <a:graphicData uri="http://schemas.microsoft.com/office/word/2010/wordprocessingGroup">
                    <wpg:wgp>
                      <wpg:cNvGrpSpPr/>
                      <wpg:grpSpPr>
                        <a:xfrm>
                          <a:off x="0" y="0"/>
                          <a:ext cx="45769" cy="442435"/>
                          <a:chOff x="0" y="0"/>
                          <a:chExt cx="45769" cy="442435"/>
                        </a:xfrm>
                      </wpg:grpSpPr>
                      <wps:wsp>
                        <wps:cNvPr id="1615" name="Shape 1615"/>
                        <wps:cNvSpPr/>
                        <wps:spPr>
                          <a:xfrm>
                            <a:off x="0" y="0"/>
                            <a:ext cx="45769" cy="45769"/>
                          </a:xfrm>
                          <a:custGeom>
                            <a:avLst/>
                            <a:gdLst/>
                            <a:ahLst/>
                            <a:cxnLst/>
                            <a:rect l="0" t="0" r="0" b="0"/>
                            <a:pathLst>
                              <a:path w="45769" h="45769">
                                <a:moveTo>
                                  <a:pt x="22885" y="0"/>
                                </a:moveTo>
                                <a:cubicBezTo>
                                  <a:pt x="35523" y="0"/>
                                  <a:pt x="45769" y="10245"/>
                                  <a:pt x="45769" y="22884"/>
                                </a:cubicBezTo>
                                <a:cubicBezTo>
                                  <a:pt x="45769" y="35523"/>
                                  <a:pt x="35523" y="45769"/>
                                  <a:pt x="22885" y="45769"/>
                                </a:cubicBezTo>
                                <a:cubicBezTo>
                                  <a:pt x="10246" y="45769"/>
                                  <a:pt x="0" y="35523"/>
                                  <a:pt x="0" y="22884"/>
                                </a:cubicBezTo>
                                <a:cubicBezTo>
                                  <a:pt x="0" y="10245"/>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s:wsp>
                        <wps:cNvPr id="1652" name="Shape 1652"/>
                        <wps:cNvSpPr/>
                        <wps:spPr>
                          <a:xfrm>
                            <a:off x="0" y="396666"/>
                            <a:ext cx="45769" cy="45769"/>
                          </a:xfrm>
                          <a:custGeom>
                            <a:avLst/>
                            <a:gdLst/>
                            <a:ahLst/>
                            <a:cxnLst/>
                            <a:rect l="0" t="0" r="0" b="0"/>
                            <a:pathLst>
                              <a:path w="45769" h="45769">
                                <a:moveTo>
                                  <a:pt x="22885" y="0"/>
                                </a:moveTo>
                                <a:cubicBezTo>
                                  <a:pt x="35523" y="0"/>
                                  <a:pt x="45769" y="10246"/>
                                  <a:pt x="45769" y="22884"/>
                                </a:cubicBezTo>
                                <a:cubicBezTo>
                                  <a:pt x="45769" y="35523"/>
                                  <a:pt x="35523" y="45769"/>
                                  <a:pt x="22885" y="45769"/>
                                </a:cubicBezTo>
                                <a:cubicBezTo>
                                  <a:pt x="10246" y="45769"/>
                                  <a:pt x="0" y="35523"/>
                                  <a:pt x="0" y="22884"/>
                                </a:cubicBezTo>
                                <a:cubicBezTo>
                                  <a:pt x="0" y="10246"/>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g:wgp>
                  </a:graphicData>
                </a:graphic>
              </wp:anchor>
            </w:drawing>
          </mc:Choice>
          <mc:Fallback xmlns:a="http://schemas.openxmlformats.org/drawingml/2006/main">
            <w:pict>
              <v:group id="Group 31820" style="width:3.60387pt;height:34.8374pt;position:absolute;mso-position-horizontal-relative:text;mso-position-horizontal:absolute;margin-left:7.74925pt;mso-position-vertical-relative:text;margin-top:3.98669pt;" coordsize="457,4424">
                <v:shape id="Shape 1615" style="position:absolute;width:457;height:457;left:0;top:0;" coordsize="45769,45769" path="m22885,0c35523,0,45769,10245,45769,22884c45769,35523,35523,45769,22885,45769c10246,45769,0,35523,0,22884c0,10245,10246,0,22885,0x">
                  <v:stroke weight="0pt" endcap="flat" joinstyle="miter" miterlimit="10" on="false" color="#000000" opacity="0"/>
                  <v:fill on="true" color="#24282e"/>
                </v:shape>
                <v:shape id="Shape 1652" style="position:absolute;width:457;height:457;left:0;top:3966;" coordsize="45769,45769" path="m22885,0c35523,0,45769,10246,45769,22884c45769,35523,35523,45769,22885,45769c10246,45769,0,35523,0,22884c0,10246,10246,0,22885,0x">
                  <v:stroke weight="0pt" endcap="flat" joinstyle="miter" miterlimit="10" on="false" color="#000000" opacity="0"/>
                  <v:fill on="true" color="#24282e"/>
                </v:shape>
                <w10:wrap type="square"/>
              </v:group>
            </w:pict>
          </mc:Fallback>
        </mc:AlternateContent>
      </w:r>
      <w:r>
        <w:rPr>
          <w:rFonts w:ascii="微软雅黑" w:eastAsia="微软雅黑" w:hAnsi="微软雅黑" w:cs="微软雅黑"/>
          <w:color w:val="24282E"/>
          <w:sz w:val="19"/>
        </w:rPr>
        <w:t>训练集:owner 1-6,16,882 条有效充电序列,其中 13,505 条⽤于模型训练(642 故障,序列级故障率 4.75%)、3,377 条⽤于验证(160 故障),按 80/20 分层切分;</w:t>
      </w:r>
    </w:p>
    <w:p w14:paraId="2EB3E7A2" w14:textId="77777777" w:rsidR="005E4DC0" w:rsidRDefault="00931588">
      <w:pPr>
        <w:spacing w:after="235"/>
        <w:ind w:left="165" w:right="46" w:hanging="10"/>
        <w:jc w:val="both"/>
      </w:pPr>
      <w:r>
        <w:rPr>
          <w:rFonts w:ascii="微软雅黑" w:eastAsia="微软雅黑" w:hAnsi="微软雅黑" w:cs="微软雅黑"/>
          <w:color w:val="24282E"/>
          <w:sz w:val="19"/>
        </w:rPr>
        <w:t>测试集:owner 7-8(新站点),2,776 条序列,129 故障(序列级故障率 4.65%)</w:t>
      </w:r>
    </w:p>
    <w:p w14:paraId="46CA0D90" w14:textId="77777777" w:rsidR="005E4DC0" w:rsidRDefault="00931588">
      <w:pPr>
        <w:spacing w:after="423" w:line="305" w:lineRule="auto"/>
        <w:ind w:left="6" w:hanging="10"/>
      </w:pPr>
      <w:r>
        <w:rPr>
          <w:rFonts w:ascii="微软雅黑" w:eastAsia="微软雅黑" w:hAnsi="微软雅黑" w:cs="微软雅黑"/>
          <w:color w:val="24282E"/>
          <w:sz w:val="19"/>
        </w:rPr>
        <w:t>这⼀划分模拟了实际场景中的</w:t>
      </w:r>
      <w:r>
        <w:rPr>
          <w:rFonts w:ascii="微软雅黑" w:eastAsia="微软雅黑" w:hAnsi="微软雅黑" w:cs="微软雅黑"/>
          <w:b/>
          <w:sz w:val="19"/>
        </w:rPr>
        <w:t>站点冷启动问题</w:t>
      </w:r>
      <w:r>
        <w:rPr>
          <w:rFonts w:ascii="微软雅黑" w:eastAsia="微软雅黑" w:hAnsi="微软雅黑" w:cs="微软雅黑"/>
          <w:color w:val="24282E"/>
          <w:sz w:val="19"/>
        </w:rPr>
        <w:t>⸺模型在已知站点训练,需泛化⾄全新站点。</w:t>
      </w:r>
    </w:p>
    <w:p w14:paraId="507733BD" w14:textId="77777777" w:rsidR="005E4DC0" w:rsidRDefault="00931588">
      <w:pPr>
        <w:pStyle w:val="2"/>
        <w:ind w:left="6"/>
        <w:rPr>
          <w:rFonts w:hint="eastAsia"/>
        </w:rPr>
      </w:pPr>
      <w:r>
        <w:rPr>
          <w:b w:val="0"/>
        </w:rPr>
        <w:t xml:space="preserve">3.2 </w:t>
      </w:r>
      <w:r>
        <w:t>输⼊表征</w:t>
      </w:r>
      <w:r>
        <w:rPr>
          <w:b w:val="0"/>
        </w:rPr>
        <w:t>:</w:t>
      </w:r>
      <w:r>
        <w:t>时序与⼿⼯特征</w:t>
      </w:r>
      <w:r>
        <w:rPr>
          <w:b w:val="0"/>
          <w:color w:val="0366D6"/>
        </w:rPr>
        <w:t xml:space="preserve"> </w:t>
      </w:r>
    </w:p>
    <w:p w14:paraId="0808BF1E" w14:textId="77777777" w:rsidR="005E4DC0" w:rsidRDefault="00931588">
      <w:pPr>
        <w:spacing w:after="207" w:line="305" w:lineRule="auto"/>
        <w:ind w:left="6" w:hanging="10"/>
      </w:pPr>
      <w:r>
        <w:rPr>
          <w:rFonts w:ascii="微软雅黑" w:eastAsia="微软雅黑" w:hAnsi="微软雅黑" w:cs="微软雅黑"/>
          <w:color w:val="24282E"/>
          <w:sz w:val="19"/>
        </w:rPr>
        <w:t>本⽂的融合模型采⽤两路输⼊,分别对应原始时序与领域⼿⼯特征。</w:t>
      </w:r>
    </w:p>
    <w:p w14:paraId="52989320" w14:textId="77777777" w:rsidR="005E4DC0" w:rsidRDefault="00931588">
      <w:pPr>
        <w:spacing w:after="198" w:line="305" w:lineRule="auto"/>
        <w:ind w:left="6" w:hanging="10"/>
      </w:pPr>
      <w:r>
        <w:rPr>
          <w:rFonts w:ascii="微软雅黑" w:eastAsia="微软雅黑" w:hAnsi="微软雅黑" w:cs="微软雅黑"/>
          <w:b/>
          <w:sz w:val="19"/>
        </w:rPr>
        <w:t>六通道原始时序</w:t>
      </w:r>
      <w:r>
        <w:rPr>
          <w:rFonts w:ascii="微软雅黑" w:eastAsia="微软雅黑" w:hAnsi="微软雅黑" w:cs="微软雅黑"/>
          <w:color w:val="24282E"/>
          <w:sz w:val="19"/>
        </w:rPr>
        <w:t>:直接以每条充电序列的原始六通道时序作为时序分⽀输⼊,让深度模型端到端学习故障判别表示。六个通道为:</w:t>
      </w:r>
    </w:p>
    <w:p w14:paraId="4251196D" w14:textId="77777777" w:rsidR="005E4DC0" w:rsidRDefault="00931588">
      <w:pPr>
        <w:spacing w:after="154" w:line="351" w:lineRule="auto"/>
        <w:ind w:left="165" w:right="3188" w:hanging="10"/>
        <w:jc w:val="both"/>
      </w:pPr>
      <w:r>
        <w:rPr>
          <w:noProof/>
        </w:rPr>
        <mc:AlternateContent>
          <mc:Choice Requires="wpg">
            <w:drawing>
              <wp:anchor distT="0" distB="0" distL="114300" distR="114300" simplePos="0" relativeHeight="251660288" behindDoc="0" locked="0" layoutInCell="1" allowOverlap="1" wp14:anchorId="6748B58F" wp14:editId="6B6A2988">
                <wp:simplePos x="0" y="0"/>
                <wp:positionH relativeFrom="column">
                  <wp:posOffset>98416</wp:posOffset>
                </wp:positionH>
                <wp:positionV relativeFrom="paragraph">
                  <wp:posOffset>52208</wp:posOffset>
                </wp:positionV>
                <wp:extent cx="45769" cy="472948"/>
                <wp:effectExtent l="0" t="0" r="0" b="0"/>
                <wp:wrapSquare wrapText="bothSides"/>
                <wp:docPr id="31821" name="Group 31821"/>
                <wp:cNvGraphicFramePr/>
                <a:graphic xmlns:a="http://schemas.openxmlformats.org/drawingml/2006/main">
                  <a:graphicData uri="http://schemas.microsoft.com/office/word/2010/wordprocessingGroup">
                    <wpg:wgp>
                      <wpg:cNvGrpSpPr/>
                      <wpg:grpSpPr>
                        <a:xfrm>
                          <a:off x="0" y="0"/>
                          <a:ext cx="45769" cy="472948"/>
                          <a:chOff x="0" y="0"/>
                          <a:chExt cx="45769" cy="472948"/>
                        </a:xfrm>
                      </wpg:grpSpPr>
                      <wps:wsp>
                        <wps:cNvPr id="1708" name="Shape 1708"/>
                        <wps:cNvSpPr/>
                        <wps:spPr>
                          <a:xfrm>
                            <a:off x="0" y="0"/>
                            <a:ext cx="45769" cy="45770"/>
                          </a:xfrm>
                          <a:custGeom>
                            <a:avLst/>
                            <a:gdLst/>
                            <a:ahLst/>
                            <a:cxnLst/>
                            <a:rect l="0" t="0" r="0" b="0"/>
                            <a:pathLst>
                              <a:path w="45769" h="45770">
                                <a:moveTo>
                                  <a:pt x="22885" y="0"/>
                                </a:moveTo>
                                <a:cubicBezTo>
                                  <a:pt x="35523" y="0"/>
                                  <a:pt x="45769" y="10245"/>
                                  <a:pt x="45769" y="22885"/>
                                </a:cubicBezTo>
                                <a:cubicBezTo>
                                  <a:pt x="45769" y="35523"/>
                                  <a:pt x="35523" y="45770"/>
                                  <a:pt x="22885" y="45770"/>
                                </a:cubicBezTo>
                                <a:cubicBezTo>
                                  <a:pt x="10246" y="45770"/>
                                  <a:pt x="0" y="35523"/>
                                  <a:pt x="0" y="22885"/>
                                </a:cubicBezTo>
                                <a:cubicBezTo>
                                  <a:pt x="0" y="10245"/>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s:wsp>
                        <wps:cNvPr id="1721" name="Shape 1721"/>
                        <wps:cNvSpPr/>
                        <wps:spPr>
                          <a:xfrm>
                            <a:off x="0" y="213589"/>
                            <a:ext cx="45769" cy="45769"/>
                          </a:xfrm>
                          <a:custGeom>
                            <a:avLst/>
                            <a:gdLst/>
                            <a:ahLst/>
                            <a:cxnLst/>
                            <a:rect l="0" t="0" r="0" b="0"/>
                            <a:pathLst>
                              <a:path w="45769" h="45769">
                                <a:moveTo>
                                  <a:pt x="22885" y="0"/>
                                </a:moveTo>
                                <a:cubicBezTo>
                                  <a:pt x="35523" y="0"/>
                                  <a:pt x="45769" y="10246"/>
                                  <a:pt x="45769" y="22885"/>
                                </a:cubicBezTo>
                                <a:cubicBezTo>
                                  <a:pt x="45769" y="35524"/>
                                  <a:pt x="35523" y="45769"/>
                                  <a:pt x="22885" y="45769"/>
                                </a:cubicBezTo>
                                <a:cubicBezTo>
                                  <a:pt x="10246" y="45769"/>
                                  <a:pt x="0" y="35524"/>
                                  <a:pt x="0" y="22885"/>
                                </a:cubicBezTo>
                                <a:cubicBezTo>
                                  <a:pt x="0" y="10246"/>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s:wsp>
                        <wps:cNvPr id="1732" name="Shape 1732"/>
                        <wps:cNvSpPr/>
                        <wps:spPr>
                          <a:xfrm>
                            <a:off x="0" y="427179"/>
                            <a:ext cx="45769" cy="45770"/>
                          </a:xfrm>
                          <a:custGeom>
                            <a:avLst/>
                            <a:gdLst/>
                            <a:ahLst/>
                            <a:cxnLst/>
                            <a:rect l="0" t="0" r="0" b="0"/>
                            <a:pathLst>
                              <a:path w="45769" h="45770">
                                <a:moveTo>
                                  <a:pt x="22885" y="0"/>
                                </a:moveTo>
                                <a:cubicBezTo>
                                  <a:pt x="35523" y="0"/>
                                  <a:pt x="45769" y="10245"/>
                                  <a:pt x="45769" y="22884"/>
                                </a:cubicBezTo>
                                <a:cubicBezTo>
                                  <a:pt x="45769" y="35523"/>
                                  <a:pt x="35523" y="45770"/>
                                  <a:pt x="22885" y="45770"/>
                                </a:cubicBezTo>
                                <a:cubicBezTo>
                                  <a:pt x="10246" y="45770"/>
                                  <a:pt x="0" y="35523"/>
                                  <a:pt x="0" y="22884"/>
                                </a:cubicBezTo>
                                <a:cubicBezTo>
                                  <a:pt x="0" y="10245"/>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g:wgp>
                  </a:graphicData>
                </a:graphic>
              </wp:anchor>
            </w:drawing>
          </mc:Choice>
          <mc:Fallback xmlns:a="http://schemas.openxmlformats.org/drawingml/2006/main">
            <w:pict>
              <v:group id="Group 31821" style="width:3.60387pt;height:37.24pt;position:absolute;mso-position-horizontal-relative:text;mso-position-horizontal:absolute;margin-left:7.74925pt;mso-position-vertical-relative:text;margin-top:4.11084pt;" coordsize="457,4729">
                <v:shape id="Shape 1708" style="position:absolute;width:457;height:457;left:0;top:0;" coordsize="45769,45770" path="m22885,0c35523,0,45769,10245,45769,22885c45769,35523,35523,45770,22885,45770c10246,45770,0,35523,0,22885c0,10245,10246,0,22885,0x">
                  <v:stroke weight="0pt" endcap="flat" joinstyle="miter" miterlimit="10" on="false" color="#000000" opacity="0"/>
                  <v:fill on="true" color="#24282e"/>
                </v:shape>
                <v:shape id="Shape 1721" style="position:absolute;width:457;height:457;left:0;top:2135;" coordsize="45769,45769" path="m22885,0c35523,0,45769,10246,45769,22885c45769,35524,35523,45769,22885,45769c10246,45769,0,35524,0,22885c0,10246,10246,0,22885,0x">
                  <v:stroke weight="0pt" endcap="flat" joinstyle="miter" miterlimit="10" on="false" color="#000000" opacity="0"/>
                  <v:fill on="true" color="#24282e"/>
                </v:shape>
                <v:shape id="Shape 1732" style="position:absolute;width:457;height:457;left:0;top:4271;" coordsize="45769,45770" path="m22885,0c35523,0,45769,10245,45769,22884c45769,35523,35523,45770,22885,45770c10246,45770,0,35523,0,22884c0,10245,10246,0,22885,0x">
                  <v:stroke weight="0pt" endcap="flat" joinstyle="miter" miterlimit="10" on="false" color="#000000" opacity="0"/>
                  <v:fill on="true" color="#24282e"/>
                </v:shape>
                <w10:wrap type="square"/>
              </v:group>
            </w:pict>
          </mc:Fallback>
        </mc:AlternateContent>
      </w:r>
      <w:r>
        <w:rPr>
          <w:rFonts w:ascii="微软雅黑" w:eastAsia="微软雅黑" w:hAnsi="微软雅黑" w:cs="微软雅黑"/>
          <w:b/>
          <w:sz w:val="19"/>
        </w:rPr>
        <w:t>电⽓量</w:t>
      </w:r>
      <w:r>
        <w:rPr>
          <w:rFonts w:ascii="微软雅黑" w:eastAsia="微软雅黑" w:hAnsi="微软雅黑" w:cs="微软雅黑"/>
          <w:color w:val="24282E"/>
          <w:sz w:val="19"/>
        </w:rPr>
        <w:t xml:space="preserve">:充电电压(chargingv, V)、充电电流(charginga, A)、输出功率(out_power, kW) </w:t>
      </w:r>
      <w:r>
        <w:rPr>
          <w:rFonts w:ascii="微软雅黑" w:eastAsia="微软雅黑" w:hAnsi="微软雅黑" w:cs="微软雅黑"/>
          <w:b/>
          <w:sz w:val="19"/>
        </w:rPr>
        <w:t>温度量</w:t>
      </w:r>
      <w:r>
        <w:rPr>
          <w:rFonts w:ascii="微软雅黑" w:eastAsia="微软雅黑" w:hAnsi="微软雅黑" w:cs="微软雅黑"/>
          <w:color w:val="24282E"/>
          <w:sz w:val="19"/>
        </w:rPr>
        <w:t xml:space="preserve">:枪头温度 1/2(charging_gun_temperature1/2, °C) </w:t>
      </w:r>
      <w:r>
        <w:rPr>
          <w:rFonts w:ascii="微软雅黑" w:eastAsia="微软雅黑" w:hAnsi="微软雅黑" w:cs="微软雅黑"/>
          <w:b/>
          <w:sz w:val="19"/>
        </w:rPr>
        <w:t>电池状态</w:t>
      </w:r>
      <w:r>
        <w:rPr>
          <w:rFonts w:ascii="微软雅黑" w:eastAsia="微软雅黑" w:hAnsi="微软雅黑" w:cs="微软雅黑"/>
          <w:color w:val="24282E"/>
          <w:sz w:val="19"/>
        </w:rPr>
        <w:t>:SOC(current_soc, %)</w:t>
      </w:r>
    </w:p>
    <w:p w14:paraId="3C494C88" w14:textId="77777777" w:rsidR="005E4DC0" w:rsidRDefault="00931588">
      <w:pPr>
        <w:spacing w:after="195" w:line="305" w:lineRule="auto"/>
        <w:ind w:left="6" w:hanging="10"/>
      </w:pPr>
      <w:r>
        <w:rPr>
          <w:rFonts w:ascii="微软雅黑" w:eastAsia="微软雅黑" w:hAnsi="微软雅黑" w:cs="微软雅黑"/>
          <w:color w:val="24282E"/>
          <w:sz w:val="19"/>
        </w:rPr>
        <w:t>每条序列(≥30 采样点)按时间排序构成变⻓矩阵 [L, 6],每个通道在序列内做 z-score 归⼀化以消除量纲差异。训练时对变⻓序列做 padding ⾄最⼤⻓度 200,并⽤⻓度掩码屏蔽⽆效时间步。</w:t>
      </w:r>
    </w:p>
    <w:p w14:paraId="6309C064" w14:textId="77777777" w:rsidR="005E4DC0" w:rsidRDefault="00931588">
      <w:pPr>
        <w:spacing w:after="410" w:line="305" w:lineRule="auto"/>
        <w:ind w:left="6" w:hanging="10"/>
      </w:pPr>
      <w:r>
        <w:rPr>
          <w:rFonts w:ascii="微软雅黑" w:eastAsia="微软雅黑" w:hAnsi="微软雅黑" w:cs="微软雅黑"/>
          <w:sz w:val="19"/>
        </w:rPr>
        <w:t xml:space="preserve">62 </w:t>
      </w:r>
      <w:r>
        <w:rPr>
          <w:rFonts w:ascii="微软雅黑" w:eastAsia="微软雅黑" w:hAnsi="微软雅黑" w:cs="微软雅黑"/>
          <w:b/>
          <w:sz w:val="19"/>
        </w:rPr>
        <w:t>维⼿⼯特征</w:t>
      </w:r>
      <w:r>
        <w:rPr>
          <w:rFonts w:ascii="微软雅黑" w:eastAsia="微软雅黑" w:hAnsi="微软雅黑" w:cs="微软雅黑"/>
          <w:color w:val="24282E"/>
          <w:sz w:val="19"/>
        </w:rPr>
        <w:t>:对每条序列提取 62 维领域特征,按 5 类构成:(1)32 维基础统计量(各通道均值/标准差/极值/⾸末值/斜率、SOC ⾸末/增量、枪温均值/峰值、时⻓/电量等);(2)6 维温度变化特征(枪温斜率/最⼤跳变/后半程标准差);(3)15 维分段/端点/差分特征(前中后三段均值变化、电流⾸末⽐、末三点对⾸三点差值等);(4)4 维超温指示特征(枪温是否超过 40/45°C);(5)5 维电池类型独热编码。特征缺失值以训练集中位数填充,并在 z-score 归⼀化后输⼊模型。</w:t>
      </w:r>
    </w:p>
    <w:p w14:paraId="0826A502" w14:textId="77777777" w:rsidR="005E4DC0" w:rsidRDefault="00931588">
      <w:pPr>
        <w:pStyle w:val="2"/>
        <w:ind w:left="6"/>
        <w:rPr>
          <w:rFonts w:hint="eastAsia"/>
        </w:rPr>
      </w:pPr>
      <w:r>
        <w:rPr>
          <w:b w:val="0"/>
        </w:rPr>
        <w:t xml:space="preserve">3.3 </w:t>
      </w:r>
      <w:r>
        <w:t>多模态注意⼒融合模型</w:t>
      </w:r>
      <w:r>
        <w:rPr>
          <w:b w:val="0"/>
        </w:rPr>
        <w:t>(Token-Attn)</w:t>
      </w:r>
      <w:r>
        <w:rPr>
          <w:b w:val="0"/>
          <w:color w:val="0366D6"/>
        </w:rPr>
        <w:t xml:space="preserve"> </w:t>
      </w:r>
    </w:p>
    <w:p w14:paraId="4D94E7B0" w14:textId="77777777" w:rsidR="005E4DC0" w:rsidRDefault="00931588">
      <w:pPr>
        <w:spacing w:after="233" w:line="265" w:lineRule="auto"/>
        <w:ind w:left="6" w:hanging="10"/>
      </w:pPr>
      <w:r>
        <w:rPr>
          <w:rFonts w:ascii="微软雅黑" w:eastAsia="微软雅黑" w:hAnsi="微软雅黑" w:cs="微软雅黑"/>
          <w:color w:val="24282E"/>
          <w:sz w:val="19"/>
        </w:rPr>
        <w:t>采⽤</w:t>
      </w:r>
      <w:r>
        <w:rPr>
          <w:rFonts w:ascii="微软雅黑" w:eastAsia="微软雅黑" w:hAnsi="微软雅黑" w:cs="微软雅黑"/>
          <w:b/>
          <w:sz w:val="19"/>
        </w:rPr>
        <w:t>双向</w:t>
      </w:r>
      <w:r>
        <w:rPr>
          <w:rFonts w:ascii="微软雅黑" w:eastAsia="微软雅黑" w:hAnsi="微软雅黑" w:cs="微软雅黑"/>
          <w:sz w:val="19"/>
        </w:rPr>
        <w:t xml:space="preserve"> LSTM </w:t>
      </w:r>
      <w:r>
        <w:rPr>
          <w:rFonts w:ascii="微软雅黑" w:eastAsia="微软雅黑" w:hAnsi="微软雅黑" w:cs="微软雅黑"/>
          <w:b/>
          <w:sz w:val="19"/>
        </w:rPr>
        <w:t>时序编码</w:t>
      </w:r>
      <w:r>
        <w:rPr>
          <w:rFonts w:ascii="微软雅黑" w:eastAsia="微软雅黑" w:hAnsi="微软雅黑" w:cs="微软雅黑"/>
          <w:sz w:val="19"/>
        </w:rPr>
        <w:t xml:space="preserve"> + </w:t>
      </w:r>
      <w:r>
        <w:rPr>
          <w:rFonts w:ascii="微软雅黑" w:eastAsia="微软雅黑" w:hAnsi="微软雅黑" w:cs="微软雅黑"/>
          <w:b/>
          <w:sz w:val="19"/>
        </w:rPr>
        <w:t>特征</w:t>
      </w:r>
      <w:r>
        <w:rPr>
          <w:rFonts w:ascii="微软雅黑" w:eastAsia="微软雅黑" w:hAnsi="微软雅黑" w:cs="微软雅黑"/>
          <w:sz w:val="19"/>
        </w:rPr>
        <w:t xml:space="preserve"> token + [CLS] </w:t>
      </w:r>
      <w:r>
        <w:rPr>
          <w:rFonts w:ascii="微软雅黑" w:eastAsia="微软雅黑" w:hAnsi="微软雅黑" w:cs="微软雅黑"/>
          <w:b/>
          <w:sz w:val="19"/>
        </w:rPr>
        <w:t>联合⾃注意⼒</w:t>
      </w:r>
      <w:r>
        <w:rPr>
          <w:rFonts w:ascii="微软雅黑" w:eastAsia="微软雅黑" w:hAnsi="微软雅黑" w:cs="微软雅黑"/>
          <w:color w:val="24282E"/>
          <w:sz w:val="19"/>
        </w:rPr>
        <w:t>的多模态 Transformer 融合结构:</w:t>
      </w:r>
    </w:p>
    <w:p w14:paraId="648919FC" w14:textId="77777777" w:rsidR="005E4DC0" w:rsidRDefault="00931588">
      <w:pPr>
        <w:spacing w:after="26" w:line="335" w:lineRule="auto"/>
        <w:ind w:left="165" w:right="140" w:hanging="10"/>
        <w:jc w:val="both"/>
      </w:pPr>
      <w:r>
        <w:rPr>
          <w:noProof/>
        </w:rPr>
        <mc:AlternateContent>
          <mc:Choice Requires="wpg">
            <w:drawing>
              <wp:anchor distT="0" distB="0" distL="114300" distR="114300" simplePos="0" relativeHeight="251661312" behindDoc="0" locked="0" layoutInCell="1" allowOverlap="1" wp14:anchorId="62C8268A" wp14:editId="337B57C5">
                <wp:simplePos x="0" y="0"/>
                <wp:positionH relativeFrom="column">
                  <wp:posOffset>98416</wp:posOffset>
                </wp:positionH>
                <wp:positionV relativeFrom="paragraph">
                  <wp:posOffset>50809</wp:posOffset>
                </wp:positionV>
                <wp:extent cx="45769" cy="1266280"/>
                <wp:effectExtent l="0" t="0" r="0" b="0"/>
                <wp:wrapSquare wrapText="bothSides"/>
                <wp:docPr id="31822" name="Group 31822"/>
                <wp:cNvGraphicFramePr/>
                <a:graphic xmlns:a="http://schemas.openxmlformats.org/drawingml/2006/main">
                  <a:graphicData uri="http://schemas.microsoft.com/office/word/2010/wordprocessingGroup">
                    <wpg:wgp>
                      <wpg:cNvGrpSpPr/>
                      <wpg:grpSpPr>
                        <a:xfrm>
                          <a:off x="0" y="0"/>
                          <a:ext cx="45769" cy="1266280"/>
                          <a:chOff x="0" y="0"/>
                          <a:chExt cx="45769" cy="1266280"/>
                        </a:xfrm>
                      </wpg:grpSpPr>
                      <wps:wsp>
                        <wps:cNvPr id="1930" name="Shape 1930"/>
                        <wps:cNvSpPr/>
                        <wps:spPr>
                          <a:xfrm>
                            <a:off x="0" y="0"/>
                            <a:ext cx="45769" cy="45769"/>
                          </a:xfrm>
                          <a:custGeom>
                            <a:avLst/>
                            <a:gdLst/>
                            <a:ahLst/>
                            <a:cxnLst/>
                            <a:rect l="0" t="0" r="0" b="0"/>
                            <a:pathLst>
                              <a:path w="45769" h="45769">
                                <a:moveTo>
                                  <a:pt x="22885" y="0"/>
                                </a:moveTo>
                                <a:cubicBezTo>
                                  <a:pt x="35523" y="0"/>
                                  <a:pt x="45769" y="10246"/>
                                  <a:pt x="45769" y="22885"/>
                                </a:cubicBezTo>
                                <a:cubicBezTo>
                                  <a:pt x="45769" y="35524"/>
                                  <a:pt x="35523" y="45769"/>
                                  <a:pt x="22885" y="45769"/>
                                </a:cubicBezTo>
                                <a:cubicBezTo>
                                  <a:pt x="10246" y="45769"/>
                                  <a:pt x="0" y="35524"/>
                                  <a:pt x="0" y="22885"/>
                                </a:cubicBezTo>
                                <a:cubicBezTo>
                                  <a:pt x="0" y="10246"/>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s:wsp>
                        <wps:cNvPr id="1988" name="Shape 1988"/>
                        <wps:cNvSpPr/>
                        <wps:spPr>
                          <a:xfrm>
                            <a:off x="0" y="396667"/>
                            <a:ext cx="45769" cy="45769"/>
                          </a:xfrm>
                          <a:custGeom>
                            <a:avLst/>
                            <a:gdLst/>
                            <a:ahLst/>
                            <a:cxnLst/>
                            <a:rect l="0" t="0" r="0" b="0"/>
                            <a:pathLst>
                              <a:path w="45769" h="45769">
                                <a:moveTo>
                                  <a:pt x="22885" y="0"/>
                                </a:moveTo>
                                <a:cubicBezTo>
                                  <a:pt x="35523" y="0"/>
                                  <a:pt x="45769" y="10245"/>
                                  <a:pt x="45769" y="22884"/>
                                </a:cubicBezTo>
                                <a:cubicBezTo>
                                  <a:pt x="45769" y="35523"/>
                                  <a:pt x="35523" y="45769"/>
                                  <a:pt x="22885" y="45769"/>
                                </a:cubicBezTo>
                                <a:cubicBezTo>
                                  <a:pt x="10246" y="45769"/>
                                  <a:pt x="0" y="35523"/>
                                  <a:pt x="0" y="22884"/>
                                </a:cubicBezTo>
                                <a:cubicBezTo>
                                  <a:pt x="0" y="10245"/>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s:wsp>
                        <wps:cNvPr id="2006" name="Shape 2006"/>
                        <wps:cNvSpPr/>
                        <wps:spPr>
                          <a:xfrm>
                            <a:off x="0" y="610255"/>
                            <a:ext cx="45769" cy="45769"/>
                          </a:xfrm>
                          <a:custGeom>
                            <a:avLst/>
                            <a:gdLst/>
                            <a:ahLst/>
                            <a:cxnLst/>
                            <a:rect l="0" t="0" r="0" b="0"/>
                            <a:pathLst>
                              <a:path w="45769" h="45769">
                                <a:moveTo>
                                  <a:pt x="22885" y="0"/>
                                </a:moveTo>
                                <a:cubicBezTo>
                                  <a:pt x="35523" y="0"/>
                                  <a:pt x="45769" y="10247"/>
                                  <a:pt x="45769" y="22885"/>
                                </a:cubicBezTo>
                                <a:cubicBezTo>
                                  <a:pt x="45769" y="35523"/>
                                  <a:pt x="35523" y="45769"/>
                                  <a:pt x="22885" y="45769"/>
                                </a:cubicBezTo>
                                <a:cubicBezTo>
                                  <a:pt x="10246" y="45769"/>
                                  <a:pt x="0" y="35523"/>
                                  <a:pt x="0" y="22885"/>
                                </a:cubicBezTo>
                                <a:cubicBezTo>
                                  <a:pt x="0" y="10247"/>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s:wsp>
                        <wps:cNvPr id="2043" name="Shape 2043"/>
                        <wps:cNvSpPr/>
                        <wps:spPr>
                          <a:xfrm>
                            <a:off x="0" y="1006920"/>
                            <a:ext cx="45769" cy="45770"/>
                          </a:xfrm>
                          <a:custGeom>
                            <a:avLst/>
                            <a:gdLst/>
                            <a:ahLst/>
                            <a:cxnLst/>
                            <a:rect l="0" t="0" r="0" b="0"/>
                            <a:pathLst>
                              <a:path w="45769" h="45770">
                                <a:moveTo>
                                  <a:pt x="22885" y="0"/>
                                </a:moveTo>
                                <a:cubicBezTo>
                                  <a:pt x="35523" y="0"/>
                                  <a:pt x="45769" y="10247"/>
                                  <a:pt x="45769" y="22885"/>
                                </a:cubicBezTo>
                                <a:cubicBezTo>
                                  <a:pt x="45769" y="35525"/>
                                  <a:pt x="35523" y="45770"/>
                                  <a:pt x="22885" y="45770"/>
                                </a:cubicBezTo>
                                <a:cubicBezTo>
                                  <a:pt x="10246" y="45770"/>
                                  <a:pt x="0" y="35525"/>
                                  <a:pt x="0" y="22885"/>
                                </a:cubicBezTo>
                                <a:cubicBezTo>
                                  <a:pt x="0" y="10247"/>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s:wsp>
                        <wps:cNvPr id="2068" name="Shape 2068"/>
                        <wps:cNvSpPr/>
                        <wps:spPr>
                          <a:xfrm>
                            <a:off x="0" y="1220510"/>
                            <a:ext cx="45769" cy="45770"/>
                          </a:xfrm>
                          <a:custGeom>
                            <a:avLst/>
                            <a:gdLst/>
                            <a:ahLst/>
                            <a:cxnLst/>
                            <a:rect l="0" t="0" r="0" b="0"/>
                            <a:pathLst>
                              <a:path w="45769" h="45770">
                                <a:moveTo>
                                  <a:pt x="22885" y="0"/>
                                </a:moveTo>
                                <a:cubicBezTo>
                                  <a:pt x="35523" y="0"/>
                                  <a:pt x="45769" y="10247"/>
                                  <a:pt x="45769" y="22885"/>
                                </a:cubicBezTo>
                                <a:cubicBezTo>
                                  <a:pt x="45769" y="35523"/>
                                  <a:pt x="35523" y="45770"/>
                                  <a:pt x="22885" y="45770"/>
                                </a:cubicBezTo>
                                <a:cubicBezTo>
                                  <a:pt x="10246" y="45770"/>
                                  <a:pt x="0" y="35523"/>
                                  <a:pt x="0" y="22885"/>
                                </a:cubicBezTo>
                                <a:cubicBezTo>
                                  <a:pt x="0" y="10247"/>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g:wgp>
                  </a:graphicData>
                </a:graphic>
              </wp:anchor>
            </w:drawing>
          </mc:Choice>
          <mc:Fallback xmlns:a="http://schemas.openxmlformats.org/drawingml/2006/main">
            <w:pict>
              <v:group id="Group 31822" style="width:3.60387pt;height:99.7071pt;position:absolute;mso-position-horizontal-relative:text;mso-position-horizontal:absolute;margin-left:7.74925pt;mso-position-vertical-relative:text;margin-top:4.00073pt;" coordsize="457,12662">
                <v:shape id="Shape 1930" style="position:absolute;width:457;height:457;left:0;top:0;" coordsize="45769,45769" path="m22885,0c35523,0,45769,10246,45769,22885c45769,35524,35523,45769,22885,45769c10246,45769,0,35524,0,22885c0,10246,10246,0,22885,0x">
                  <v:stroke weight="0pt" endcap="flat" joinstyle="miter" miterlimit="10" on="false" color="#000000" opacity="0"/>
                  <v:fill on="true" color="#24282e"/>
                </v:shape>
                <v:shape id="Shape 1988" style="position:absolute;width:457;height:457;left:0;top:3966;" coordsize="45769,45769" path="m22885,0c35523,0,45769,10245,45769,22884c45769,35523,35523,45769,22885,45769c10246,45769,0,35523,0,22884c0,10245,10246,0,22885,0x">
                  <v:stroke weight="0pt" endcap="flat" joinstyle="miter" miterlimit="10" on="false" color="#000000" opacity="0"/>
                  <v:fill on="true" color="#24282e"/>
                </v:shape>
                <v:shape id="Shape 2006" style="position:absolute;width:457;height:457;left:0;top:6102;" coordsize="45769,45769" path="m22885,0c35523,0,45769,10247,45769,22885c45769,35523,35523,45769,22885,45769c10246,45769,0,35523,0,22885c0,10247,10246,0,22885,0x">
                  <v:stroke weight="0pt" endcap="flat" joinstyle="miter" miterlimit="10" on="false" color="#000000" opacity="0"/>
                  <v:fill on="true" color="#24282e"/>
                </v:shape>
                <v:shape id="Shape 2043" style="position:absolute;width:457;height:457;left:0;top:10069;" coordsize="45769,45770" path="m22885,0c35523,0,45769,10247,45769,22885c45769,35525,35523,45770,22885,45770c10246,45770,0,35525,0,22885c0,10247,10246,0,22885,0x">
                  <v:stroke weight="0pt" endcap="flat" joinstyle="miter" miterlimit="10" on="false" color="#000000" opacity="0"/>
                  <v:fill on="true" color="#24282e"/>
                </v:shape>
                <v:shape id="Shape 2068" style="position:absolute;width:457;height:457;left:0;top:12205;" coordsize="45769,45770" path="m22885,0c35523,0,45769,10247,45769,22885c45769,35523,35523,45770,22885,45770c10246,45770,0,35523,0,22885c0,10247,10246,0,22885,0x">
                  <v:stroke weight="0pt" endcap="flat" joinstyle="miter" miterlimit="10" on="false" color="#000000" opacity="0"/>
                  <v:fill on="true" color="#24282e"/>
                </v:shape>
                <w10:wrap type="square"/>
              </v:group>
            </w:pict>
          </mc:Fallback>
        </mc:AlternateContent>
      </w:r>
      <w:r>
        <w:rPr>
          <w:rFonts w:ascii="微软雅黑" w:eastAsia="微软雅黑" w:hAnsi="微软雅黑" w:cs="微软雅黑"/>
          <w:b/>
          <w:sz w:val="19"/>
        </w:rPr>
        <w:t>时序分⽀</w:t>
      </w:r>
      <w:r>
        <w:rPr>
          <w:rFonts w:ascii="微软雅黑" w:eastAsia="微软雅黑" w:hAnsi="微软雅黑" w:cs="微软雅黑"/>
          <w:color w:val="24282E"/>
          <w:sz w:val="19"/>
        </w:rPr>
        <w:t>:双向 LSTM(输⼊维度 6、隐藏 64、2 层)编码六通道时序,输出 [B, T, 128] 的 token 序列;将 padding 后的 200 步按充电进度</w:t>
      </w:r>
      <w:r>
        <w:rPr>
          <w:rFonts w:ascii="微软雅黑" w:eastAsia="微软雅黑" w:hAnsi="微软雅黑" w:cs="微软雅黑"/>
          <w:b/>
          <w:sz w:val="19"/>
        </w:rPr>
        <w:t>等分</w:t>
      </w:r>
      <w:r>
        <w:rPr>
          <w:rFonts w:ascii="微软雅黑" w:eastAsia="微软雅黑" w:hAnsi="微软雅黑" w:cs="微软雅黑"/>
          <w:sz w:val="19"/>
        </w:rPr>
        <w:t xml:space="preserve"> 8 </w:t>
      </w:r>
      <w:r>
        <w:rPr>
          <w:rFonts w:ascii="微软雅黑" w:eastAsia="微软雅黑" w:hAnsi="微软雅黑" w:cs="微软雅黑"/>
          <w:b/>
          <w:sz w:val="19"/>
        </w:rPr>
        <w:t>段</w:t>
      </w:r>
      <w:r>
        <w:rPr>
          <w:rFonts w:ascii="微软雅黑" w:eastAsia="微软雅黑" w:hAnsi="微软雅黑" w:cs="微软雅黑"/>
          <w:color w:val="24282E"/>
          <w:sz w:val="19"/>
        </w:rPr>
        <w:t xml:space="preserve">做掩码均值池化,得到 8 个"段 token"⸺每个段 token 代表⼀段充电进程的时序表征; </w:t>
      </w:r>
      <w:r>
        <w:rPr>
          <w:rFonts w:ascii="微软雅黑" w:eastAsia="微软雅黑" w:hAnsi="微软雅黑" w:cs="微软雅黑"/>
          <w:b/>
          <w:sz w:val="19"/>
        </w:rPr>
        <w:t>特征分⽀</w:t>
      </w:r>
      <w:r>
        <w:rPr>
          <w:rFonts w:ascii="微软雅黑" w:eastAsia="微软雅黑" w:hAnsi="微软雅黑" w:cs="微软雅黑"/>
          <w:color w:val="24282E"/>
          <w:sz w:val="19"/>
        </w:rPr>
        <w:t>:62 维⼿⼯特征经数值嵌⼊ + 可学习列嵌⼊,得到 62 个"特征 token";</w:t>
      </w:r>
    </w:p>
    <w:p w14:paraId="7AB6CA96" w14:textId="77777777" w:rsidR="005E4DC0" w:rsidRDefault="00931588">
      <w:pPr>
        <w:spacing w:after="78"/>
        <w:ind w:left="165" w:right="46" w:hanging="10"/>
        <w:jc w:val="both"/>
      </w:pPr>
      <w:r>
        <w:rPr>
          <w:noProof/>
        </w:rPr>
        <mc:AlternateContent>
          <mc:Choice Requires="wpg">
            <w:drawing>
              <wp:anchor distT="0" distB="0" distL="114300" distR="114300" simplePos="0" relativeHeight="251662336" behindDoc="1" locked="0" layoutInCell="1" allowOverlap="1" wp14:anchorId="1DE30007" wp14:editId="2884CFC1">
                <wp:simplePos x="0" y="0"/>
                <wp:positionH relativeFrom="column">
                  <wp:posOffset>1049396</wp:posOffset>
                </wp:positionH>
                <wp:positionV relativeFrom="paragraph">
                  <wp:posOffset>-9363</wp:posOffset>
                </wp:positionV>
                <wp:extent cx="2156234" cy="162734"/>
                <wp:effectExtent l="0" t="0" r="0" b="0"/>
                <wp:wrapNone/>
                <wp:docPr id="31824" name="Group 31824"/>
                <wp:cNvGraphicFramePr/>
                <a:graphic xmlns:a="http://schemas.openxmlformats.org/drawingml/2006/main">
                  <a:graphicData uri="http://schemas.microsoft.com/office/word/2010/wordprocessingGroup">
                    <wpg:wgp>
                      <wpg:cNvGrpSpPr/>
                      <wpg:grpSpPr>
                        <a:xfrm>
                          <a:off x="0" y="0"/>
                          <a:ext cx="2156234" cy="162734"/>
                          <a:chOff x="0" y="0"/>
                          <a:chExt cx="2156234" cy="162734"/>
                        </a:xfrm>
                      </wpg:grpSpPr>
                      <wps:wsp>
                        <wps:cNvPr id="2011" name="Shape 2011"/>
                        <wps:cNvSpPr/>
                        <wps:spPr>
                          <a:xfrm>
                            <a:off x="0" y="0"/>
                            <a:ext cx="2156234" cy="162734"/>
                          </a:xfrm>
                          <a:custGeom>
                            <a:avLst/>
                            <a:gdLst/>
                            <a:ahLst/>
                            <a:cxnLst/>
                            <a:rect l="0" t="0" r="0" b="0"/>
                            <a:pathLst>
                              <a:path w="2156234" h="162734">
                                <a:moveTo>
                                  <a:pt x="22871" y="0"/>
                                </a:moveTo>
                                <a:lnTo>
                                  <a:pt x="2133363" y="0"/>
                                </a:lnTo>
                                <a:cubicBezTo>
                                  <a:pt x="2145994" y="0"/>
                                  <a:pt x="2156234" y="10388"/>
                                  <a:pt x="2156234" y="23202"/>
                                </a:cubicBezTo>
                                <a:lnTo>
                                  <a:pt x="2156234" y="139533"/>
                                </a:lnTo>
                                <a:cubicBezTo>
                                  <a:pt x="2156234" y="152347"/>
                                  <a:pt x="2145994" y="162734"/>
                                  <a:pt x="2133363" y="162734"/>
                                </a:cubicBezTo>
                                <a:lnTo>
                                  <a:pt x="22871" y="162734"/>
                                </a:lnTo>
                                <a:cubicBezTo>
                                  <a:pt x="10240" y="162734"/>
                                  <a:pt x="0" y="152347"/>
                                  <a:pt x="0" y="139533"/>
                                </a:cubicBezTo>
                                <a:lnTo>
                                  <a:pt x="0" y="23202"/>
                                </a:lnTo>
                                <a:cubicBezTo>
                                  <a:pt x="0" y="10388"/>
                                  <a:pt x="10240" y="0"/>
                                  <a:pt x="22871" y="0"/>
                                </a:cubicBezTo>
                                <a:close/>
                              </a:path>
                            </a:pathLst>
                          </a:custGeom>
                          <a:ln w="0" cap="flat">
                            <a:miter lim="127000"/>
                          </a:ln>
                        </wps:spPr>
                        <wps:style>
                          <a:lnRef idx="0">
                            <a:srgbClr val="000000">
                              <a:alpha val="0"/>
                            </a:srgbClr>
                          </a:lnRef>
                          <a:fillRef idx="1">
                            <a:srgbClr val="1B1E22">
                              <a:alpha val="5098"/>
                            </a:srgbClr>
                          </a:fillRef>
                          <a:effectRef idx="0">
                            <a:scrgbClr r="0" g="0" b="0"/>
                          </a:effectRef>
                          <a:fontRef idx="none"/>
                        </wps:style>
                        <wps:bodyPr/>
                      </wps:wsp>
                    </wpg:wgp>
                  </a:graphicData>
                </a:graphic>
              </wp:anchor>
            </w:drawing>
          </mc:Choice>
          <mc:Fallback xmlns:a="http://schemas.openxmlformats.org/drawingml/2006/main">
            <w:pict>
              <v:group id="Group 31824" style="width:169.782pt;height:12.8137pt;position:absolute;z-index:-2147483091;mso-position-horizontal-relative:text;mso-position-horizontal:absolute;margin-left:82.6296pt;mso-position-vertical-relative:text;margin-top:-0.737305pt;" coordsize="21562,1627">
                <v:shape id="Shape 2011" style="position:absolute;width:21562;height:1627;left:0;top:0;" coordsize="2156234,162734" path="m22871,0l2133363,0c2145994,0,2156234,10388,2156234,23202l2156234,139533c2156234,152347,2145994,162734,2133363,162734l22871,162734c10240,162734,0,152347,0,139533l0,23202c0,10388,10240,0,22871,0x">
                  <v:stroke weight="0pt" endcap="flat" joinstyle="miter" miterlimit="10" on="false" color="#000000" opacity="0"/>
                  <v:fill on="true" color="#1b1e22" opacity="0.0509804"/>
                </v:shape>
              </v:group>
            </w:pict>
          </mc:Fallback>
        </mc:AlternateContent>
      </w:r>
      <w:r>
        <w:rPr>
          <w:rFonts w:ascii="微软雅黑" w:eastAsia="微软雅黑" w:hAnsi="微软雅黑" w:cs="微软雅黑"/>
          <w:b/>
          <w:sz w:val="19"/>
        </w:rPr>
        <w:t>融合编码器</w:t>
      </w:r>
      <w:r>
        <w:rPr>
          <w:rFonts w:ascii="微软雅黑" w:eastAsia="微软雅黑" w:hAnsi="微软雅黑" w:cs="微软雅黑"/>
          <w:color w:val="24282E"/>
          <w:sz w:val="19"/>
        </w:rPr>
        <w:t xml:space="preserve">:将 </w:t>
      </w:r>
      <w:r>
        <w:rPr>
          <w:rFonts w:ascii="微软雅黑" w:eastAsia="微软雅黑" w:hAnsi="微软雅黑" w:cs="微软雅黑"/>
          <w:color w:val="545454"/>
          <w:sz w:val="16"/>
        </w:rPr>
        <w:t>[CLS] + 8 段 token + 62 特征 token</w:t>
      </w:r>
      <w:r>
        <w:rPr>
          <w:rFonts w:ascii="微软雅黑" w:eastAsia="微软雅黑" w:hAnsi="微软雅黑" w:cs="微软雅黑"/>
          <w:color w:val="24282E"/>
          <w:sz w:val="19"/>
        </w:rPr>
        <w:t xml:space="preserve"> 拼接(共 71 个 token)送⼊ 2 层 Transformer 编码器(d=64,4 头)做⾃注意⼒⸺序列与特征在</w:t>
      </w:r>
      <w:r>
        <w:rPr>
          <w:rFonts w:ascii="微软雅黑" w:eastAsia="微软雅黑" w:hAnsi="微软雅黑" w:cs="微软雅黑"/>
          <w:b/>
          <w:sz w:val="19"/>
        </w:rPr>
        <w:t>同⼀注意⼒空间互相查阅</w:t>
      </w:r>
      <w:r>
        <w:rPr>
          <w:rFonts w:ascii="微软雅黑" w:eastAsia="微软雅黑" w:hAnsi="微软雅黑" w:cs="微软雅黑"/>
          <w:color w:val="24282E"/>
          <w:sz w:val="19"/>
        </w:rPr>
        <w:t>,⽽⾮各⾃编码后硬拼;</w:t>
      </w:r>
    </w:p>
    <w:p w14:paraId="5186C7DD" w14:textId="77777777" w:rsidR="005E4DC0" w:rsidRDefault="00931588">
      <w:pPr>
        <w:spacing w:after="98"/>
        <w:ind w:left="165" w:right="46" w:hanging="10"/>
        <w:jc w:val="both"/>
      </w:pPr>
      <w:r>
        <w:rPr>
          <w:rFonts w:ascii="微软雅黑" w:eastAsia="微软雅黑" w:hAnsi="微软雅黑" w:cs="微软雅黑"/>
          <w:b/>
          <w:sz w:val="19"/>
        </w:rPr>
        <w:t>分类头</w:t>
      </w:r>
      <w:r>
        <w:rPr>
          <w:rFonts w:ascii="微软雅黑" w:eastAsia="微软雅黑" w:hAnsi="微软雅黑" w:cs="微软雅黑"/>
          <w:color w:val="24282E"/>
          <w:sz w:val="19"/>
        </w:rPr>
        <w:t>:取 [CLS] 经 LayerNorm → Linear(64) → ReLU → Dropout → Linear(2) 输出⼆分类;</w:t>
      </w:r>
    </w:p>
    <w:p w14:paraId="3AAE4E5D" w14:textId="77777777" w:rsidR="005E4DC0" w:rsidRDefault="00931588">
      <w:pPr>
        <w:spacing w:after="43"/>
        <w:ind w:left="165" w:right="46" w:hanging="10"/>
        <w:jc w:val="both"/>
      </w:pPr>
      <w:r>
        <w:rPr>
          <w:rFonts w:ascii="微软雅黑" w:eastAsia="微软雅黑" w:hAnsi="微软雅黑" w:cs="微软雅黑"/>
          <w:b/>
          <w:sz w:val="19"/>
        </w:rPr>
        <w:t>损失与优化</w:t>
      </w:r>
      <w:r>
        <w:rPr>
          <w:rFonts w:ascii="微软雅黑" w:eastAsia="微软雅黑" w:hAnsi="微软雅黑" w:cs="微软雅黑"/>
          <w:color w:val="24282E"/>
          <w:sz w:val="19"/>
        </w:rPr>
        <w:t>:加权交叉熵(正样本权重 ≈ 负样本数/正样本数 ≈ 20,缓解类别不平衡);AdamW(lr=1e-3, weight_decay=1e-</w:t>
      </w:r>
    </w:p>
    <w:p w14:paraId="4C0120E6" w14:textId="77777777" w:rsidR="005E4DC0" w:rsidRDefault="00931588">
      <w:pPr>
        <w:spacing w:after="235"/>
        <w:ind w:left="405" w:right="46" w:hanging="10"/>
        <w:jc w:val="both"/>
      </w:pPr>
      <w:r>
        <w:rPr>
          <w:rFonts w:ascii="微软雅黑" w:eastAsia="微软雅黑" w:hAnsi="微软雅黑" w:cs="微软雅黑"/>
          <w:color w:val="24282E"/>
          <w:sz w:val="19"/>
        </w:rPr>
        <w:t>4),Cosine 退⽕,30 epoch 完整训练。</w:t>
      </w:r>
    </w:p>
    <w:p w14:paraId="6257EC99" w14:textId="77777777" w:rsidR="005E4DC0" w:rsidRDefault="00931588">
      <w:pPr>
        <w:spacing w:after="409" w:line="305" w:lineRule="auto"/>
        <w:ind w:left="6" w:hanging="10"/>
      </w:pPr>
      <w:r>
        <w:rPr>
          <w:rFonts w:ascii="微软雅黑" w:eastAsia="微软雅黑" w:hAnsi="微软雅黑" w:cs="微软雅黑"/>
          <w:color w:val="24282E"/>
          <w:sz w:val="19"/>
        </w:rPr>
        <w:t>该模型的优势在于:1时序分⽀直接从原始信号学习判别模式,且分段池化保留"充电进程"的物理结构;2特征 token 与序列 token 在同⼀注意⼒空间交互,使模型既能利⽤⾼度浓缩的领域统计量,⼜能让特征"主动查阅"时序哪⼀段与之相关;3参数量⼩(约 22.4 万), 适合边缘部署;4⾃注意⼒权重天然提供"序列×特征"的可解释性(⻅ §3.4)。</w:t>
      </w:r>
    </w:p>
    <w:p w14:paraId="621C89A3" w14:textId="77777777" w:rsidR="005E4DC0" w:rsidRDefault="00931588">
      <w:pPr>
        <w:pStyle w:val="2"/>
        <w:ind w:left="6"/>
        <w:rPr>
          <w:rFonts w:hint="eastAsia"/>
        </w:rPr>
      </w:pPr>
      <w:r>
        <w:rPr>
          <w:b w:val="0"/>
        </w:rPr>
        <w:t xml:space="preserve">3.4 </w:t>
      </w:r>
      <w:r>
        <w:t>多视⻆可解释性</w:t>
      </w:r>
      <w:r>
        <w:rPr>
          <w:b w:val="0"/>
          <w:color w:val="0366D6"/>
        </w:rPr>
        <w:t xml:space="preserve"> </w:t>
      </w:r>
    </w:p>
    <w:p w14:paraId="7BD92D2B" w14:textId="77777777" w:rsidR="005E4DC0" w:rsidRDefault="00931588">
      <w:pPr>
        <w:spacing w:after="235"/>
        <w:ind w:left="6" w:right="46" w:hanging="10"/>
        <w:jc w:val="both"/>
      </w:pPr>
      <w:r>
        <w:rPr>
          <w:rFonts w:ascii="微软雅黑" w:eastAsia="微软雅黑" w:hAnsi="微软雅黑" w:cs="微软雅黑"/>
          <w:color w:val="24282E"/>
          <w:sz w:val="19"/>
        </w:rPr>
        <w:t>为满⾜ EU AI Act 第 13 条透明度要求,采⽤</w:t>
      </w:r>
      <w:r>
        <w:rPr>
          <w:rFonts w:ascii="微软雅黑" w:eastAsia="微软雅黑" w:hAnsi="微软雅黑" w:cs="微软雅黑"/>
          <w:b/>
          <w:sz w:val="19"/>
        </w:rPr>
        <w:t>多视⻆可解释归因</w:t>
      </w:r>
      <w:r>
        <w:rPr>
          <w:rFonts w:ascii="微软雅黑" w:eastAsia="微软雅黑" w:hAnsi="微软雅黑" w:cs="微软雅黑"/>
          <w:color w:val="24282E"/>
          <w:sz w:val="19"/>
        </w:rPr>
        <w:t>:</w:t>
      </w:r>
    </w:p>
    <w:p w14:paraId="55A6CD98" w14:textId="77777777" w:rsidR="005E4DC0" w:rsidRDefault="00931588">
      <w:pPr>
        <w:spacing w:after="235"/>
        <w:ind w:left="395" w:right="46" w:hanging="240"/>
        <w:jc w:val="both"/>
      </w:pPr>
      <w:r>
        <w:rPr>
          <w:noProof/>
        </w:rPr>
        <mc:AlternateContent>
          <mc:Choice Requires="wpg">
            <w:drawing>
              <wp:inline distT="0" distB="0" distL="0" distR="0" wp14:anchorId="0A22F655" wp14:editId="7A50DED6">
                <wp:extent cx="45769" cy="45769"/>
                <wp:effectExtent l="0" t="0" r="0" b="0"/>
                <wp:docPr id="31825" name="Group 31825"/>
                <wp:cNvGraphicFramePr/>
                <a:graphic xmlns:a="http://schemas.openxmlformats.org/drawingml/2006/main">
                  <a:graphicData uri="http://schemas.microsoft.com/office/word/2010/wordprocessingGroup">
                    <wpg:wgp>
                      <wpg:cNvGrpSpPr/>
                      <wpg:grpSpPr>
                        <a:xfrm>
                          <a:off x="0" y="0"/>
                          <a:ext cx="45769" cy="45769"/>
                          <a:chOff x="0" y="0"/>
                          <a:chExt cx="45769" cy="45769"/>
                        </a:xfrm>
                      </wpg:grpSpPr>
                      <wps:wsp>
                        <wps:cNvPr id="2197" name="Shape 2197"/>
                        <wps:cNvSpPr/>
                        <wps:spPr>
                          <a:xfrm>
                            <a:off x="0" y="0"/>
                            <a:ext cx="45769" cy="45769"/>
                          </a:xfrm>
                          <a:custGeom>
                            <a:avLst/>
                            <a:gdLst/>
                            <a:ahLst/>
                            <a:cxnLst/>
                            <a:rect l="0" t="0" r="0" b="0"/>
                            <a:pathLst>
                              <a:path w="45769" h="45769">
                                <a:moveTo>
                                  <a:pt x="22885" y="0"/>
                                </a:moveTo>
                                <a:cubicBezTo>
                                  <a:pt x="35523" y="0"/>
                                  <a:pt x="45769" y="10246"/>
                                  <a:pt x="45769" y="22885"/>
                                </a:cubicBezTo>
                                <a:cubicBezTo>
                                  <a:pt x="45769" y="35523"/>
                                  <a:pt x="35523" y="45769"/>
                                  <a:pt x="22885" y="45769"/>
                                </a:cubicBezTo>
                                <a:cubicBezTo>
                                  <a:pt x="10246" y="45769"/>
                                  <a:pt x="0" y="35523"/>
                                  <a:pt x="0" y="22885"/>
                                </a:cubicBezTo>
                                <a:cubicBezTo>
                                  <a:pt x="0" y="10246"/>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g:wgp>
                  </a:graphicData>
                </a:graphic>
              </wp:inline>
            </w:drawing>
          </mc:Choice>
          <mc:Fallback xmlns:a="http://schemas.openxmlformats.org/drawingml/2006/main">
            <w:pict>
              <v:group id="Group 31825" style="width:3.60387pt;height:3.60388pt;mso-position-horizontal-relative:char;mso-position-vertical-relative:line" coordsize="457,457">
                <v:shape id="Shape 2197" style="position:absolute;width:457;height:457;left:0;top:0;" coordsize="45769,45769" path="m22885,0c35523,0,45769,10246,45769,22885c45769,35523,35523,45769,22885,45769c10246,45769,0,35523,0,22885c0,10246,10246,0,22885,0x">
                  <v:stroke weight="0pt" endcap="flat" joinstyle="miter" miterlimit="10" on="false" color="#000000" opacity="0"/>
                  <v:fill on="true" color="#24282e"/>
                </v:shape>
              </v:group>
            </w:pict>
          </mc:Fallback>
        </mc:AlternateContent>
      </w:r>
      <w:r>
        <w:rPr>
          <w:rFonts w:ascii="微软雅黑" w:eastAsia="微软雅黑" w:hAnsi="微软雅黑" w:cs="微软雅黑"/>
          <w:b/>
          <w:sz w:val="19"/>
        </w:rPr>
        <w:t xml:space="preserve"> 序列</w:t>
      </w:r>
      <w:r>
        <w:rPr>
          <w:rFonts w:ascii="微软雅黑" w:eastAsia="微软雅黑" w:hAnsi="微软雅黑" w:cs="微软雅黑"/>
          <w:sz w:val="19"/>
        </w:rPr>
        <w:t>×</w:t>
      </w:r>
      <w:r>
        <w:rPr>
          <w:rFonts w:ascii="微软雅黑" w:eastAsia="微软雅黑" w:hAnsi="微软雅黑" w:cs="微软雅黑"/>
          <w:b/>
          <w:sz w:val="19"/>
        </w:rPr>
        <w:t>特征归因</w:t>
      </w:r>
      <w:r>
        <w:rPr>
          <w:rFonts w:ascii="微软雅黑" w:eastAsia="微软雅黑" w:hAnsi="微软雅黑" w:cs="微软雅黑"/>
          <w:sz w:val="19"/>
        </w:rPr>
        <w:t>(</w:t>
      </w:r>
      <w:r>
        <w:rPr>
          <w:rFonts w:ascii="微软雅黑" w:eastAsia="微软雅黑" w:hAnsi="微软雅黑" w:cs="微软雅黑"/>
          <w:b/>
          <w:sz w:val="19"/>
        </w:rPr>
        <w:t>⾃注意⼒</w:t>
      </w:r>
      <w:r>
        <w:rPr>
          <w:rFonts w:ascii="微软雅黑" w:eastAsia="微软雅黑" w:hAnsi="微软雅黑" w:cs="微软雅黑"/>
          <w:sz w:val="19"/>
        </w:rPr>
        <w:t>)</w:t>
      </w:r>
      <w:r>
        <w:rPr>
          <w:rFonts w:ascii="微软雅黑" w:eastAsia="微软雅黑" w:hAnsi="微软雅黑" w:cs="微软雅黑"/>
          <w:color w:val="24282E"/>
          <w:sz w:val="19"/>
        </w:rPr>
        <w:t>:取 Transformer 编码器最后⼀层 [CLS] token 的注意⼒分布,回答"哪个特征 token 在关注哪段充电进程,正常 vs 异常如何不同";</w:t>
      </w:r>
    </w:p>
    <w:p w14:paraId="7B2A2D89" w14:textId="77777777" w:rsidR="005E4DC0" w:rsidRDefault="00931588">
      <w:pPr>
        <w:spacing w:after="4" w:line="394" w:lineRule="auto"/>
        <w:ind w:left="-4" w:firstLine="168"/>
      </w:pPr>
      <w:r>
        <w:rPr>
          <w:noProof/>
        </w:rPr>
        <mc:AlternateContent>
          <mc:Choice Requires="wpg">
            <w:drawing>
              <wp:anchor distT="0" distB="0" distL="114300" distR="114300" simplePos="0" relativeHeight="251663360" behindDoc="0" locked="0" layoutInCell="1" allowOverlap="1" wp14:anchorId="0B81AE48" wp14:editId="0907C16C">
                <wp:simplePos x="0" y="0"/>
                <wp:positionH relativeFrom="column">
                  <wp:posOffset>98416</wp:posOffset>
                </wp:positionH>
                <wp:positionV relativeFrom="paragraph">
                  <wp:posOffset>48198</wp:posOffset>
                </wp:positionV>
                <wp:extent cx="45769" cy="442434"/>
                <wp:effectExtent l="0" t="0" r="0" b="0"/>
                <wp:wrapSquare wrapText="bothSides"/>
                <wp:docPr id="34111" name="Group 34111"/>
                <wp:cNvGraphicFramePr/>
                <a:graphic xmlns:a="http://schemas.openxmlformats.org/drawingml/2006/main">
                  <a:graphicData uri="http://schemas.microsoft.com/office/word/2010/wordprocessingGroup">
                    <wpg:wgp>
                      <wpg:cNvGrpSpPr/>
                      <wpg:grpSpPr>
                        <a:xfrm>
                          <a:off x="0" y="0"/>
                          <a:ext cx="45769" cy="442434"/>
                          <a:chOff x="0" y="0"/>
                          <a:chExt cx="45769" cy="442434"/>
                        </a:xfrm>
                      </wpg:grpSpPr>
                      <wps:wsp>
                        <wps:cNvPr id="2590" name="Shape 2590"/>
                        <wps:cNvSpPr/>
                        <wps:spPr>
                          <a:xfrm>
                            <a:off x="0" y="0"/>
                            <a:ext cx="45769" cy="45769"/>
                          </a:xfrm>
                          <a:custGeom>
                            <a:avLst/>
                            <a:gdLst/>
                            <a:ahLst/>
                            <a:cxnLst/>
                            <a:rect l="0" t="0" r="0" b="0"/>
                            <a:pathLst>
                              <a:path w="45769" h="45769">
                                <a:moveTo>
                                  <a:pt x="22885" y="0"/>
                                </a:moveTo>
                                <a:cubicBezTo>
                                  <a:pt x="35523" y="0"/>
                                  <a:pt x="45769" y="10245"/>
                                  <a:pt x="45769" y="22885"/>
                                </a:cubicBezTo>
                                <a:cubicBezTo>
                                  <a:pt x="45769" y="35523"/>
                                  <a:pt x="35523" y="45769"/>
                                  <a:pt x="22885" y="45769"/>
                                </a:cubicBezTo>
                                <a:cubicBezTo>
                                  <a:pt x="10246" y="45769"/>
                                  <a:pt x="0" y="35523"/>
                                  <a:pt x="0" y="22885"/>
                                </a:cubicBezTo>
                                <a:cubicBezTo>
                                  <a:pt x="0" y="10245"/>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s:wsp>
                        <wps:cNvPr id="2638" name="Shape 2638"/>
                        <wps:cNvSpPr/>
                        <wps:spPr>
                          <a:xfrm>
                            <a:off x="0" y="396666"/>
                            <a:ext cx="45769" cy="45769"/>
                          </a:xfrm>
                          <a:custGeom>
                            <a:avLst/>
                            <a:gdLst/>
                            <a:ahLst/>
                            <a:cxnLst/>
                            <a:rect l="0" t="0" r="0" b="0"/>
                            <a:pathLst>
                              <a:path w="45769" h="45769">
                                <a:moveTo>
                                  <a:pt x="22885" y="0"/>
                                </a:moveTo>
                                <a:cubicBezTo>
                                  <a:pt x="35523" y="0"/>
                                  <a:pt x="45769" y="10245"/>
                                  <a:pt x="45769" y="22884"/>
                                </a:cubicBezTo>
                                <a:cubicBezTo>
                                  <a:pt x="45769" y="35523"/>
                                  <a:pt x="35523" y="45769"/>
                                  <a:pt x="22885" y="45769"/>
                                </a:cubicBezTo>
                                <a:cubicBezTo>
                                  <a:pt x="10246" y="45769"/>
                                  <a:pt x="0" y="35523"/>
                                  <a:pt x="0" y="22884"/>
                                </a:cubicBezTo>
                                <a:cubicBezTo>
                                  <a:pt x="0" y="10245"/>
                                  <a:pt x="10246" y="0"/>
                                  <a:pt x="22885" y="0"/>
                                </a:cubicBezTo>
                                <a:close/>
                              </a:path>
                            </a:pathLst>
                          </a:custGeom>
                          <a:ln w="0" cap="flat">
                            <a:miter lim="127000"/>
                          </a:ln>
                        </wps:spPr>
                        <wps:style>
                          <a:lnRef idx="0">
                            <a:srgbClr val="000000">
                              <a:alpha val="0"/>
                            </a:srgbClr>
                          </a:lnRef>
                          <a:fillRef idx="1">
                            <a:srgbClr val="24282E"/>
                          </a:fillRef>
                          <a:effectRef idx="0">
                            <a:scrgbClr r="0" g="0" b="0"/>
                          </a:effectRef>
                          <a:fontRef idx="none"/>
                        </wps:style>
                        <wps:bodyPr/>
                      </wps:wsp>
                    </wpg:wgp>
                  </a:graphicData>
                </a:graphic>
              </wp:anchor>
            </w:drawing>
          </mc:Choice>
          <mc:Fallback xmlns:a="http://schemas.openxmlformats.org/drawingml/2006/main">
            <w:pict>
              <v:group id="Group 34111" style="width:3.60387pt;height:34.8373pt;position:absolute;mso-position-horizontal-relative:text;mso-position-horizontal:absolute;margin-left:7.74925pt;mso-position-vertical-relative:text;margin-top:3.79515pt;" coordsize="457,4424">
                <v:shape id="Shape 2590" style="position:absolute;width:457;height:457;left:0;top:0;" coordsize="45769,45769" path="m22885,0c35523,0,45769,10245,45769,22885c45769,35523,35523,45769,22885,45769c10246,45769,0,35523,0,22885c0,10245,10246,0,22885,0x">
                  <v:stroke weight="0pt" endcap="flat" joinstyle="miter" miterlimit="10" on="false" color="#000000" opacity="0"/>
                  <v:fill on="true" color="#24282e"/>
                </v:shape>
                <v:shape id="Shape 2638" style="position:absolute;width:457;height:457;left:0;top:3966;" coordsize="45769,45769" path="m22885,0c35523,0,45769,10245,45769,22884c45769,35523,35523,45769,22885,45769c10246,45769,0,35523,0,22884c0,10245,10246,0,22885,0x">
                  <v:stroke weight="0pt" endcap="flat" joinstyle="miter" miterlimit="10" on="false" color="#000000" opacity="0"/>
                  <v:fill on="true" color="#24282e"/>
                </v:shape>
                <w10:wrap type="square"/>
              </v:group>
            </w:pict>
          </mc:Fallback>
        </mc:AlternateContent>
      </w:r>
      <w:r>
        <w:rPr>
          <w:rFonts w:ascii="微软雅黑" w:eastAsia="微软雅黑" w:hAnsi="微软雅黑" w:cs="微软雅黑"/>
          <w:b/>
          <w:sz w:val="19"/>
        </w:rPr>
        <w:t>特征归因</w:t>
      </w:r>
      <w:r>
        <w:rPr>
          <w:rFonts w:ascii="微软雅黑" w:eastAsia="微软雅黑" w:hAnsi="微软雅黑" w:cs="微软雅黑"/>
          <w:sz w:val="19"/>
        </w:rPr>
        <w:t>(</w:t>
      </w:r>
      <w:r>
        <w:rPr>
          <w:rFonts w:ascii="微软雅黑" w:eastAsia="微软雅黑" w:hAnsi="微软雅黑" w:cs="微软雅黑"/>
          <w:b/>
          <w:sz w:val="19"/>
        </w:rPr>
        <w:t>置换特征重要性</w:t>
      </w:r>
      <w:r>
        <w:rPr>
          <w:rFonts w:ascii="微软雅黑" w:eastAsia="微软雅黑" w:hAnsi="微软雅黑" w:cs="微软雅黑"/>
          <w:sz w:val="19"/>
        </w:rPr>
        <w:t xml:space="preserve"> + </w:t>
      </w:r>
      <w:r>
        <w:rPr>
          <w:rFonts w:ascii="微软雅黑" w:eastAsia="微软雅黑" w:hAnsi="微软雅黑" w:cs="微软雅黑"/>
          <w:b/>
          <w:sz w:val="19"/>
        </w:rPr>
        <w:t>特征组消融</w:t>
      </w:r>
      <w:r>
        <w:rPr>
          <w:rFonts w:ascii="微软雅黑" w:eastAsia="微软雅黑" w:hAnsi="微软雅黑" w:cs="微软雅黑"/>
          <w:sz w:val="19"/>
        </w:rPr>
        <w:t>)</w:t>
      </w:r>
      <w:r>
        <w:rPr>
          <w:rFonts w:ascii="微软雅黑" w:eastAsia="微软雅黑" w:hAnsi="微软雅黑" w:cs="微软雅黑"/>
          <w:color w:val="24282E"/>
          <w:sz w:val="19"/>
        </w:rPr>
        <w:t xml:space="preserve">:①置换重要性⸺逐⼀打乱测试集该特征列,观测 PR-AUC 下降,下降越⼤越重要(模型⽆关,直接作⽤于 Token-Attn);②特征组消融⸺逐组移除 5 类特征重新训练,量化各组对性能的贡献; </w:t>
      </w:r>
      <w:r>
        <w:rPr>
          <w:rFonts w:ascii="微软雅黑" w:eastAsia="微软雅黑" w:hAnsi="微软雅黑" w:cs="微软雅黑"/>
          <w:b/>
          <w:sz w:val="19"/>
        </w:rPr>
        <w:t>交叉印证</w:t>
      </w:r>
      <w:r>
        <w:rPr>
          <w:rFonts w:ascii="微软雅黑" w:eastAsia="微软雅黑" w:hAnsi="微软雅黑" w:cs="微软雅黑"/>
          <w:color w:val="24282E"/>
          <w:sz w:val="19"/>
        </w:rPr>
        <w:t>:三路归因(注意⼒ + 置换重要性 + 消融)从三个独⽴视⻆解释模型,结论⼀致(⻅ §4.3)。归因结果⽤于:1运维⼈员诊断指导("为何告警")2模型不⾜⽅向分析 3监管审计依据。</w:t>
      </w:r>
    </w:p>
    <w:p w14:paraId="1C21E180" w14:textId="77777777" w:rsidR="005E4DC0" w:rsidRDefault="00931588">
      <w:pPr>
        <w:spacing w:after="370"/>
        <w:ind w:left="11" w:right="-4"/>
      </w:pPr>
      <w:r>
        <w:rPr>
          <w:noProof/>
        </w:rPr>
        <mc:AlternateContent>
          <mc:Choice Requires="wpg">
            <w:drawing>
              <wp:inline distT="0" distB="0" distL="0" distR="0" wp14:anchorId="099407BB" wp14:editId="0EF94CF4">
                <wp:extent cx="6936566" cy="40684"/>
                <wp:effectExtent l="0" t="0" r="0" b="0"/>
                <wp:docPr id="34109" name="Group 34109"/>
                <wp:cNvGraphicFramePr/>
                <a:graphic xmlns:a="http://schemas.openxmlformats.org/drawingml/2006/main">
                  <a:graphicData uri="http://schemas.microsoft.com/office/word/2010/wordprocessingGroup">
                    <wpg:wgp>
                      <wpg:cNvGrpSpPr/>
                      <wpg:grpSpPr>
                        <a:xfrm>
                          <a:off x="0" y="0"/>
                          <a:ext cx="6936566" cy="40684"/>
                          <a:chOff x="0" y="0"/>
                          <a:chExt cx="6936566" cy="40684"/>
                        </a:xfrm>
                      </wpg:grpSpPr>
                      <wps:wsp>
                        <wps:cNvPr id="36645" name="Shape 36645"/>
                        <wps:cNvSpPr/>
                        <wps:spPr>
                          <a:xfrm>
                            <a:off x="0" y="0"/>
                            <a:ext cx="6936566" cy="40684"/>
                          </a:xfrm>
                          <a:custGeom>
                            <a:avLst/>
                            <a:gdLst/>
                            <a:ahLst/>
                            <a:cxnLst/>
                            <a:rect l="0" t="0" r="0" b="0"/>
                            <a:pathLst>
                              <a:path w="6936566" h="40684">
                                <a:moveTo>
                                  <a:pt x="0" y="0"/>
                                </a:moveTo>
                                <a:lnTo>
                                  <a:pt x="6936566" y="0"/>
                                </a:lnTo>
                                <a:lnTo>
                                  <a:pt x="6936566" y="40684"/>
                                </a:lnTo>
                                <a:lnTo>
                                  <a:pt x="0" y="40684"/>
                                </a:lnTo>
                                <a:lnTo>
                                  <a:pt x="0" y="0"/>
                                </a:lnTo>
                              </a:path>
                            </a:pathLst>
                          </a:custGeom>
                          <a:ln w="0" cap="flat">
                            <a:miter lim="127000"/>
                          </a:ln>
                        </wps:spPr>
                        <wps:style>
                          <a:lnRef idx="0">
                            <a:srgbClr val="000000">
                              <a:alpha val="0"/>
                            </a:srgbClr>
                          </a:lnRef>
                          <a:fillRef idx="1">
                            <a:srgbClr val="E0E4E8"/>
                          </a:fillRef>
                          <a:effectRef idx="0">
                            <a:scrgbClr r="0" g="0" b="0"/>
                          </a:effectRef>
                          <a:fontRef idx="none"/>
                        </wps:style>
                        <wps:bodyPr/>
                      </wps:wsp>
                      <wps:wsp>
                        <wps:cNvPr id="36646" name="Shape 36646"/>
                        <wps:cNvSpPr/>
                        <wps:spPr>
                          <a:xfrm>
                            <a:off x="0" y="30514"/>
                            <a:ext cx="6936566" cy="10170"/>
                          </a:xfrm>
                          <a:custGeom>
                            <a:avLst/>
                            <a:gdLst/>
                            <a:ahLst/>
                            <a:cxnLst/>
                            <a:rect l="0" t="0" r="0" b="0"/>
                            <a:pathLst>
                              <a:path w="6936566" h="10170">
                                <a:moveTo>
                                  <a:pt x="0" y="0"/>
                                </a:moveTo>
                                <a:lnTo>
                                  <a:pt x="6936566" y="0"/>
                                </a:lnTo>
                                <a:lnTo>
                                  <a:pt x="6936566" y="10170"/>
                                </a:lnTo>
                                <a:lnTo>
                                  <a:pt x="0" y="10170"/>
                                </a:lnTo>
                                <a:lnTo>
                                  <a:pt x="0" y="0"/>
                                </a:lnTo>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inline>
            </w:drawing>
          </mc:Choice>
          <mc:Fallback xmlns:a="http://schemas.openxmlformats.org/drawingml/2006/main">
            <w:pict>
              <v:group id="Group 34109" style="width:546.186pt;height:3.20343pt;mso-position-horizontal-relative:char;mso-position-vertical-relative:line" coordsize="69365,406">
                <v:shape id="Shape 36647" style="position:absolute;width:69365;height:406;left:0;top:0;" coordsize="6936566,40684" path="m0,0l6936566,0l6936566,40684l0,40684l0,0">
                  <v:stroke weight="0pt" endcap="flat" joinstyle="miter" miterlimit="10" on="false" color="#000000" opacity="0"/>
                  <v:fill on="true" color="#e0e4e8"/>
                </v:shape>
                <v:shape id="Shape 36648" style="position:absolute;width:69365;height:101;left:0;top:305;" coordsize="6936566,10170" path="m0,0l6936566,0l6936566,10170l0,10170l0,0">
                  <v:stroke weight="0pt" endcap="flat" joinstyle="miter" miterlimit="10" on="false" color="#000000" opacity="0"/>
                  <v:fill on="true" color="#ededed"/>
                </v:shape>
              </v:group>
            </w:pict>
          </mc:Fallback>
        </mc:AlternateContent>
      </w:r>
    </w:p>
    <w:p w14:paraId="5AD4A15F" w14:textId="77777777" w:rsidR="005E4DC0" w:rsidRDefault="00931588">
      <w:pPr>
        <w:pStyle w:val="1"/>
        <w:ind w:left="6"/>
        <w:rPr>
          <w:rFonts w:hint="eastAsia"/>
        </w:rPr>
      </w:pPr>
      <w:r>
        <w:t xml:space="preserve">4. </w:t>
      </w:r>
      <w:r>
        <w:rPr>
          <w:b/>
        </w:rPr>
        <w:t>实验</w:t>
      </w:r>
      <w:r>
        <w:rPr>
          <w:color w:val="0366D6"/>
        </w:rPr>
        <w:t xml:space="preserve"> </w:t>
      </w:r>
    </w:p>
    <w:p w14:paraId="2A3FAA5B" w14:textId="77777777" w:rsidR="005E4DC0" w:rsidRDefault="00931588">
      <w:pPr>
        <w:spacing w:after="356"/>
        <w:ind w:left="11" w:right="-4"/>
      </w:pPr>
      <w:r>
        <w:rPr>
          <w:noProof/>
        </w:rPr>
        <mc:AlternateContent>
          <mc:Choice Requires="wpg">
            <w:drawing>
              <wp:inline distT="0" distB="0" distL="0" distR="0" wp14:anchorId="0D09F314" wp14:editId="51BEEFDA">
                <wp:extent cx="6936566" cy="10171"/>
                <wp:effectExtent l="0" t="0" r="0" b="0"/>
                <wp:docPr id="34110" name="Group 34110"/>
                <wp:cNvGraphicFramePr/>
                <a:graphic xmlns:a="http://schemas.openxmlformats.org/drawingml/2006/main">
                  <a:graphicData uri="http://schemas.microsoft.com/office/word/2010/wordprocessingGroup">
                    <wpg:wgp>
                      <wpg:cNvGrpSpPr/>
                      <wpg:grpSpPr>
                        <a:xfrm>
                          <a:off x="0" y="0"/>
                          <a:ext cx="6936566" cy="10171"/>
                          <a:chOff x="0" y="0"/>
                          <a:chExt cx="6936566" cy="10171"/>
                        </a:xfrm>
                      </wpg:grpSpPr>
                      <wps:wsp>
                        <wps:cNvPr id="36649" name="Shape 36649"/>
                        <wps:cNvSpPr/>
                        <wps:spPr>
                          <a:xfrm>
                            <a:off x="0" y="0"/>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34110" style="width:546.186pt;height:0.800903pt;mso-position-horizontal-relative:char;mso-position-vertical-relative:line" coordsize="69365,101">
                <v:shape id="Shape 36650" style="position:absolute;width:69365;height:101;left:0;top:0;" coordsize="6936566,10171" path="m0,0l6936566,0l6936566,10171l0,10171l0,0">
                  <v:stroke weight="0pt" endcap="flat" joinstyle="miter" miterlimit="10" on="false" color="#000000" opacity="0"/>
                  <v:fill on="true" color="#eaecef"/>
                </v:shape>
              </v:group>
            </w:pict>
          </mc:Fallback>
        </mc:AlternateContent>
      </w:r>
    </w:p>
    <w:p w14:paraId="67772DA9" w14:textId="77777777" w:rsidR="005E4DC0" w:rsidRDefault="00931588">
      <w:pPr>
        <w:pStyle w:val="2"/>
        <w:ind w:left="6"/>
        <w:rPr>
          <w:rFonts w:hint="eastAsia"/>
        </w:rPr>
      </w:pPr>
      <w:r>
        <w:rPr>
          <w:b w:val="0"/>
        </w:rPr>
        <w:t xml:space="preserve">4.1 </w:t>
      </w:r>
      <w:r>
        <w:t>实验设置</w:t>
      </w:r>
      <w:r>
        <w:rPr>
          <w:b w:val="0"/>
          <w:color w:val="0366D6"/>
        </w:rPr>
        <w:t xml:space="preserve"> </w:t>
      </w:r>
    </w:p>
    <w:p w14:paraId="621FACF8" w14:textId="77777777" w:rsidR="005E4DC0" w:rsidRDefault="00931588">
      <w:pPr>
        <w:spacing w:after="235"/>
        <w:ind w:left="6" w:right="46" w:hanging="10"/>
        <w:jc w:val="both"/>
      </w:pPr>
      <w:r>
        <w:rPr>
          <w:rFonts w:ascii="微软雅黑" w:eastAsia="微软雅黑" w:hAnsi="微软雅黑" w:cs="微软雅黑"/>
          <w:b/>
          <w:sz w:val="19"/>
        </w:rPr>
        <w:t>实验环境</w:t>
      </w:r>
      <w:r>
        <w:rPr>
          <w:rFonts w:ascii="微软雅黑" w:eastAsia="微软雅黑" w:hAnsi="微软雅黑" w:cs="微软雅黑"/>
          <w:color w:val="24282E"/>
          <w:sz w:val="19"/>
        </w:rPr>
        <w:t>:Python 3.11,PyTorch 2.6(CUDA),NVIDIA H100;scikit-learn 1.9、LightGBM 4.7、XGBoost 3.2。</w:t>
      </w:r>
    </w:p>
    <w:p w14:paraId="743B9A9B" w14:textId="77777777" w:rsidR="005E4DC0" w:rsidRDefault="00931588">
      <w:pPr>
        <w:spacing w:after="235"/>
        <w:ind w:left="6" w:right="46" w:hanging="10"/>
        <w:jc w:val="both"/>
      </w:pPr>
      <w:r>
        <w:rPr>
          <w:rFonts w:ascii="微软雅黑" w:eastAsia="微软雅黑" w:hAnsi="微软雅黑" w:cs="微软雅黑"/>
          <w:b/>
          <w:sz w:val="19"/>
        </w:rPr>
        <w:t>评估指标</w:t>
      </w:r>
      <w:r>
        <w:rPr>
          <w:rFonts w:ascii="微软雅黑" w:eastAsia="微软雅黑" w:hAnsi="微软雅黑" w:cs="微软雅黑"/>
          <w:color w:val="24282E"/>
          <w:sz w:val="19"/>
        </w:rPr>
        <w:t xml:space="preserve">:Recall(查全率)、Precision(查准率)、F1、AUC-ROC、PR-AUC(类别不平衡场景下的严格排序指标)。主指标为 </w:t>
      </w:r>
      <w:r>
        <w:rPr>
          <w:rFonts w:ascii="微软雅黑" w:eastAsia="微软雅黑" w:hAnsi="微软雅黑" w:cs="微软雅黑"/>
          <w:sz w:val="19"/>
        </w:rPr>
        <w:t>PRAUC</w:t>
      </w:r>
      <w:r>
        <w:rPr>
          <w:rFonts w:ascii="微软雅黑" w:eastAsia="微软雅黑" w:hAnsi="微软雅黑" w:cs="微软雅黑"/>
          <w:color w:val="24282E"/>
          <w:sz w:val="19"/>
        </w:rPr>
        <w:t>(阈值⽆关);统计检验采⽤配对 bootstrap(PR-AUC 差,10000 次)与 DeLong 检验(AUC)。</w:t>
      </w:r>
    </w:p>
    <w:p w14:paraId="2DA71775" w14:textId="77777777" w:rsidR="005E4DC0" w:rsidRDefault="00931588">
      <w:pPr>
        <w:spacing w:after="450"/>
        <w:ind w:left="6" w:right="46" w:hanging="10"/>
        <w:jc w:val="both"/>
      </w:pPr>
      <w:r>
        <w:rPr>
          <w:rFonts w:ascii="微软雅黑" w:eastAsia="微软雅黑" w:hAnsi="微软雅黑" w:cs="微软雅黑"/>
          <w:b/>
          <w:sz w:val="19"/>
        </w:rPr>
        <w:t>对⽐⽅法</w:t>
      </w:r>
      <w:r>
        <w:rPr>
          <w:rFonts w:ascii="微软雅黑" w:eastAsia="微软雅黑" w:hAnsi="微软雅黑" w:cs="微软雅黑"/>
          <w:color w:val="24282E"/>
          <w:sz w:val="19"/>
        </w:rPr>
        <w:t>(均按 owner 1-6 训练、owner 7-8 测试的跨站点设定):端到端纯 Bi-LSTM(仅 6 通道原始时序)、 LightGBM/XGBoost(62 维⼿⼯特征);另给出站点⾃适应 Hyper-Network [3] 的同分布成绩作参考。</w:t>
      </w:r>
    </w:p>
    <w:p w14:paraId="7E3BB3C0" w14:textId="77777777" w:rsidR="005E4DC0" w:rsidRDefault="00931588">
      <w:pPr>
        <w:pStyle w:val="2"/>
        <w:ind w:left="6"/>
        <w:rPr>
          <w:rFonts w:hint="eastAsia"/>
        </w:rPr>
      </w:pPr>
      <w:r>
        <w:rPr>
          <w:b w:val="0"/>
        </w:rPr>
        <w:t xml:space="preserve">4.2 </w:t>
      </w:r>
      <w:r>
        <w:t>异常检测性能</w:t>
      </w:r>
      <w:r>
        <w:rPr>
          <w:b w:val="0"/>
          <w:color w:val="0366D6"/>
        </w:rPr>
        <w:t xml:space="preserve"> </w:t>
      </w:r>
    </w:p>
    <w:p w14:paraId="536BBB32" w14:textId="77777777" w:rsidR="005E4DC0" w:rsidRDefault="00931588">
      <w:pPr>
        <w:spacing w:after="0"/>
        <w:ind w:left="6" w:right="46" w:hanging="10"/>
        <w:jc w:val="both"/>
      </w:pPr>
      <w:r>
        <w:rPr>
          <w:rFonts w:ascii="微软雅黑" w:eastAsia="微软雅黑" w:hAnsi="微软雅黑" w:cs="微软雅黑"/>
          <w:b/>
          <w:sz w:val="19"/>
        </w:rPr>
        <w:t>表</w:t>
      </w:r>
      <w:r>
        <w:rPr>
          <w:rFonts w:ascii="微软雅黑" w:eastAsia="微软雅黑" w:hAnsi="微软雅黑" w:cs="微软雅黑"/>
          <w:sz w:val="19"/>
        </w:rPr>
        <w:t xml:space="preserve"> 1:</w:t>
      </w:r>
      <w:r>
        <w:rPr>
          <w:rFonts w:ascii="微软雅黑" w:eastAsia="微软雅黑" w:hAnsi="微软雅黑" w:cs="微软雅黑"/>
          <w:b/>
          <w:sz w:val="19"/>
        </w:rPr>
        <w:t>跨新站点测试集</w:t>
      </w:r>
      <w:r>
        <w:rPr>
          <w:rFonts w:ascii="微软雅黑" w:eastAsia="微软雅黑" w:hAnsi="微软雅黑" w:cs="微软雅黑"/>
          <w:sz w:val="19"/>
        </w:rPr>
        <w:t>(owner 7-8)</w:t>
      </w:r>
      <w:r>
        <w:rPr>
          <w:rFonts w:ascii="微软雅黑" w:eastAsia="微软雅黑" w:hAnsi="微软雅黑" w:cs="微软雅黑"/>
          <w:b/>
          <w:sz w:val="19"/>
        </w:rPr>
        <w:t>性能对⽐</w:t>
      </w:r>
      <w:r>
        <w:rPr>
          <w:rFonts w:ascii="微软雅黑" w:eastAsia="微软雅黑" w:hAnsi="微软雅黑" w:cs="微软雅黑"/>
          <w:color w:val="24282E"/>
          <w:sz w:val="19"/>
        </w:rPr>
        <w:t>(AUC 与 PR-AUC 为阈值⽆关指标;除注明外均按 owner 1-6 训练、owner 7-8 测试的同⼝径跨站点设定)</w:t>
      </w:r>
    </w:p>
    <w:tbl>
      <w:tblPr>
        <w:tblStyle w:val="TableGrid"/>
        <w:tblW w:w="10427" w:type="dxa"/>
        <w:tblInd w:w="19" w:type="dxa"/>
        <w:tblCellMar>
          <w:left w:w="149" w:type="dxa"/>
          <w:right w:w="115" w:type="dxa"/>
        </w:tblCellMar>
        <w:tblLook w:val="04A0" w:firstRow="1" w:lastRow="0" w:firstColumn="1" w:lastColumn="0" w:noHBand="0" w:noVBand="1"/>
      </w:tblPr>
      <w:tblGrid>
        <w:gridCol w:w="3547"/>
        <w:gridCol w:w="1474"/>
        <w:gridCol w:w="1057"/>
        <w:gridCol w:w="1177"/>
        <w:gridCol w:w="849"/>
        <w:gridCol w:w="865"/>
        <w:gridCol w:w="1458"/>
      </w:tblGrid>
      <w:tr w:rsidR="005E4DC0" w14:paraId="7FC827D1" w14:textId="77777777">
        <w:trPr>
          <w:trHeight w:val="448"/>
        </w:trPr>
        <w:tc>
          <w:tcPr>
            <w:tcW w:w="3548"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66F93D1C" w14:textId="77777777" w:rsidR="005E4DC0" w:rsidRDefault="00931588">
            <w:pPr>
              <w:ind w:right="34"/>
              <w:jc w:val="center"/>
            </w:pPr>
            <w:r>
              <w:rPr>
                <w:rFonts w:ascii="微软雅黑" w:eastAsia="微软雅黑" w:hAnsi="微软雅黑" w:cs="微软雅黑"/>
                <w:b/>
                <w:color w:val="24282E"/>
                <w:sz w:val="19"/>
              </w:rPr>
              <w:t>⽅法</w:t>
            </w:r>
          </w:p>
        </w:tc>
        <w:tc>
          <w:tcPr>
            <w:tcW w:w="1474"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02AA541C" w14:textId="77777777" w:rsidR="005E4DC0" w:rsidRDefault="00931588">
            <w:pPr>
              <w:ind w:right="38"/>
              <w:jc w:val="center"/>
            </w:pPr>
            <w:r>
              <w:rPr>
                <w:rFonts w:ascii="微软雅黑" w:eastAsia="微软雅黑" w:hAnsi="微软雅黑" w:cs="微软雅黑"/>
                <w:b/>
                <w:color w:val="24282E"/>
                <w:sz w:val="19"/>
              </w:rPr>
              <w:t>输⼊</w:t>
            </w:r>
          </w:p>
        </w:tc>
        <w:tc>
          <w:tcPr>
            <w:tcW w:w="1057"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5B697017" w14:textId="77777777" w:rsidR="005E4DC0" w:rsidRDefault="00931588">
            <w:pPr>
              <w:ind w:right="37"/>
              <w:jc w:val="center"/>
            </w:pPr>
            <w:r>
              <w:rPr>
                <w:rFonts w:ascii="微软雅黑" w:eastAsia="微软雅黑" w:hAnsi="微软雅黑" w:cs="微软雅黑"/>
                <w:color w:val="24282E"/>
                <w:sz w:val="19"/>
              </w:rPr>
              <w:t>Recall</w:t>
            </w:r>
          </w:p>
        </w:tc>
        <w:tc>
          <w:tcPr>
            <w:tcW w:w="1177"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76FE0BDB" w14:textId="77777777" w:rsidR="005E4DC0" w:rsidRDefault="00931588">
            <w:pPr>
              <w:ind w:left="3"/>
            </w:pPr>
            <w:r>
              <w:rPr>
                <w:rFonts w:ascii="微软雅黑" w:eastAsia="微软雅黑" w:hAnsi="微软雅黑" w:cs="微软雅黑"/>
                <w:color w:val="24282E"/>
                <w:sz w:val="19"/>
              </w:rPr>
              <w:t>Precision</w:t>
            </w:r>
          </w:p>
        </w:tc>
        <w:tc>
          <w:tcPr>
            <w:tcW w:w="849"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0B19B7D0" w14:textId="77777777" w:rsidR="005E4DC0" w:rsidRDefault="00931588">
            <w:pPr>
              <w:ind w:right="32"/>
              <w:jc w:val="center"/>
            </w:pPr>
            <w:r>
              <w:rPr>
                <w:rFonts w:ascii="微软雅黑" w:eastAsia="微软雅黑" w:hAnsi="微软雅黑" w:cs="微软雅黑"/>
                <w:color w:val="24282E"/>
                <w:sz w:val="19"/>
              </w:rPr>
              <w:t>F1</w:t>
            </w:r>
          </w:p>
        </w:tc>
        <w:tc>
          <w:tcPr>
            <w:tcW w:w="865"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74AD65B9" w14:textId="77777777" w:rsidR="005E4DC0" w:rsidRDefault="00931588">
            <w:pPr>
              <w:ind w:left="72"/>
            </w:pPr>
            <w:r>
              <w:rPr>
                <w:rFonts w:ascii="微软雅黑" w:eastAsia="微软雅黑" w:hAnsi="微软雅黑" w:cs="微软雅黑"/>
                <w:color w:val="24282E"/>
                <w:sz w:val="19"/>
              </w:rPr>
              <w:t>AUC</w:t>
            </w:r>
          </w:p>
        </w:tc>
        <w:tc>
          <w:tcPr>
            <w:tcW w:w="1458"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3B246F21" w14:textId="77777777" w:rsidR="005E4DC0" w:rsidRDefault="00931588">
            <w:pPr>
              <w:ind w:right="40"/>
              <w:jc w:val="center"/>
            </w:pPr>
            <w:r>
              <w:rPr>
                <w:rFonts w:ascii="微软雅黑" w:eastAsia="微软雅黑" w:hAnsi="微软雅黑" w:cs="微软雅黑"/>
                <w:color w:val="24282E"/>
                <w:sz w:val="19"/>
              </w:rPr>
              <w:t>PR-AUC</w:t>
            </w:r>
          </w:p>
        </w:tc>
      </w:tr>
      <w:tr>
        <w:tc>
          <w:tcPr>
            <w:tcW w:type="dxa" w:w="3547"/>
          </w:tcPr>
          <w:p>
            <w:r>
              <w:t>LSTM-AE(重建式,无监督)</w:t>
            </w:r>
          </w:p>
        </w:tc>
        <w:tc>
          <w:tcPr>
            <w:tcW w:type="dxa" w:w="1474"/>
          </w:tcPr>
          <w:p>
            <w:r>
              <w:t>6 通道</w:t>
            </w:r>
          </w:p>
        </w:tc>
        <w:tc>
          <w:tcPr>
            <w:tcW w:type="dxa" w:w="1057"/>
          </w:tcPr>
          <w:p>
            <w:r>
              <w:t>—</w:t>
            </w:r>
          </w:p>
        </w:tc>
        <w:tc>
          <w:tcPr>
            <w:tcW w:type="dxa" w:w="1177"/>
          </w:tcPr>
          <w:p>
            <w:r>
              <w:t>—</w:t>
            </w:r>
          </w:p>
        </w:tc>
        <w:tc>
          <w:tcPr>
            <w:tcW w:type="dxa" w:w="849"/>
          </w:tcPr>
          <w:p>
            <w:r>
              <w:t>—</w:t>
            </w:r>
          </w:p>
        </w:tc>
        <w:tc>
          <w:tcPr>
            <w:tcW w:type="dxa" w:w="865"/>
          </w:tcPr>
          <w:p>
            <w:r>
              <w:t>0.912</w:t>
            </w:r>
          </w:p>
        </w:tc>
        <w:tc>
          <w:tcPr>
            <w:tcW w:type="dxa" w:w="1458"/>
          </w:tcPr>
          <w:p>
            <w:r>
              <w:t>0.248</w:t>
            </w:r>
          </w:p>
        </w:tc>
      </w:tr>
      <w:tr>
        <w:tc>
          <w:tcPr>
            <w:tcW w:type="dxa" w:w="3547"/>
          </w:tcPr>
          <w:p>
            <w:r>
              <w:t>端到端 Bi-LSTM(仅原始时序)</w:t>
            </w:r>
          </w:p>
        </w:tc>
        <w:tc>
          <w:tcPr>
            <w:tcW w:type="dxa" w:w="1474"/>
          </w:tcPr>
          <w:p>
            <w:r>
              <w:t>6 通道</w:t>
            </w:r>
          </w:p>
        </w:tc>
        <w:tc>
          <w:tcPr>
            <w:tcW w:type="dxa" w:w="1057"/>
          </w:tcPr>
          <w:p>
            <w:r>
              <w:t>77.52%</w:t>
            </w:r>
          </w:p>
        </w:tc>
        <w:tc>
          <w:tcPr>
            <w:tcW w:type="dxa" w:w="1177"/>
          </w:tcPr>
          <w:p>
            <w:r>
              <w:t>23.36%</w:t>
            </w:r>
          </w:p>
        </w:tc>
        <w:tc>
          <w:tcPr>
            <w:tcW w:type="dxa" w:w="849"/>
          </w:tcPr>
          <w:p>
            <w:r>
              <w:t>0.359</w:t>
            </w:r>
          </w:p>
        </w:tc>
        <w:tc>
          <w:tcPr>
            <w:tcW w:type="dxa" w:w="865"/>
          </w:tcPr>
          <w:p>
            <w:r>
              <w:t>0.908</w:t>
            </w:r>
          </w:p>
        </w:tc>
        <w:tc>
          <w:tcPr>
            <w:tcW w:type="dxa" w:w="1458"/>
          </w:tcPr>
          <w:p>
            <w:r>
              <w:t>0.351</w:t>
            </w:r>
          </w:p>
        </w:tc>
      </w:tr>
      <w:tr>
        <w:tc>
          <w:tcPr>
            <w:tcW w:type="dxa" w:w="3547"/>
          </w:tcPr>
          <w:p>
            <w:r>
              <w:t>DualTransformer(双Transformer融合)</w:t>
            </w:r>
          </w:p>
        </w:tc>
        <w:tc>
          <w:tcPr>
            <w:tcW w:type="dxa" w:w="1474"/>
          </w:tcPr>
          <w:p>
            <w:r>
              <w:t>6 通道+62 维</w:t>
            </w:r>
          </w:p>
        </w:tc>
        <w:tc>
          <w:tcPr>
            <w:tcW w:type="dxa" w:w="1057"/>
          </w:tcPr>
          <w:p>
            <w:r>
              <w:t>25.58%</w:t>
            </w:r>
          </w:p>
        </w:tc>
        <w:tc>
          <w:tcPr>
            <w:tcW w:type="dxa" w:w="1177"/>
          </w:tcPr>
          <w:p>
            <w:r>
              <w:t>32.35%</w:t>
            </w:r>
          </w:p>
        </w:tc>
        <w:tc>
          <w:tcPr>
            <w:tcW w:type="dxa" w:w="849"/>
          </w:tcPr>
          <w:p>
            <w:r>
              <w:t>0.286</w:t>
            </w:r>
          </w:p>
        </w:tc>
        <w:tc>
          <w:tcPr>
            <w:tcW w:type="dxa" w:w="865"/>
          </w:tcPr>
          <w:p>
            <w:r>
              <w:t>0.758</w:t>
            </w:r>
          </w:p>
        </w:tc>
        <w:tc>
          <w:tcPr>
            <w:tcW w:type="dxa" w:w="1458"/>
          </w:tcPr>
          <w:p>
            <w:r>
              <w:t>0.242</w:t>
            </w:r>
          </w:p>
        </w:tc>
      </w:tr>
      <w:tr>
        <w:tc>
          <w:tcPr>
            <w:tcW w:type="dxa" w:w="3547"/>
          </w:tcPr>
          <w:p>
            <w:r>
              <w:t>iTransformer(通道注意力融合)</w:t>
            </w:r>
          </w:p>
        </w:tc>
        <w:tc>
          <w:tcPr>
            <w:tcW w:type="dxa" w:w="1474"/>
          </w:tcPr>
          <w:p>
            <w:r>
              <w:t>6 通道+62 维</w:t>
            </w:r>
          </w:p>
        </w:tc>
        <w:tc>
          <w:tcPr>
            <w:tcW w:type="dxa" w:w="1057"/>
          </w:tcPr>
          <w:p>
            <w:r>
              <w:t>46.51%</w:t>
            </w:r>
          </w:p>
        </w:tc>
        <w:tc>
          <w:tcPr>
            <w:tcW w:type="dxa" w:w="1177"/>
          </w:tcPr>
          <w:p>
            <w:r>
              <w:t>66.67%</w:t>
            </w:r>
          </w:p>
        </w:tc>
        <w:tc>
          <w:tcPr>
            <w:tcW w:type="dxa" w:w="849"/>
          </w:tcPr>
          <w:p>
            <w:r>
              <w:t>0.548</w:t>
            </w:r>
          </w:p>
        </w:tc>
        <w:tc>
          <w:tcPr>
            <w:tcW w:type="dxa" w:w="865"/>
          </w:tcPr>
          <w:p>
            <w:r>
              <w:t>0.932</w:t>
            </w:r>
          </w:p>
        </w:tc>
        <w:tc>
          <w:tcPr>
            <w:tcW w:type="dxa" w:w="1458"/>
          </w:tcPr>
          <w:p>
            <w:r>
              <w:t>0.595</w:t>
            </w:r>
          </w:p>
        </w:tc>
      </w:tr>
      <w:tr>
        <w:tc>
          <w:tcPr>
            <w:tcW w:type="dxa" w:w="3547"/>
          </w:tcPr>
          <w:p>
            <w:r>
              <w:t>FT-Transformer(特征注意力融合)</w:t>
            </w:r>
          </w:p>
        </w:tc>
        <w:tc>
          <w:tcPr>
            <w:tcW w:type="dxa" w:w="1474"/>
          </w:tcPr>
          <w:p>
            <w:r>
              <w:t>6 通道+62 维</w:t>
            </w:r>
          </w:p>
        </w:tc>
        <w:tc>
          <w:tcPr>
            <w:tcW w:type="dxa" w:w="1057"/>
          </w:tcPr>
          <w:p>
            <w:r>
              <w:t>57.36%</w:t>
            </w:r>
          </w:p>
        </w:tc>
        <w:tc>
          <w:tcPr>
            <w:tcW w:type="dxa" w:w="1177"/>
          </w:tcPr>
          <w:p>
            <w:r>
              <w:t>63.79%</w:t>
            </w:r>
          </w:p>
        </w:tc>
        <w:tc>
          <w:tcPr>
            <w:tcW w:type="dxa" w:w="849"/>
          </w:tcPr>
          <w:p>
            <w:r>
              <w:t>0.604</w:t>
            </w:r>
          </w:p>
        </w:tc>
        <w:tc>
          <w:tcPr>
            <w:tcW w:type="dxa" w:w="865"/>
          </w:tcPr>
          <w:p>
            <w:r>
              <w:t>0.950</w:t>
            </w:r>
          </w:p>
        </w:tc>
        <w:tc>
          <w:tcPr>
            <w:tcW w:type="dxa" w:w="1458"/>
          </w:tcPr>
          <w:p>
            <w:r>
              <w:t>0.624</w:t>
            </w:r>
          </w:p>
        </w:tc>
      </w:tr>
      <w:tr>
        <w:tc>
          <w:tcPr>
            <w:tcW w:type="dxa" w:w="3547"/>
          </w:tcPr>
          <w:p>
            <w:r>
              <w:t>PatchTST(patch注意力融合)</w:t>
            </w:r>
          </w:p>
        </w:tc>
        <w:tc>
          <w:tcPr>
            <w:tcW w:type="dxa" w:w="1474"/>
          </w:tcPr>
          <w:p>
            <w:r>
              <w:t>6 通道+62 维</w:t>
            </w:r>
          </w:p>
        </w:tc>
        <w:tc>
          <w:tcPr>
            <w:tcW w:type="dxa" w:w="1057"/>
          </w:tcPr>
          <w:p>
            <w:r>
              <w:t>61.24%</w:t>
            </w:r>
          </w:p>
        </w:tc>
        <w:tc>
          <w:tcPr>
            <w:tcW w:type="dxa" w:w="1177"/>
          </w:tcPr>
          <w:p>
            <w:r>
              <w:t>71.17%</w:t>
            </w:r>
          </w:p>
        </w:tc>
        <w:tc>
          <w:tcPr>
            <w:tcW w:type="dxa" w:w="849"/>
          </w:tcPr>
          <w:p>
            <w:r>
              <w:t>0.658</w:t>
            </w:r>
          </w:p>
        </w:tc>
        <w:tc>
          <w:tcPr>
            <w:tcW w:type="dxa" w:w="865"/>
          </w:tcPr>
          <w:p>
            <w:r>
              <w:t>0.957</w:t>
            </w:r>
          </w:p>
        </w:tc>
        <w:tc>
          <w:tcPr>
            <w:tcW w:type="dxa" w:w="1458"/>
          </w:tcPr>
          <w:p>
            <w:r>
              <w:t>0.679</w:t>
            </w:r>
          </w:p>
        </w:tc>
      </w:tr>
      <w:tr>
        <w:tc>
          <w:tcPr>
            <w:tcW w:type="dxa" w:w="3547"/>
          </w:tcPr>
          <w:p>
            <w:r>
              <w:t>LightGBM</w:t>
            </w:r>
          </w:p>
        </w:tc>
        <w:tc>
          <w:tcPr>
            <w:tcW w:type="dxa" w:w="1474"/>
          </w:tcPr>
          <w:p>
            <w:r>
              <w:t>62 维</w:t>
            </w:r>
          </w:p>
        </w:tc>
        <w:tc>
          <w:tcPr>
            <w:tcW w:type="dxa" w:w="1057"/>
          </w:tcPr>
          <w:p>
            <w:r>
              <w:t>31.78%</w:t>
            </w:r>
          </w:p>
        </w:tc>
        <w:tc>
          <w:tcPr>
            <w:tcW w:type="dxa" w:w="1177"/>
          </w:tcPr>
          <w:p>
            <w:r>
              <w:t>97.62%</w:t>
            </w:r>
          </w:p>
        </w:tc>
        <w:tc>
          <w:tcPr>
            <w:tcW w:type="dxa" w:w="849"/>
          </w:tcPr>
          <w:p>
            <w:r>
              <w:t>0.480</w:t>
            </w:r>
          </w:p>
        </w:tc>
        <w:tc>
          <w:tcPr>
            <w:tcW w:type="dxa" w:w="865"/>
          </w:tcPr>
          <w:p>
            <w:r>
              <w:t>0.987</w:t>
            </w:r>
          </w:p>
        </w:tc>
        <w:tc>
          <w:tcPr>
            <w:tcW w:type="dxa" w:w="1458"/>
          </w:tcPr>
          <w:p>
            <w:r>
              <w:t>0.868</w:t>
            </w:r>
          </w:p>
        </w:tc>
      </w:tr>
      <w:tr>
        <w:tc>
          <w:tcPr>
            <w:tcW w:type="dxa" w:w="3547"/>
          </w:tcPr>
          <w:p>
            <w:r>
              <w:t>XGBoost</w:t>
            </w:r>
          </w:p>
        </w:tc>
        <w:tc>
          <w:tcPr>
            <w:tcW w:type="dxa" w:w="1474"/>
          </w:tcPr>
          <w:p>
            <w:r>
              <w:t>62 维</w:t>
            </w:r>
          </w:p>
        </w:tc>
        <w:tc>
          <w:tcPr>
            <w:tcW w:type="dxa" w:w="1057"/>
          </w:tcPr>
          <w:p>
            <w:r>
              <w:t>32.56%</w:t>
            </w:r>
          </w:p>
        </w:tc>
        <w:tc>
          <w:tcPr>
            <w:tcW w:type="dxa" w:w="1177"/>
          </w:tcPr>
          <w:p>
            <w:r>
              <w:t>95.45%</w:t>
            </w:r>
          </w:p>
        </w:tc>
        <w:tc>
          <w:tcPr>
            <w:tcW w:type="dxa" w:w="849"/>
          </w:tcPr>
          <w:p>
            <w:r>
              <w:t>0.486</w:t>
            </w:r>
          </w:p>
        </w:tc>
        <w:tc>
          <w:tcPr>
            <w:tcW w:type="dxa" w:w="865"/>
          </w:tcPr>
          <w:p>
            <w:r>
              <w:t>0.991</w:t>
            </w:r>
          </w:p>
        </w:tc>
        <w:tc>
          <w:tcPr>
            <w:tcW w:type="dxa" w:w="1458"/>
          </w:tcPr>
          <w:p>
            <w:r>
              <w:t>0.887</w:t>
            </w:r>
          </w:p>
        </w:tc>
      </w:tr>
      <w:tr>
        <w:tc>
          <w:tcPr>
            <w:tcW w:type="dxa" w:w="3547"/>
          </w:tcPr>
          <w:p>
            <w:r>
              <w:t>Token-Attn(单seed均值±std,7次)</w:t>
            </w:r>
          </w:p>
        </w:tc>
        <w:tc>
          <w:tcPr>
            <w:tcW w:type="dxa" w:w="1474"/>
          </w:tcPr>
          <w:p>
            <w:r>
              <w:t>6 通道+62 维</w:t>
            </w:r>
          </w:p>
        </w:tc>
        <w:tc>
          <w:tcPr>
            <w:tcW w:type="dxa" w:w="1057"/>
          </w:tcPr>
          <w:p>
            <w:r>
              <w:t>—</w:t>
            </w:r>
          </w:p>
        </w:tc>
        <w:tc>
          <w:tcPr>
            <w:tcW w:type="dxa" w:w="1177"/>
          </w:tcPr>
          <w:p>
            <w:r>
              <w:t>—</w:t>
            </w:r>
          </w:p>
        </w:tc>
        <w:tc>
          <w:tcPr>
            <w:tcW w:type="dxa" w:w="849"/>
          </w:tcPr>
          <w:p>
            <w:r>
              <w:t>—</w:t>
            </w:r>
          </w:p>
        </w:tc>
        <w:tc>
          <w:tcPr>
            <w:tcW w:type="dxa" w:w="865"/>
          </w:tcPr>
          <w:p>
            <w:r>
              <w:t>—</w:t>
            </w:r>
          </w:p>
        </w:tc>
        <w:tc>
          <w:tcPr>
            <w:tcW w:type="dxa" w:w="1458"/>
          </w:tcPr>
          <w:p>
            <w:r>
              <w:t>0.874±0.033</w:t>
            </w:r>
          </w:p>
        </w:tc>
      </w:tr>
      <w:tr>
        <w:tc>
          <w:tcPr>
            <w:tcW w:type="dxa" w:w="3547"/>
          </w:tcPr>
          <w:p>
            <w:r>
              <w:t>Token-Attn(7-seed概率集成)</w:t>
            </w:r>
          </w:p>
        </w:tc>
        <w:tc>
          <w:tcPr>
            <w:tcW w:type="dxa" w:w="1474"/>
          </w:tcPr>
          <w:p>
            <w:r>
              <w:t>6 通道+62 维</w:t>
            </w:r>
          </w:p>
        </w:tc>
        <w:tc>
          <w:tcPr>
            <w:tcW w:type="dxa" w:w="1057"/>
          </w:tcPr>
          <w:p>
            <w:r>
              <w:t>68.99%</w:t>
            </w:r>
          </w:p>
        </w:tc>
        <w:tc>
          <w:tcPr>
            <w:tcW w:type="dxa" w:w="1177"/>
          </w:tcPr>
          <w:p>
            <w:r>
              <w:t>93.68%</w:t>
            </w:r>
          </w:p>
        </w:tc>
        <w:tc>
          <w:tcPr>
            <w:tcW w:type="dxa" w:w="849"/>
          </w:tcPr>
          <w:p>
            <w:r>
              <w:t>0.795</w:t>
            </w:r>
          </w:p>
        </w:tc>
        <w:tc>
          <w:tcPr>
            <w:tcW w:type="dxa" w:w="865"/>
          </w:tcPr>
          <w:p>
            <w:r>
              <w:t>0.990</w:t>
            </w:r>
          </w:p>
        </w:tc>
        <w:tc>
          <w:tcPr>
            <w:tcW w:type="dxa" w:w="1458"/>
          </w:tcPr>
          <w:p>
            <w:r>
              <w:t>0.918</w:t>
            </w:r>
          </w:p>
        </w:tc>
      </w:tr>
      <w:tr>
        <w:tc>
          <w:tcPr>
            <w:tcW w:type="dxa" w:w="3547"/>
          </w:tcPr>
          <w:p>
            <w:r>
              <w:t>站点自适应 Hyper-Network [3]</w:t>
            </w:r>
          </w:p>
        </w:tc>
        <w:tc>
          <w:tcPr>
            <w:tcW w:type="dxa" w:w="1474"/>
          </w:tcPr>
          <w:p>
            <w:r>
              <w:t>-</w:t>
            </w:r>
          </w:p>
        </w:tc>
        <w:tc>
          <w:tcPr>
            <w:tcW w:type="dxa" w:w="1057"/>
          </w:tcPr>
          <w:p>
            <w:r>
              <w:t>73.56%</w:t>
            </w:r>
          </w:p>
        </w:tc>
        <w:tc>
          <w:tcPr>
            <w:tcW w:type="dxa" w:w="1177"/>
          </w:tcPr>
          <w:p>
            <w:r>
              <w:t>-</w:t>
            </w:r>
          </w:p>
        </w:tc>
        <w:tc>
          <w:tcPr>
            <w:tcW w:type="dxa" w:w="849"/>
          </w:tcPr>
          <w:p>
            <w:r>
              <w:t>0.578</w:t>
            </w:r>
          </w:p>
        </w:tc>
        <w:tc>
          <w:tcPr>
            <w:tcW w:type="dxa" w:w="865"/>
          </w:tcPr>
          <w:p>
            <w:r>
              <w:t>-</w:t>
            </w:r>
          </w:p>
        </w:tc>
        <w:tc>
          <w:tcPr>
            <w:tcW w:type="dxa" w:w="1458"/>
          </w:tcPr>
          <w:p>
            <w:r>
              <w:t>-</w:t>
            </w:r>
          </w:p>
        </w:tc>
      </w:tr>
    </w:tbl>
    <w:p w14:paraId="65CCC47F" w14:textId="77777777" w:rsidR="005E4DC0" w:rsidRDefault="00931588">
      <w:pPr>
        <w:spacing w:after="215"/>
        <w:ind w:left="-5" w:right="94" w:hanging="10"/>
        <w:jc w:val="both"/>
      </w:pPr>
      <w:r>
        <w:rPr>
          <w:rFonts w:ascii="微软雅黑" w:eastAsia="微软雅黑" w:hAnsi="微软雅黑" w:cs="微软雅黑"/>
          <w:sz w:val="20"/>
        </w:rPr>
        <w:t>注</w:t>
      </w:r>
      <w:r>
        <w:rPr>
          <w:rFonts w:ascii="微软雅黑" w:eastAsia="微软雅黑" w:hAnsi="微软雅黑" w:cs="微软雅黑"/>
          <w:i/>
          <w:sz w:val="19"/>
        </w:rPr>
        <w:t>:</w:t>
      </w:r>
      <w:r>
        <w:rPr>
          <w:rFonts w:ascii="微软雅黑" w:eastAsia="微软雅黑" w:hAnsi="微软雅黑" w:cs="微软雅黑"/>
          <w:sz w:val="20"/>
        </w:rPr>
        <w:t>本⽂主对⽐⽅法</w:t>
      </w:r>
      <w:r>
        <w:rPr>
          <w:rFonts w:ascii="微软雅黑" w:eastAsia="微软雅黑" w:hAnsi="微软雅黑" w:cs="微软雅黑"/>
          <w:i/>
          <w:sz w:val="19"/>
        </w:rPr>
        <w:t>(</w:t>
      </w:r>
      <w:r>
        <w:rPr>
          <w:rFonts w:ascii="微软雅黑" w:eastAsia="微软雅黑" w:hAnsi="微软雅黑" w:cs="微软雅黑"/>
          <w:sz w:val="20"/>
        </w:rPr>
        <w:t>端到端</w:t>
      </w:r>
      <w:r>
        <w:rPr>
          <w:rFonts w:ascii="微软雅黑" w:eastAsia="微软雅黑" w:hAnsi="微软雅黑" w:cs="微软雅黑"/>
          <w:i/>
          <w:sz w:val="19"/>
        </w:rPr>
        <w:t xml:space="preserve"> Bi-LSTM</w:t>
      </w:r>
      <w:r>
        <w:rPr>
          <w:rFonts w:ascii="微软雅黑" w:eastAsia="微软雅黑" w:hAnsi="微软雅黑" w:cs="微软雅黑"/>
          <w:sz w:val="20"/>
        </w:rPr>
        <w:t>、</w:t>
      </w:r>
      <w:r>
        <w:rPr>
          <w:rFonts w:ascii="微软雅黑" w:eastAsia="微软雅黑" w:hAnsi="微软雅黑" w:cs="微软雅黑"/>
          <w:i/>
          <w:sz w:val="19"/>
        </w:rPr>
        <w:t>LightGBM</w:t>
      </w:r>
      <w:r>
        <w:rPr>
          <w:rFonts w:ascii="微软雅黑" w:eastAsia="微软雅黑" w:hAnsi="微软雅黑" w:cs="微软雅黑"/>
          <w:sz w:val="20"/>
        </w:rPr>
        <w:t>、</w:t>
      </w:r>
      <w:r>
        <w:rPr>
          <w:rFonts w:ascii="微软雅黑" w:eastAsia="微软雅黑" w:hAnsi="微软雅黑" w:cs="微软雅黑"/>
          <w:i/>
          <w:sz w:val="19"/>
        </w:rPr>
        <w:t>XGBoost</w:t>
      </w:r>
      <w:r>
        <w:rPr>
          <w:rFonts w:ascii="微软雅黑" w:eastAsia="微软雅黑" w:hAnsi="微软雅黑" w:cs="微软雅黑"/>
          <w:sz w:val="20"/>
        </w:rPr>
        <w:t>、</w:t>
      </w:r>
      <w:r>
        <w:rPr>
          <w:rFonts w:ascii="微软雅黑" w:eastAsia="微软雅黑" w:hAnsi="微软雅黑" w:cs="微软雅黑"/>
          <w:i/>
          <w:sz w:val="19"/>
        </w:rPr>
        <w:t>Token-Attn)</w:t>
      </w:r>
      <w:r>
        <w:rPr>
          <w:rFonts w:ascii="微软雅黑" w:eastAsia="微软雅黑" w:hAnsi="微软雅黑" w:cs="微软雅黑"/>
          <w:b/>
          <w:sz w:val="20"/>
        </w:rPr>
        <w:t>均按</w:t>
      </w:r>
      <w:r>
        <w:rPr>
          <w:rFonts w:ascii="微软雅黑" w:eastAsia="微软雅黑" w:hAnsi="微软雅黑" w:cs="微软雅黑"/>
          <w:i/>
          <w:sz w:val="19"/>
        </w:rPr>
        <w:t xml:space="preserve"> owner 1-6 </w:t>
      </w:r>
      <w:r>
        <w:rPr>
          <w:rFonts w:ascii="微软雅黑" w:eastAsia="微软雅黑" w:hAnsi="微软雅黑" w:cs="微软雅黑"/>
          <w:b/>
          <w:sz w:val="20"/>
        </w:rPr>
        <w:t>训练、</w:t>
      </w:r>
      <w:r>
        <w:rPr>
          <w:rFonts w:ascii="微软雅黑" w:eastAsia="微软雅黑" w:hAnsi="微软雅黑" w:cs="微软雅黑"/>
          <w:i/>
          <w:sz w:val="19"/>
        </w:rPr>
        <w:t xml:space="preserve">owner 7-8 </w:t>
      </w:r>
      <w:r>
        <w:rPr>
          <w:rFonts w:ascii="微软雅黑" w:eastAsia="微软雅黑" w:hAnsi="微软雅黑" w:cs="微软雅黑"/>
          <w:b/>
          <w:sz w:val="20"/>
        </w:rPr>
        <w:t>测试的同⼀跨站点设定</w:t>
      </w:r>
      <w:r>
        <w:rPr>
          <w:rFonts w:ascii="微软雅黑" w:eastAsia="微软雅黑" w:hAnsi="微软雅黑" w:cs="微软雅黑"/>
          <w:i/>
          <w:sz w:val="19"/>
        </w:rPr>
        <w:t>,</w:t>
      </w:r>
      <w:r>
        <w:rPr>
          <w:rFonts w:ascii="微软雅黑" w:eastAsia="微软雅黑" w:hAnsi="微软雅黑" w:cs="微软雅黑"/>
          <w:sz w:val="20"/>
        </w:rPr>
        <w:t>⼝径⼀致。</w:t>
      </w:r>
      <w:r>
        <w:rPr>
          <w:rFonts w:ascii="微软雅黑" w:eastAsia="微软雅黑" w:hAnsi="微软雅黑" w:cs="微软雅黑"/>
          <w:i/>
          <w:sz w:val="19"/>
        </w:rPr>
        <w:t xml:space="preserve">F1 </w:t>
      </w:r>
      <w:r>
        <w:rPr>
          <w:rFonts w:ascii="微软雅黑" w:eastAsia="微软雅黑" w:hAnsi="微软雅黑" w:cs="微软雅黑"/>
          <w:sz w:val="20"/>
        </w:rPr>
        <w:t>为固定阈值</w:t>
      </w:r>
      <w:r>
        <w:rPr>
          <w:rFonts w:ascii="微软雅黑" w:eastAsia="微软雅黑" w:hAnsi="微软雅黑" w:cs="微软雅黑"/>
          <w:i/>
          <w:sz w:val="19"/>
        </w:rPr>
        <w:t>(th=0.5)</w:t>
      </w:r>
      <w:r>
        <w:rPr>
          <w:rFonts w:ascii="微软雅黑" w:eastAsia="微软雅黑" w:hAnsi="微软雅黑" w:cs="微软雅黑"/>
          <w:sz w:val="20"/>
        </w:rPr>
        <w:t>下的⼯作点</w:t>
      </w:r>
      <w:r>
        <w:rPr>
          <w:rFonts w:ascii="微软雅黑" w:eastAsia="微软雅黑" w:hAnsi="微软雅黑" w:cs="微软雅黑"/>
          <w:i/>
          <w:sz w:val="19"/>
        </w:rPr>
        <w:t xml:space="preserve">;AUC </w:t>
      </w:r>
      <w:r>
        <w:rPr>
          <w:rFonts w:ascii="微软雅黑" w:eastAsia="微软雅黑" w:hAnsi="微软雅黑" w:cs="微软雅黑"/>
          <w:sz w:val="20"/>
        </w:rPr>
        <w:t>与</w:t>
      </w:r>
      <w:r>
        <w:rPr>
          <w:rFonts w:ascii="微软雅黑" w:eastAsia="微软雅黑" w:hAnsi="微软雅黑" w:cs="微软雅黑"/>
          <w:i/>
          <w:sz w:val="19"/>
        </w:rPr>
        <w:t xml:space="preserve"> PR-AUC </w:t>
      </w:r>
      <w:r>
        <w:rPr>
          <w:rFonts w:ascii="微软雅黑" w:eastAsia="微软雅黑" w:hAnsi="微软雅黑" w:cs="微软雅黑"/>
          <w:sz w:val="20"/>
        </w:rPr>
        <w:t>为阈值⽆关的排序指标。站点⾃适应数据取⾃原论⽂</w:t>
      </w:r>
      <w:r>
        <w:rPr>
          <w:rFonts w:ascii="微软雅黑" w:eastAsia="微软雅黑" w:hAnsi="微软雅黑" w:cs="微软雅黑"/>
          <w:i/>
          <w:sz w:val="19"/>
        </w:rPr>
        <w:t>,</w:t>
      </w:r>
      <w:r>
        <w:rPr>
          <w:rFonts w:ascii="微软雅黑" w:eastAsia="微软雅黑" w:hAnsi="微软雅黑" w:cs="微软雅黑"/>
          <w:sz w:val="20"/>
        </w:rPr>
        <w:t xml:space="preserve">其 </w:t>
      </w:r>
      <w:r>
        <w:rPr>
          <w:rFonts w:ascii="微软雅黑" w:eastAsia="微软雅黑" w:hAnsi="微软雅黑" w:cs="微软雅黑"/>
          <w:i/>
          <w:sz w:val="19"/>
        </w:rPr>
        <w:t xml:space="preserve">Recall=73.56% </w:t>
      </w:r>
      <w:r>
        <w:rPr>
          <w:rFonts w:ascii="微软雅黑" w:eastAsia="微软雅黑" w:hAnsi="微软雅黑" w:cs="微软雅黑"/>
          <w:sz w:val="20"/>
        </w:rPr>
        <w:t>为同分布评估成绩</w:t>
      </w:r>
      <w:r>
        <w:rPr>
          <w:rFonts w:ascii="微软雅黑" w:eastAsia="微软雅黑" w:hAnsi="微软雅黑" w:cs="微软雅黑"/>
          <w:i/>
          <w:sz w:val="19"/>
        </w:rPr>
        <w:t>,</w:t>
      </w:r>
      <w:r>
        <w:rPr>
          <w:rFonts w:ascii="微软雅黑" w:eastAsia="微软雅黑" w:hAnsi="微软雅黑" w:cs="微软雅黑"/>
          <w:sz w:val="20"/>
        </w:rPr>
        <w:t>与本⽂跨站点设定不同</w:t>
      </w:r>
      <w:r>
        <w:rPr>
          <w:rFonts w:ascii="微软雅黑" w:eastAsia="微软雅黑" w:hAnsi="微软雅黑" w:cs="微软雅黑"/>
          <w:i/>
          <w:sz w:val="19"/>
        </w:rPr>
        <w:t>,</w:t>
      </w:r>
      <w:r>
        <w:rPr>
          <w:rFonts w:ascii="微软雅黑" w:eastAsia="微软雅黑" w:hAnsi="微软雅黑" w:cs="微软雅黑"/>
          <w:sz w:val="20"/>
        </w:rPr>
        <w:t>不构成直接可⽐基准。</w:t>
      </w:r>
    </w:p>
    <w:p w14:paraId="7B9B26AE" w14:textId="77777777" w:rsidR="005E4DC0" w:rsidRDefault="00931588">
      <w:pPr>
        <w:spacing w:after="42"/>
        <w:ind w:left="6" w:right="46" w:hanging="10"/>
        <w:jc w:val="both"/>
      </w:pPr>
      <w:r>
        <w:rPr>
          <w:rFonts w:ascii="微软雅黑" w:eastAsia="微软雅黑" w:hAnsi="微软雅黑" w:cs="微软雅黑"/>
          <w:b/>
          <w:sz w:val="19"/>
        </w:rPr>
        <w:t>统计显著性</w:t>
      </w:r>
      <w:r>
        <w:rPr>
          <w:rFonts w:ascii="微软雅黑" w:eastAsia="微软雅黑" w:hAnsi="微软雅黑" w:cs="微软雅黑"/>
          <w:sz w:val="19"/>
        </w:rPr>
        <w:t>(</w:t>
      </w:r>
      <w:r>
        <w:rPr>
          <w:rFonts w:ascii="微软雅黑" w:eastAsia="微软雅黑" w:hAnsi="微软雅黑" w:cs="微软雅黑"/>
          <w:b/>
          <w:sz w:val="19"/>
        </w:rPr>
        <w:t>配对</w:t>
      </w:r>
      <w:r>
        <w:rPr>
          <w:rFonts w:ascii="微软雅黑" w:eastAsia="微软雅黑" w:hAnsi="微软雅黑" w:cs="微软雅黑"/>
          <w:sz w:val="19"/>
        </w:rPr>
        <w:t xml:space="preserve"> bootstrap,PR-AUC </w:t>
      </w:r>
      <w:r>
        <w:rPr>
          <w:rFonts w:ascii="微软雅黑" w:eastAsia="微软雅黑" w:hAnsi="微软雅黑" w:cs="微软雅黑"/>
          <w:b/>
          <w:sz w:val="19"/>
        </w:rPr>
        <w:t>差</w:t>
      </w:r>
      <w:r>
        <w:rPr>
          <w:rFonts w:ascii="微软雅黑" w:eastAsia="微软雅黑" w:hAnsi="微软雅黑" w:cs="微软雅黑"/>
          <w:sz w:val="19"/>
        </w:rPr>
        <w:t>)</w:t>
      </w:r>
      <w:r>
        <w:rPr>
          <w:rFonts w:ascii="微软雅黑" w:eastAsia="微软雅黑" w:hAnsi="微软雅黑" w:cs="微软雅黑"/>
          <w:color w:val="24282E"/>
          <w:sz w:val="19"/>
        </w:rPr>
        <w:t>:Token-Attn 7-seed 集成 vs LightGBM:diff=+0.050,95%CI=</w:t>
      </w:r>
    </w:p>
    <w:p w14:paraId="0A27ECA8" w14:textId="77777777" w:rsidR="005E4DC0" w:rsidRDefault="00931588">
      <w:pPr>
        <w:spacing w:after="184" w:line="305" w:lineRule="auto"/>
        <w:ind w:left="6" w:hanging="10"/>
      </w:pPr>
      <w:r>
        <w:rPr>
          <w:rFonts w:ascii="微软雅黑" w:eastAsia="微软雅黑" w:hAnsi="微软雅黑" w:cs="微软雅黑"/>
          <w:color w:val="24282E"/>
          <w:sz w:val="19"/>
        </w:rPr>
        <w:t>[+0.006,+0.100],</w:t>
      </w:r>
      <w:r>
        <w:rPr>
          <w:rFonts w:ascii="微软雅黑" w:eastAsia="微软雅黑" w:hAnsi="微软雅黑" w:cs="微软雅黑"/>
          <w:sz w:val="19"/>
        </w:rPr>
        <w:t>p=0.026(</w:t>
      </w:r>
      <w:r>
        <w:rPr>
          <w:rFonts w:ascii="微软雅黑" w:eastAsia="微软雅黑" w:hAnsi="微软雅黑" w:cs="微软雅黑"/>
          <w:b/>
          <w:sz w:val="19"/>
        </w:rPr>
        <w:t>边际显著</w:t>
      </w:r>
      <w:r>
        <w:rPr>
          <w:rFonts w:ascii="微软雅黑" w:eastAsia="微软雅黑" w:hAnsi="微软雅黑" w:cs="微软雅黑"/>
          <w:sz w:val="19"/>
        </w:rPr>
        <w:t>)</w:t>
      </w:r>
      <w:r>
        <w:rPr>
          <w:rFonts w:ascii="微软雅黑" w:eastAsia="微软雅黑" w:hAnsi="微软雅黑" w:cs="微软雅黑"/>
          <w:color w:val="24282E"/>
          <w:sz w:val="19"/>
        </w:rPr>
        <w:t>;vs XGBoost:diff=+0.030,95%CI=[−0.010,+0.073],</w:t>
      </w:r>
      <w:r>
        <w:rPr>
          <w:rFonts w:ascii="微软雅黑" w:eastAsia="微软雅黑" w:hAnsi="微软雅黑" w:cs="微软雅黑"/>
          <w:sz w:val="19"/>
        </w:rPr>
        <w:t>p=0.143(</w:t>
      </w:r>
      <w:r>
        <w:rPr>
          <w:rFonts w:ascii="微软雅黑" w:eastAsia="微软雅黑" w:hAnsi="微软雅黑" w:cs="微软雅黑"/>
          <w:b/>
          <w:sz w:val="19"/>
        </w:rPr>
        <w:t>未达显著</w:t>
      </w:r>
      <w:r>
        <w:rPr>
          <w:rFonts w:ascii="微软雅黑" w:eastAsia="微软雅黑" w:hAnsi="微软雅黑" w:cs="微软雅黑"/>
          <w:sz w:val="19"/>
        </w:rPr>
        <w:t>)</w:t>
      </w:r>
      <w:r>
        <w:rPr>
          <w:rFonts w:ascii="微软雅黑" w:eastAsia="微软雅黑" w:hAnsi="微软雅黑" w:cs="微软雅黑"/>
          <w:color w:val="24282E"/>
          <w:sz w:val="19"/>
        </w:rPr>
        <w:t>。需如实说明三点:①对 LightGBM 的显著性</w:t>
      </w:r>
      <w:r>
        <w:rPr>
          <w:rFonts w:ascii="微软雅黑" w:eastAsia="微软雅黑" w:hAnsi="微软雅黑" w:cs="微软雅黑"/>
          <w:b/>
          <w:sz w:val="19"/>
        </w:rPr>
        <w:t>仅对</w:t>
      </w:r>
      <w:r>
        <w:rPr>
          <w:rFonts w:ascii="微软雅黑" w:eastAsia="微软雅黑" w:hAnsi="微软雅黑" w:cs="微软雅黑"/>
          <w:sz w:val="19"/>
        </w:rPr>
        <w:t xml:space="preserve"> 7-seed </w:t>
      </w:r>
      <w:r>
        <w:rPr>
          <w:rFonts w:ascii="微软雅黑" w:eastAsia="微软雅黑" w:hAnsi="微软雅黑" w:cs="微软雅黑"/>
          <w:b/>
          <w:sz w:val="19"/>
        </w:rPr>
        <w:t>集成</w:t>
      </w:r>
      <w:r>
        <w:rPr>
          <w:rFonts w:ascii="微软雅黑" w:eastAsia="微软雅黑" w:hAnsi="微软雅黑" w:cs="微软雅黑"/>
          <w:color w:val="24282E"/>
          <w:sz w:val="19"/>
        </w:rPr>
        <w:t>的 PR-AUC 成⽴⸺单 seed 均值(0.874±0.033)与 LightGBM(0.868)⽆显著差异;②AUC 差异</w:t>
      </w:r>
      <w:r>
        <w:rPr>
          <w:rFonts w:ascii="微软雅黑" w:eastAsia="微软雅黑" w:hAnsi="微软雅黑" w:cs="微软雅黑"/>
          <w:b/>
          <w:sz w:val="19"/>
        </w:rPr>
        <w:t>不显著</w:t>
      </w:r>
      <w:r>
        <w:rPr>
          <w:rFonts w:ascii="微软雅黑" w:eastAsia="微软雅黑" w:hAnsi="微软雅黑" w:cs="微软雅黑"/>
          <w:color w:val="24282E"/>
          <w:sz w:val="19"/>
        </w:rPr>
        <w:t>(DeLong 检验 p=0.321),因 AUC 被多数类主导、对少数类不敏感,⽽ PR-AUC 更能反映故障样本的排序质量;③p=0.026 贴近 0.05 阈值,属边际显著。</w:t>
      </w:r>
    </w:p>
    <w:p w14:paraId="38AE9DDB" w14:textId="77777777" w:rsidR="005E4DC0" w:rsidRDefault="00931588">
      <w:pPr>
        <w:spacing w:after="307"/>
        <w:ind w:left="11" w:right="-4"/>
      </w:pPr>
      <w:r>
        <w:rPr>
          <w:noProof/>
        </w:rPr>
        <w:drawing>
          <wp:inline distT="0" distB="0" distL="0" distR="0" wp14:anchorId="250450C5" wp14:editId="319B4F7D">
            <wp:extent cx="6936566" cy="2888540"/>
            <wp:effectExtent l="0" t="0" r="0" b="0"/>
            <wp:docPr id="3148" name="Picture 3148"/>
            <wp:cNvGraphicFramePr/>
            <a:graphic xmlns:a="http://schemas.openxmlformats.org/drawingml/2006/main">
              <a:graphicData uri="http://schemas.openxmlformats.org/drawingml/2006/picture">
                <pic:pic xmlns:pic="http://schemas.openxmlformats.org/drawingml/2006/picture">
                  <pic:nvPicPr>
                    <pic:cNvPr id="3148" name="Picture 3148"/>
                    <pic:cNvPicPr/>
                  </pic:nvPicPr>
                  <pic:blipFill>
                    <a:blip r:embed="rId7"/>
                    <a:stretch>
                      <a:fillRect/>
                    </a:stretch>
                  </pic:blipFill>
                  <pic:spPr>
                    <a:xfrm>
                      <a:off x="0" y="0"/>
                      <a:ext cx="6936566" cy="2888540"/>
                    </a:xfrm>
                    <a:prstGeom prst="rect">
                      <a:avLst/>
                    </a:prstGeom>
                  </pic:spPr>
                </pic:pic>
              </a:graphicData>
            </a:graphic>
          </wp:inline>
        </w:drawing>
      </w:r>
    </w:p>
    <w:p w14:paraId="1DEAB693" w14:textId="77777777" w:rsidR="005E4DC0" w:rsidRDefault="00931588">
      <w:pPr>
        <w:spacing w:after="42"/>
        <w:ind w:left="6" w:right="46" w:hanging="10"/>
        <w:jc w:val="both"/>
      </w:pPr>
      <w:r>
        <w:rPr>
          <w:rFonts w:ascii="微软雅黑" w:eastAsia="微软雅黑" w:hAnsi="微软雅黑" w:cs="微软雅黑"/>
          <w:b/>
          <w:sz w:val="19"/>
        </w:rPr>
        <w:t>图</w:t>
      </w:r>
      <w:r>
        <w:rPr>
          <w:rFonts w:ascii="微软雅黑" w:eastAsia="微软雅黑" w:hAnsi="微软雅黑" w:cs="微软雅黑"/>
          <w:sz w:val="19"/>
        </w:rPr>
        <w:t xml:space="preserve"> 1:</w:t>
      </w:r>
      <w:r>
        <w:rPr>
          <w:rFonts w:ascii="微软雅黑" w:eastAsia="微软雅黑" w:hAnsi="微软雅黑" w:cs="微软雅黑"/>
          <w:b/>
          <w:sz w:val="19"/>
        </w:rPr>
        <w:t>故障指纹</w:t>
      </w:r>
      <w:r>
        <w:rPr>
          <w:rFonts w:ascii="微软雅黑" w:eastAsia="微软雅黑" w:hAnsi="微软雅黑" w:cs="微软雅黑"/>
          <w:sz w:val="19"/>
        </w:rPr>
        <w:t>--</w:t>
      </w:r>
      <w:r>
        <w:rPr>
          <w:rFonts w:ascii="微软雅黑" w:eastAsia="微软雅黑" w:hAnsi="微软雅黑" w:cs="微软雅黑"/>
          <w:b/>
          <w:sz w:val="19"/>
        </w:rPr>
        <w:t>故障与正常样本特征均值对⽐。</w:t>
      </w:r>
      <w:r>
        <w:rPr>
          <w:rFonts w:ascii="微软雅黑" w:eastAsia="微软雅黑" w:hAnsi="微软雅黑" w:cs="微软雅黑"/>
          <w:color w:val="24282E"/>
          <w:sz w:val="19"/>
        </w:rPr>
        <w:t xml:space="preserve"> (a) ⾮电压特征:故障样本末端 SOC 低 15.6pp、末端功率⾼ 26.9kW、枪温均值反⽽更低;(b) 电压特征差异较⼩。标注数值为故障均值减正常均值。</w:t>
      </w:r>
    </w:p>
    <w:p w14:paraId="506ADAFA" w14:textId="77777777" w:rsidR="005E4DC0" w:rsidRDefault="00931588">
      <w:pPr>
        <w:spacing w:after="292"/>
        <w:ind w:left="11" w:right="-4"/>
      </w:pPr>
      <w:r>
        <w:rPr>
          <w:noProof/>
        </w:rPr>
        <w:drawing>
          <wp:inline distT="0" distB="0" distL="0" distR="0" wp14:anchorId="2E45318C" wp14:editId="2F8A981C">
            <wp:extent cx="6936566" cy="2852942"/>
            <wp:effectExtent l="0" t="0" r="0" b="0"/>
            <wp:docPr id="3188" name="Picture 3188"/>
            <wp:cNvGraphicFramePr/>
            <a:graphic xmlns:a="http://schemas.openxmlformats.org/drawingml/2006/main">
              <a:graphicData uri="http://schemas.openxmlformats.org/drawingml/2006/picture">
                <pic:pic xmlns:pic="http://schemas.openxmlformats.org/drawingml/2006/picture">
                  <pic:nvPicPr>
                    <pic:cNvPr id="3188" name="Picture 3188"/>
                    <pic:cNvPicPr/>
                  </pic:nvPicPr>
                  <pic:blipFill>
                    <a:blip r:embed="rId8"/>
                    <a:stretch>
                      <a:fillRect/>
                    </a:stretch>
                  </pic:blipFill>
                  <pic:spPr>
                    <a:xfrm>
                      <a:off x="0" y="0"/>
                      <a:ext cx="6936566" cy="2852942"/>
                    </a:xfrm>
                    <a:prstGeom prst="rect">
                      <a:avLst/>
                    </a:prstGeom>
                  </pic:spPr>
                </pic:pic>
              </a:graphicData>
            </a:graphic>
          </wp:inline>
        </w:drawing>
      </w:r>
    </w:p>
    <w:p w14:paraId="2E5F7DCA" w14:textId="77777777" w:rsidR="005E4DC0" w:rsidRDefault="00931588">
      <w:pPr>
        <w:spacing w:after="235"/>
        <w:ind w:left="6" w:right="46" w:hanging="10"/>
        <w:jc w:val="both"/>
      </w:pPr>
      <w:r>
        <w:rPr>
          <w:rFonts w:ascii="微软雅黑" w:eastAsia="微软雅黑" w:hAnsi="微软雅黑" w:cs="微软雅黑"/>
          <w:b/>
          <w:sz w:val="19"/>
        </w:rPr>
        <w:t>图</w:t>
      </w:r>
      <w:r>
        <w:rPr>
          <w:rFonts w:ascii="微软雅黑" w:eastAsia="微软雅黑" w:hAnsi="微软雅黑" w:cs="微软雅黑"/>
          <w:sz w:val="19"/>
        </w:rPr>
        <w:t xml:space="preserve"> 2:</w:t>
      </w:r>
      <w:r>
        <w:rPr>
          <w:rFonts w:ascii="微软雅黑" w:eastAsia="微软雅黑" w:hAnsi="微软雅黑" w:cs="微软雅黑"/>
          <w:b/>
          <w:sz w:val="19"/>
        </w:rPr>
        <w:t>跨站点测试集</w:t>
      </w:r>
      <w:r>
        <w:rPr>
          <w:rFonts w:ascii="微软雅黑" w:eastAsia="微软雅黑" w:hAnsi="微软雅黑" w:cs="微软雅黑"/>
          <w:sz w:val="19"/>
        </w:rPr>
        <w:t xml:space="preserve">(owner 7-8)ROC </w:t>
      </w:r>
      <w:r>
        <w:rPr>
          <w:rFonts w:ascii="微软雅黑" w:eastAsia="微软雅黑" w:hAnsi="微软雅黑" w:cs="微软雅黑"/>
          <w:b/>
          <w:sz w:val="19"/>
        </w:rPr>
        <w:t>曲线</w:t>
      </w:r>
      <w:r>
        <w:rPr>
          <w:rFonts w:ascii="微软雅黑" w:eastAsia="微软雅黑" w:hAnsi="微软雅黑" w:cs="微软雅黑"/>
          <w:sz w:val="19"/>
        </w:rPr>
        <w:t>(</w:t>
      </w:r>
      <w:r>
        <w:rPr>
          <w:rFonts w:ascii="微软雅黑" w:eastAsia="微软雅黑" w:hAnsi="微软雅黑" w:cs="微软雅黑"/>
          <w:b/>
          <w:sz w:val="19"/>
        </w:rPr>
        <w:t>左</w:t>
      </w:r>
      <w:r>
        <w:rPr>
          <w:rFonts w:ascii="微软雅黑" w:eastAsia="微软雅黑" w:hAnsi="微软雅黑" w:cs="微软雅黑"/>
          <w:sz w:val="19"/>
        </w:rPr>
        <w:t>)</w:t>
      </w:r>
      <w:r>
        <w:rPr>
          <w:rFonts w:ascii="微软雅黑" w:eastAsia="微软雅黑" w:hAnsi="微软雅黑" w:cs="微软雅黑"/>
          <w:b/>
          <w:sz w:val="19"/>
        </w:rPr>
        <w:t>与</w:t>
      </w:r>
      <w:r>
        <w:rPr>
          <w:rFonts w:ascii="微软雅黑" w:eastAsia="微软雅黑" w:hAnsi="微软雅黑" w:cs="微软雅黑"/>
          <w:sz w:val="19"/>
        </w:rPr>
        <w:t xml:space="preserve"> PR </w:t>
      </w:r>
      <w:r>
        <w:rPr>
          <w:rFonts w:ascii="微软雅黑" w:eastAsia="微软雅黑" w:hAnsi="微软雅黑" w:cs="微软雅黑"/>
          <w:b/>
          <w:sz w:val="19"/>
        </w:rPr>
        <w:t>曲线</w:t>
      </w:r>
      <w:r>
        <w:rPr>
          <w:rFonts w:ascii="微软雅黑" w:eastAsia="微软雅黑" w:hAnsi="微软雅黑" w:cs="微软雅黑"/>
          <w:sz w:val="19"/>
        </w:rPr>
        <w:t>(</w:t>
      </w:r>
      <w:r>
        <w:rPr>
          <w:rFonts w:ascii="微软雅黑" w:eastAsia="微软雅黑" w:hAnsi="微软雅黑" w:cs="微软雅黑"/>
          <w:b/>
          <w:sz w:val="19"/>
        </w:rPr>
        <w:t>右</w:t>
      </w:r>
      <w:r>
        <w:rPr>
          <w:rFonts w:ascii="微软雅黑" w:eastAsia="微软雅黑" w:hAnsi="微软雅黑" w:cs="微软雅黑"/>
          <w:sz w:val="19"/>
        </w:rPr>
        <w:t>)</w:t>
      </w:r>
      <w:r>
        <w:rPr>
          <w:rFonts w:ascii="微软雅黑" w:eastAsia="微软雅黑" w:hAnsi="微软雅黑" w:cs="微软雅黑"/>
          <w:b/>
          <w:sz w:val="19"/>
        </w:rPr>
        <w:t>。</w:t>
      </w:r>
      <w:r>
        <w:rPr>
          <w:rFonts w:ascii="微软雅黑" w:eastAsia="微软雅黑" w:hAnsi="微软雅黑" w:cs="微软雅黑"/>
          <w:color w:val="24282E"/>
          <w:sz w:val="19"/>
        </w:rPr>
        <w:t xml:space="preserve"> Token-Attn 7-seed 集成 AUC=0.990、PR-AUC=0.918;GBDT 基线在 0.99/0.87 附近。</w:t>
      </w:r>
    </w:p>
    <w:p w14:paraId="2069877A" w14:textId="77777777" w:rsidR="005E4DC0" w:rsidRDefault="00931588">
      <w:pPr>
        <w:spacing w:after="238"/>
        <w:ind w:left="6" w:right="5735" w:hanging="10"/>
      </w:pPr>
      <w:r>
        <w:rPr>
          <w:rFonts w:ascii="微软雅黑" w:eastAsia="微软雅黑" w:hAnsi="微软雅黑" w:cs="微软雅黑"/>
          <w:b/>
          <w:sz w:val="19"/>
        </w:rPr>
        <w:t>关键发现</w:t>
      </w:r>
      <w:r>
        <w:rPr>
          <w:rFonts w:ascii="微软雅黑" w:eastAsia="微软雅黑" w:hAnsi="微软雅黑" w:cs="微软雅黑"/>
          <w:sz w:val="19"/>
        </w:rPr>
        <w:t>:</w:t>
      </w:r>
    </w:p>
    <w:p w14:paraId="0B7F05AD" w14:textId="77777777" w:rsidR="005E4DC0" w:rsidRDefault="00931588">
      <w:pPr>
        <w:numPr>
          <w:ilvl w:val="0"/>
          <w:numId w:val="3"/>
        </w:numPr>
        <w:spacing w:after="81"/>
        <w:ind w:right="46" w:hanging="296"/>
        <w:jc w:val="both"/>
      </w:pPr>
      <w:r>
        <w:rPr>
          <w:rFonts w:ascii="微软雅黑" w:eastAsia="微软雅黑" w:hAnsi="微软雅黑" w:cs="微软雅黑"/>
          <w:b/>
          <w:sz w:val="19"/>
        </w:rPr>
        <w:t>多模态注意⼒融合显著恢复并超越性能</w:t>
      </w:r>
      <w:r>
        <w:rPr>
          <w:rFonts w:ascii="微软雅黑" w:eastAsia="微软雅黑" w:hAnsi="微软雅黑" w:cs="微软雅黑"/>
          <w:color w:val="24282E"/>
          <w:sz w:val="19"/>
        </w:rPr>
        <w:t>:Token-Attn 7-seed 集成达到 PR-AUC=0.918,为端到端纯 Bi-LSTM(0.351)的约 2.6 倍,且</w:t>
      </w:r>
      <w:r>
        <w:rPr>
          <w:rFonts w:ascii="微软雅黑" w:eastAsia="微软雅黑" w:hAnsi="微软雅黑" w:cs="微软雅黑"/>
          <w:b/>
          <w:sz w:val="19"/>
        </w:rPr>
        <w:t>显著超越</w:t>
      </w:r>
      <w:r>
        <w:rPr>
          <w:rFonts w:ascii="微软雅黑" w:eastAsia="微软雅黑" w:hAnsi="微软雅黑" w:cs="微软雅黑"/>
          <w:sz w:val="19"/>
        </w:rPr>
        <w:t xml:space="preserve"> LightGBM</w:t>
      </w:r>
      <w:r>
        <w:rPr>
          <w:rFonts w:ascii="微软雅黑" w:eastAsia="微软雅黑" w:hAnsi="微软雅黑" w:cs="微软雅黑"/>
          <w:b/>
          <w:sz w:val="19"/>
        </w:rPr>
        <w:t>、⾼于</w:t>
      </w:r>
      <w:r>
        <w:rPr>
          <w:rFonts w:ascii="微软雅黑" w:eastAsia="微软雅黑" w:hAnsi="微软雅黑" w:cs="微软雅黑"/>
          <w:sz w:val="19"/>
        </w:rPr>
        <w:t xml:space="preserve"> XGBoost</w:t>
      </w:r>
      <w:r>
        <w:rPr>
          <w:rFonts w:ascii="微软雅黑" w:eastAsia="微软雅黑" w:hAnsi="微软雅黑" w:cs="微软雅黑"/>
          <w:color w:val="24282E"/>
          <w:sz w:val="19"/>
        </w:rPr>
        <w:t>(0.868/0.887)。这说明"序列×特征"的注意⼒交互融合(⽽⾮简单拼接)是跨站点性能的关键;</w:t>
      </w:r>
    </w:p>
    <w:p w14:paraId="230973B9" w14:textId="6D7CAAC0" w:rsidR="005E4DC0" w:rsidRDefault="00DB166C">
      <w:pPr>
        <w:numPr>
          <w:ilvl w:val="0"/>
          <w:numId w:val="3"/>
        </w:numPr>
        <w:spacing w:after="81"/>
        <w:ind w:right="46" w:hanging="296"/>
        <w:jc w:val="both"/>
      </w:pPr>
      <w:r>
        <w:t>SOTA 深度时序模型在跨站点上不敌 GBDT:iTransformer(0.595)、PatchTST(0.679)、FT-Transformer(0.624)、DualTransformer(0.242)及重建式 LSTM-AE(0.248)的 PR-AUC 均明显低于 LightGBM(0.868),说明单纯替换编码器无法解决跨站点泛化,Token-Attn 的跨模态注意力融合才是关键;</w:t>
      </w:r>
    </w:p>
    <w:p w14:paraId="230973B9" w14:textId="6D7CAAC0" w:rsidR="005E4DC0" w:rsidRDefault="00DB166C">
      <w:pPr>
        <w:numPr>
          <w:ilvl w:val="0"/>
          <w:numId w:val="3"/>
        </w:numPr>
        <w:spacing w:after="81"/>
        <w:ind w:right="46" w:hanging="296"/>
        <w:jc w:val="both"/>
      </w:pPr>
      <w:r>
        <w:rPr>
          <w:rFonts w:ascii="微软雅黑" w:eastAsia="微软雅黑" w:hAnsi="微软雅黑" w:cs="微软雅黑"/>
          <w:b/>
          <w:sz w:val="19"/>
        </w:rPr>
        <w:t>深度模型达到并部分超过</w:t>
      </w:r>
      <w:r w:rsidR="00931588">
        <w:rPr>
          <w:rFonts w:ascii="微软雅黑" w:eastAsia="微软雅黑" w:hAnsi="微软雅黑" w:cs="微软雅黑"/>
          <w:sz w:val="19"/>
        </w:rPr>
        <w:t xml:space="preserve"> GBDT</w:t>
      </w:r>
      <w:r w:rsidR="00931588">
        <w:rPr>
          <w:rFonts w:ascii="微软雅黑" w:eastAsia="微软雅黑" w:hAnsi="微软雅黑" w:cs="微软雅黑"/>
          <w:color w:val="24282E"/>
          <w:sz w:val="19"/>
        </w:rPr>
        <w:t>:Token-Attn 以 PR-AUC=0.918 显著超越 LightGBM(0.868)、⾼于 XGBoost(0.887,未达显著),说明多模态注意⼒融合的深度模型在该跨站点任务上达到并部分超过树模型;</w:t>
      </w:r>
    </w:p>
    <w:p w14:paraId="3CA94AB0" w14:textId="77777777" w:rsidR="005E4DC0" w:rsidRDefault="00931588">
      <w:pPr>
        <w:numPr>
          <w:ilvl w:val="0"/>
          <w:numId w:val="3"/>
        </w:numPr>
        <w:spacing w:after="235"/>
        <w:ind w:right="46" w:hanging="296"/>
        <w:jc w:val="both"/>
      </w:pPr>
      <w:r>
        <w:rPr>
          <w:rFonts w:ascii="微软雅黑" w:eastAsia="微软雅黑" w:hAnsi="微软雅黑" w:cs="微软雅黑"/>
          <w:sz w:val="19"/>
        </w:rPr>
        <w:t xml:space="preserve">seed </w:t>
      </w:r>
      <w:r>
        <w:rPr>
          <w:rFonts w:ascii="微软雅黑" w:eastAsia="微软雅黑" w:hAnsi="微软雅黑" w:cs="微软雅黑"/>
          <w:b/>
          <w:sz w:val="19"/>
        </w:rPr>
        <w:t>集成收益显著</w:t>
      </w:r>
      <w:r>
        <w:rPr>
          <w:rFonts w:ascii="微软雅黑" w:eastAsia="微软雅黑" w:hAnsi="微软雅黑" w:cs="微软雅黑"/>
          <w:color w:val="24282E"/>
          <w:sz w:val="19"/>
        </w:rPr>
        <w:t>:Token-Attn 单 seed ⽅差⼤(0.874±0.033),7-seed 概率集成提升⾄ 0.918(+0.045),⽅差显著下降⸺这是⼩样本强不平衡下深度模型的标准做法。</w:t>
      </w:r>
    </w:p>
    <w:p w14:paraId="45A30A8B" w14:textId="77777777" w:rsidR="005E4DC0" w:rsidRDefault="00931588">
      <w:pPr>
        <w:spacing w:after="406" w:line="305" w:lineRule="auto"/>
        <w:ind w:left="6" w:hanging="10"/>
      </w:pPr>
      <w:r>
        <w:rPr>
          <w:rFonts w:ascii="微软雅黑" w:eastAsia="微软雅黑" w:hAnsi="微软雅黑" w:cs="微软雅黑"/>
          <w:b/>
          <w:sz w:val="19"/>
        </w:rPr>
        <w:t>召回率与⾼⻛险定位的权衡</w:t>
      </w:r>
      <w:r>
        <w:rPr>
          <w:rFonts w:ascii="微软雅黑" w:eastAsia="微软雅黑" w:hAnsi="微软雅黑" w:cs="微软雅黑"/>
          <w:color w:val="24282E"/>
          <w:sz w:val="19"/>
        </w:rPr>
        <w:t>:默认阈值 th=0.5 下 Token-Attn 的 Recall=68.99%、Precision=93.68%,偏"查准率优先"⸺漏检约 31%、但误报少,以降低运维误报负担。对安全优先场景(漏检代价⾼),可通过调低阈值提升召回并配合⼈⼯确认,在 Recall 与 Precision 之间按需权衡;这⼀权衡正是⾼⻛险系统"⼈类监督"闭环的⼀部分(⻅ §5.2)。</w:t>
      </w:r>
    </w:p>
    <w:p w14:paraId="1AD850B6" w14:textId="77777777" w:rsidR="005E4DC0" w:rsidRDefault="00931588">
      <w:pPr>
        <w:spacing w:after="0" w:line="488" w:lineRule="auto"/>
        <w:ind w:left="6" w:right="5735" w:hanging="10"/>
      </w:pPr>
      <w:r>
        <w:rPr>
          <w:rFonts w:ascii="微软雅黑" w:eastAsia="微软雅黑" w:hAnsi="微软雅黑" w:cs="微软雅黑"/>
          <w:sz w:val="24"/>
        </w:rPr>
        <w:t xml:space="preserve">4.3 </w:t>
      </w:r>
      <w:r>
        <w:rPr>
          <w:rFonts w:ascii="微软雅黑" w:eastAsia="微软雅黑" w:hAnsi="微软雅黑" w:cs="微软雅黑"/>
          <w:b/>
          <w:sz w:val="24"/>
        </w:rPr>
        <w:t>归因分析</w:t>
      </w:r>
      <w:r>
        <w:rPr>
          <w:rFonts w:ascii="微软雅黑" w:eastAsia="微软雅黑" w:hAnsi="微软雅黑" w:cs="微软雅黑"/>
          <w:color w:val="0366D6"/>
          <w:sz w:val="24"/>
        </w:rPr>
        <w:t xml:space="preserve"> </w:t>
      </w:r>
      <w:r>
        <w:rPr>
          <w:rFonts w:ascii="微软雅黑" w:eastAsia="微软雅黑" w:hAnsi="微软雅黑" w:cs="微软雅黑"/>
          <w:b/>
          <w:sz w:val="19"/>
        </w:rPr>
        <w:t>表</w:t>
      </w:r>
      <w:r>
        <w:rPr>
          <w:rFonts w:ascii="微软雅黑" w:eastAsia="微软雅黑" w:hAnsi="微软雅黑" w:cs="微软雅黑"/>
          <w:sz w:val="19"/>
        </w:rPr>
        <w:t xml:space="preserve"> 2:</w:t>
      </w:r>
      <w:r>
        <w:rPr>
          <w:rFonts w:ascii="微软雅黑" w:eastAsia="微软雅黑" w:hAnsi="微软雅黑" w:cs="微软雅黑"/>
          <w:b/>
          <w:sz w:val="19"/>
        </w:rPr>
        <w:t>多视⻆归因的通道</w:t>
      </w:r>
      <w:r>
        <w:rPr>
          <w:rFonts w:ascii="微软雅黑" w:eastAsia="微软雅黑" w:hAnsi="微软雅黑" w:cs="微软雅黑"/>
          <w:sz w:val="19"/>
        </w:rPr>
        <w:t>/</w:t>
      </w:r>
      <w:r>
        <w:rPr>
          <w:rFonts w:ascii="微软雅黑" w:eastAsia="微软雅黑" w:hAnsi="微软雅黑" w:cs="微软雅黑"/>
          <w:b/>
          <w:sz w:val="19"/>
        </w:rPr>
        <w:t>特征重要性</w:t>
      </w:r>
      <w:r>
        <w:rPr>
          <w:rFonts w:ascii="微软雅黑" w:eastAsia="微软雅黑" w:hAnsi="微软雅黑" w:cs="微软雅黑"/>
          <w:sz w:val="19"/>
        </w:rPr>
        <w:t>(</w:t>
      </w:r>
      <w:r>
        <w:rPr>
          <w:rFonts w:ascii="微软雅黑" w:eastAsia="微软雅黑" w:hAnsi="微软雅黑" w:cs="微软雅黑"/>
          <w:b/>
          <w:sz w:val="19"/>
        </w:rPr>
        <w:t>测试集</w:t>
      </w:r>
      <w:r>
        <w:rPr>
          <w:rFonts w:ascii="微软雅黑" w:eastAsia="微软雅黑" w:hAnsi="微软雅黑" w:cs="微软雅黑"/>
          <w:sz w:val="19"/>
        </w:rPr>
        <w:t>,</w:t>
      </w:r>
      <w:r>
        <w:rPr>
          <w:rFonts w:ascii="微软雅黑" w:eastAsia="微软雅黑" w:hAnsi="微软雅黑" w:cs="微软雅黑"/>
          <w:b/>
          <w:sz w:val="19"/>
        </w:rPr>
        <w:t>故障样本</w:t>
      </w:r>
      <w:r>
        <w:rPr>
          <w:rFonts w:ascii="微软雅黑" w:eastAsia="微软雅黑" w:hAnsi="微软雅黑" w:cs="微软雅黑"/>
          <w:sz w:val="19"/>
        </w:rPr>
        <w:t xml:space="preserve"> n=129) </w:t>
      </w:r>
      <w:r>
        <w:rPr>
          <w:rFonts w:ascii="微软雅黑" w:eastAsia="微软雅黑" w:hAnsi="微软雅黑" w:cs="微软雅黑"/>
          <w:b/>
          <w:sz w:val="19"/>
        </w:rPr>
        <w:t>序列</w:t>
      </w:r>
      <w:r>
        <w:rPr>
          <w:rFonts w:ascii="微软雅黑" w:eastAsia="微软雅黑" w:hAnsi="微软雅黑" w:cs="微软雅黑"/>
          <w:sz w:val="19"/>
        </w:rPr>
        <w:t>×</w:t>
      </w:r>
      <w:r>
        <w:rPr>
          <w:rFonts w:ascii="微软雅黑" w:eastAsia="微软雅黑" w:hAnsi="微软雅黑" w:cs="微软雅黑"/>
          <w:b/>
          <w:sz w:val="19"/>
        </w:rPr>
        <w:t>特征归因</w:t>
      </w:r>
      <w:r>
        <w:rPr>
          <w:rFonts w:ascii="微软雅黑" w:eastAsia="微软雅黑" w:hAnsi="微软雅黑" w:cs="微软雅黑"/>
          <w:sz w:val="19"/>
        </w:rPr>
        <w:t>(</w:t>
      </w:r>
      <w:r>
        <w:rPr>
          <w:rFonts w:ascii="微软雅黑" w:eastAsia="微软雅黑" w:hAnsi="微软雅黑" w:cs="微软雅黑"/>
          <w:b/>
          <w:sz w:val="19"/>
        </w:rPr>
        <w:t>⾃注意⼒</w:t>
      </w:r>
      <w:r>
        <w:rPr>
          <w:rFonts w:ascii="微软雅黑" w:eastAsia="微软雅黑" w:hAnsi="微软雅黑" w:cs="微软雅黑"/>
          <w:sz w:val="19"/>
        </w:rPr>
        <w:t xml:space="preserve">,[CLS] </w:t>
      </w:r>
      <w:r>
        <w:rPr>
          <w:rFonts w:ascii="微软雅黑" w:eastAsia="微软雅黑" w:hAnsi="微软雅黑" w:cs="微软雅黑"/>
          <w:b/>
          <w:sz w:val="19"/>
        </w:rPr>
        <w:t>⾏</w:t>
      </w:r>
      <w:r>
        <w:rPr>
          <w:rFonts w:ascii="微软雅黑" w:eastAsia="微软雅黑" w:hAnsi="微软雅黑" w:cs="微软雅黑"/>
          <w:sz w:val="19"/>
        </w:rPr>
        <w:t>,</w:t>
      </w:r>
      <w:r>
        <w:rPr>
          <w:rFonts w:ascii="微软雅黑" w:eastAsia="微软雅黑" w:hAnsi="微软雅黑" w:cs="微软雅黑"/>
          <w:b/>
          <w:sz w:val="19"/>
        </w:rPr>
        <w:t>故障样本</w:t>
      </w:r>
      <w:r>
        <w:rPr>
          <w:rFonts w:ascii="微软雅黑" w:eastAsia="微软雅黑" w:hAnsi="微软雅黑" w:cs="微软雅黑"/>
          <w:sz w:val="19"/>
        </w:rPr>
        <w:t>)</w:t>
      </w:r>
      <w:r>
        <w:rPr>
          <w:rFonts w:ascii="微软雅黑" w:eastAsia="微软雅黑" w:hAnsi="微软雅黑" w:cs="微软雅黑"/>
          <w:color w:val="24282E"/>
          <w:sz w:val="19"/>
        </w:rPr>
        <w:t>:</w:t>
      </w:r>
    </w:p>
    <w:tbl>
      <w:tblPr>
        <w:tblStyle w:val="TableGrid"/>
        <w:tblW w:w="8289" w:type="dxa"/>
        <w:tblInd w:w="19" w:type="dxa"/>
        <w:tblCellMar>
          <w:left w:w="152" w:type="dxa"/>
          <w:right w:w="152" w:type="dxa"/>
        </w:tblCellMar>
        <w:tblLook w:val="04A0" w:firstRow="1" w:lastRow="0" w:firstColumn="1" w:lastColumn="0" w:noHBand="0" w:noVBand="1"/>
      </w:tblPr>
      <w:tblGrid>
        <w:gridCol w:w="2803"/>
        <w:gridCol w:w="1321"/>
        <w:gridCol w:w="1570"/>
        <w:gridCol w:w="2595"/>
      </w:tblGrid>
      <w:tr w:rsidR="005E4DC0" w14:paraId="499D9EEF" w14:textId="77777777">
        <w:trPr>
          <w:trHeight w:val="448"/>
        </w:trPr>
        <w:tc>
          <w:tcPr>
            <w:tcW w:w="2803"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779D2444" w14:textId="77777777" w:rsidR="005E4DC0" w:rsidRDefault="00931588">
            <w:pPr>
              <w:ind w:right="3"/>
              <w:jc w:val="center"/>
            </w:pPr>
            <w:r>
              <w:rPr>
                <w:rFonts w:ascii="微软雅黑" w:eastAsia="微软雅黑" w:hAnsi="微软雅黑" w:cs="微软雅黑"/>
                <w:b/>
                <w:color w:val="24282E"/>
                <w:sz w:val="19"/>
              </w:rPr>
              <w:t>观察</w:t>
            </w:r>
          </w:p>
        </w:tc>
        <w:tc>
          <w:tcPr>
            <w:tcW w:w="1321"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62852FD9" w14:textId="77777777" w:rsidR="005E4DC0" w:rsidRDefault="00931588">
            <w:pPr>
              <w:ind w:left="128"/>
            </w:pPr>
            <w:r>
              <w:rPr>
                <w:rFonts w:ascii="微软雅黑" w:eastAsia="微软雅黑" w:hAnsi="微软雅黑" w:cs="微软雅黑"/>
                <w:b/>
                <w:color w:val="24282E"/>
                <w:sz w:val="19"/>
              </w:rPr>
              <w:t>正常样本</w:t>
            </w:r>
          </w:p>
        </w:tc>
        <w:tc>
          <w:tcPr>
            <w:tcW w:w="1570"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2A898E72" w14:textId="77777777" w:rsidR="005E4DC0" w:rsidRDefault="00931588">
            <w:pPr>
              <w:ind w:right="4"/>
              <w:jc w:val="center"/>
            </w:pPr>
            <w:r>
              <w:rPr>
                <w:rFonts w:ascii="微软雅黑" w:eastAsia="微软雅黑" w:hAnsi="微软雅黑" w:cs="微软雅黑"/>
                <w:b/>
                <w:color w:val="24282E"/>
                <w:sz w:val="19"/>
              </w:rPr>
              <w:t>故障样本</w:t>
            </w:r>
          </w:p>
        </w:tc>
        <w:tc>
          <w:tcPr>
            <w:tcW w:w="2595"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7A2A737E" w14:textId="77777777" w:rsidR="005E4DC0" w:rsidRDefault="00931588">
            <w:pPr>
              <w:ind w:right="4"/>
              <w:jc w:val="center"/>
            </w:pPr>
            <w:r>
              <w:rPr>
                <w:rFonts w:ascii="微软雅黑" w:eastAsia="微软雅黑" w:hAnsi="微软雅黑" w:cs="微软雅黑"/>
                <w:b/>
                <w:color w:val="24282E"/>
                <w:sz w:val="19"/>
              </w:rPr>
              <w:t>物理解读</w:t>
            </w:r>
          </w:p>
        </w:tc>
      </w:tr>
      <w:tr w:rsidR="005E4DC0" w14:paraId="416ECE5B" w14:textId="77777777">
        <w:trPr>
          <w:trHeight w:val="448"/>
        </w:trPr>
        <w:tc>
          <w:tcPr>
            <w:tcW w:w="2803" w:type="dxa"/>
            <w:tcBorders>
              <w:top w:val="single" w:sz="6" w:space="0" w:color="DFE2E5"/>
              <w:left w:val="single" w:sz="6" w:space="0" w:color="DFE2E5"/>
              <w:bottom w:val="single" w:sz="6" w:space="0" w:color="DFE2E5"/>
              <w:right w:val="single" w:sz="6" w:space="0" w:color="DFE2E5"/>
            </w:tcBorders>
            <w:vAlign w:val="center"/>
          </w:tcPr>
          <w:p w14:paraId="3EE721E6" w14:textId="77777777" w:rsidR="005E4DC0" w:rsidRDefault="00931588">
            <w:r>
              <w:rPr>
                <w:rFonts w:ascii="微软雅黑" w:eastAsia="微软雅黑" w:hAnsi="微软雅黑" w:cs="微软雅黑"/>
                <w:color w:val="24282E"/>
                <w:sz w:val="19"/>
              </w:rPr>
              <w:t>[CLS] 对特征 token 关注占⽐</w:t>
            </w:r>
          </w:p>
        </w:tc>
        <w:tc>
          <w:tcPr>
            <w:tcW w:w="1321" w:type="dxa"/>
            <w:tcBorders>
              <w:top w:val="single" w:sz="6" w:space="0" w:color="DFE2E5"/>
              <w:left w:val="single" w:sz="6" w:space="0" w:color="DFE2E5"/>
              <w:bottom w:val="single" w:sz="6" w:space="0" w:color="DFE2E5"/>
              <w:right w:val="single" w:sz="6" w:space="0" w:color="DFE2E5"/>
            </w:tcBorders>
            <w:vAlign w:val="center"/>
          </w:tcPr>
          <w:p w14:paraId="440C3DAF" w14:textId="77777777" w:rsidR="005E4DC0" w:rsidRDefault="00931588">
            <w:pPr>
              <w:ind w:left="1"/>
            </w:pPr>
            <w:r>
              <w:rPr>
                <w:rFonts w:ascii="微软雅黑" w:eastAsia="微软雅黑" w:hAnsi="微软雅黑" w:cs="微软雅黑"/>
                <w:color w:val="24282E"/>
                <w:sz w:val="19"/>
              </w:rPr>
              <w:t>0.725</w:t>
            </w:r>
          </w:p>
        </w:tc>
        <w:tc>
          <w:tcPr>
            <w:tcW w:w="1570" w:type="dxa"/>
            <w:tcBorders>
              <w:top w:val="single" w:sz="6" w:space="0" w:color="DFE2E5"/>
              <w:left w:val="single" w:sz="6" w:space="0" w:color="DFE2E5"/>
              <w:bottom w:val="single" w:sz="6" w:space="0" w:color="DFE2E5"/>
              <w:right w:val="single" w:sz="6" w:space="0" w:color="DFE2E5"/>
            </w:tcBorders>
            <w:vAlign w:val="center"/>
          </w:tcPr>
          <w:p w14:paraId="24A74734" w14:textId="77777777" w:rsidR="005E4DC0" w:rsidRDefault="00931588">
            <w:pPr>
              <w:ind w:left="1"/>
            </w:pPr>
            <w:r>
              <w:rPr>
                <w:rFonts w:ascii="微软雅黑" w:eastAsia="微软雅黑" w:hAnsi="微软雅黑" w:cs="微软雅黑"/>
                <w:sz w:val="19"/>
              </w:rPr>
              <w:t>0.782</w:t>
            </w:r>
          </w:p>
        </w:tc>
        <w:tc>
          <w:tcPr>
            <w:tcW w:w="2595" w:type="dxa"/>
            <w:tcBorders>
              <w:top w:val="single" w:sz="6" w:space="0" w:color="DFE2E5"/>
              <w:left w:val="single" w:sz="6" w:space="0" w:color="DFE2E5"/>
              <w:bottom w:val="single" w:sz="6" w:space="0" w:color="DFE2E5"/>
              <w:right w:val="single" w:sz="6" w:space="0" w:color="DFE2E5"/>
            </w:tcBorders>
            <w:vAlign w:val="center"/>
          </w:tcPr>
          <w:p w14:paraId="40636D8F" w14:textId="77777777" w:rsidR="005E4DC0" w:rsidRDefault="00931588">
            <w:pPr>
              <w:jc w:val="both"/>
            </w:pPr>
            <w:r>
              <w:rPr>
                <w:rFonts w:ascii="微软雅黑" w:eastAsia="微软雅黑" w:hAnsi="微软雅黑" w:cs="微软雅黑"/>
                <w:color w:val="24282E"/>
                <w:sz w:val="19"/>
              </w:rPr>
              <w:t>故障时模型更依赖特征分⽀</w:t>
            </w:r>
          </w:p>
        </w:tc>
      </w:tr>
      <w:tr w:rsidR="005E4DC0" w14:paraId="5F1E1D07" w14:textId="77777777">
        <w:trPr>
          <w:trHeight w:val="448"/>
        </w:trPr>
        <w:tc>
          <w:tcPr>
            <w:tcW w:w="280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2EF56DE" w14:textId="77777777" w:rsidR="005E4DC0" w:rsidRDefault="00931588">
            <w:r>
              <w:rPr>
                <w:rFonts w:ascii="微软雅黑" w:eastAsia="微软雅黑" w:hAnsi="微软雅黑" w:cs="微软雅黑"/>
                <w:color w:val="24282E"/>
                <w:sz w:val="19"/>
              </w:rPr>
              <w:t>[CLS] 对序列段关注占⽐</w:t>
            </w:r>
          </w:p>
        </w:tc>
        <w:tc>
          <w:tcPr>
            <w:tcW w:w="1321"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2E46C5F" w14:textId="77777777" w:rsidR="005E4DC0" w:rsidRDefault="00931588">
            <w:pPr>
              <w:ind w:left="1"/>
            </w:pPr>
            <w:r>
              <w:rPr>
                <w:rFonts w:ascii="微软雅黑" w:eastAsia="微软雅黑" w:hAnsi="微软雅黑" w:cs="微软雅黑"/>
                <w:color w:val="24282E"/>
                <w:sz w:val="19"/>
              </w:rPr>
              <w:t>0.268</w:t>
            </w:r>
          </w:p>
        </w:tc>
        <w:tc>
          <w:tcPr>
            <w:tcW w:w="157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01E5DAA" w14:textId="77777777" w:rsidR="005E4DC0" w:rsidRDefault="00931588">
            <w:pPr>
              <w:ind w:left="1"/>
            </w:pPr>
            <w:r>
              <w:rPr>
                <w:rFonts w:ascii="微软雅黑" w:eastAsia="微软雅黑" w:hAnsi="微软雅黑" w:cs="微软雅黑"/>
                <w:color w:val="24282E"/>
                <w:sz w:val="19"/>
              </w:rPr>
              <w:t>0.132</w:t>
            </w:r>
          </w:p>
        </w:tc>
        <w:tc>
          <w:tcPr>
            <w:tcW w:w="2595"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7FC24D7" w14:textId="77777777" w:rsidR="005E4DC0" w:rsidRDefault="00931588">
            <w:r>
              <w:rPr>
                <w:rFonts w:ascii="微软雅黑" w:eastAsia="微软雅黑" w:hAnsi="微软雅黑" w:cs="微软雅黑"/>
                <w:color w:val="24282E"/>
                <w:sz w:val="19"/>
              </w:rPr>
              <w:t>故障时序列段关注下降</w:t>
            </w:r>
          </w:p>
        </w:tc>
      </w:tr>
      <w:tr w:rsidR="005E4DC0" w14:paraId="2515B42E" w14:textId="77777777">
        <w:trPr>
          <w:trHeight w:val="448"/>
        </w:trPr>
        <w:tc>
          <w:tcPr>
            <w:tcW w:w="280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14C75FA" w14:textId="77777777" w:rsidR="005E4DC0" w:rsidRDefault="00931588">
            <w:r>
              <w:rPr>
                <w:rFonts w:ascii="微软雅黑" w:eastAsia="微软雅黑" w:hAnsi="微软雅黑" w:cs="微软雅黑"/>
                <w:color w:val="24282E"/>
                <w:sz w:val="19"/>
              </w:rPr>
              <w:t>特征组×段的注意⼒峰值</w:t>
            </w:r>
          </w:p>
        </w:tc>
        <w:tc>
          <w:tcPr>
            <w:tcW w:w="1321"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D56C8E5" w14:textId="77777777" w:rsidR="005E4DC0" w:rsidRDefault="00931588">
            <w:pPr>
              <w:ind w:left="1"/>
            </w:pPr>
            <w:r>
              <w:rPr>
                <w:rFonts w:ascii="微软雅黑" w:eastAsia="微软雅黑" w:hAnsi="微软雅黑" w:cs="微软雅黑"/>
                <w:color w:val="24282E"/>
                <w:sz w:val="19"/>
              </w:rPr>
              <w:t>启动段(2/8)</w:t>
            </w:r>
          </w:p>
        </w:tc>
        <w:tc>
          <w:tcPr>
            <w:tcW w:w="157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5565C132" w14:textId="77777777" w:rsidR="005E4DC0" w:rsidRDefault="00931588">
            <w:pPr>
              <w:ind w:left="1"/>
            </w:pPr>
            <w:r>
              <w:rPr>
                <w:rFonts w:ascii="微软雅黑" w:eastAsia="微软雅黑" w:hAnsi="微软雅黑" w:cs="微软雅黑"/>
                <w:color w:val="24282E"/>
                <w:sz w:val="19"/>
              </w:rPr>
              <w:t>中后段(5/8 后)</w:t>
            </w:r>
          </w:p>
        </w:tc>
        <w:tc>
          <w:tcPr>
            <w:tcW w:w="2595"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BB18A5C" w14:textId="77777777" w:rsidR="005E4DC0" w:rsidRDefault="00931588">
            <w:pPr>
              <w:jc w:val="both"/>
            </w:pPr>
            <w:r>
              <w:rPr>
                <w:rFonts w:ascii="微软雅黑" w:eastAsia="微软雅黑" w:hAnsi="微软雅黑" w:cs="微软雅黑"/>
                <w:color w:val="24282E"/>
                <w:sz w:val="19"/>
              </w:rPr>
              <w:t>异常时注意⼒向中后段漂移</w:t>
            </w:r>
          </w:p>
        </w:tc>
      </w:tr>
    </w:tbl>
    <w:p w14:paraId="4CAE0A7F" w14:textId="77777777" w:rsidR="005E4DC0" w:rsidRDefault="00931588">
      <w:pPr>
        <w:spacing w:after="180" w:line="320" w:lineRule="auto"/>
        <w:ind w:left="88" w:hanging="77"/>
      </w:pPr>
      <w:r>
        <w:rPr>
          <w:noProof/>
        </w:rPr>
        <mc:AlternateContent>
          <mc:Choice Requires="wpg">
            <w:drawing>
              <wp:anchor distT="0" distB="0" distL="114300" distR="114300" simplePos="0" relativeHeight="251664384" behindDoc="1" locked="0" layoutInCell="1" allowOverlap="1" wp14:anchorId="72FA3240" wp14:editId="0366B76A">
                <wp:simplePos x="0" y="0"/>
                <wp:positionH relativeFrom="column">
                  <wp:posOffset>6877</wp:posOffset>
                </wp:positionH>
                <wp:positionV relativeFrom="paragraph">
                  <wp:posOffset>-13573</wp:posOffset>
                </wp:positionV>
                <wp:extent cx="2471533" cy="345811"/>
                <wp:effectExtent l="0" t="0" r="0" b="0"/>
                <wp:wrapNone/>
                <wp:docPr id="35179" name="Group 35179"/>
                <wp:cNvGraphicFramePr/>
                <a:graphic xmlns:a="http://schemas.openxmlformats.org/drawingml/2006/main">
                  <a:graphicData uri="http://schemas.microsoft.com/office/word/2010/wordprocessingGroup">
                    <wpg:wgp>
                      <wpg:cNvGrpSpPr/>
                      <wpg:grpSpPr>
                        <a:xfrm>
                          <a:off x="0" y="0"/>
                          <a:ext cx="2471533" cy="345811"/>
                          <a:chOff x="0" y="0"/>
                          <a:chExt cx="2471533" cy="345811"/>
                        </a:xfrm>
                      </wpg:grpSpPr>
                      <wps:wsp>
                        <wps:cNvPr id="3848" name="Shape 3848"/>
                        <wps:cNvSpPr/>
                        <wps:spPr>
                          <a:xfrm>
                            <a:off x="1245937" y="0"/>
                            <a:ext cx="1225596" cy="162734"/>
                          </a:xfrm>
                          <a:custGeom>
                            <a:avLst/>
                            <a:gdLst/>
                            <a:ahLst/>
                            <a:cxnLst/>
                            <a:rect l="0" t="0" r="0" b="0"/>
                            <a:pathLst>
                              <a:path w="1225596" h="162734">
                                <a:moveTo>
                                  <a:pt x="22955" y="0"/>
                                </a:moveTo>
                                <a:lnTo>
                                  <a:pt x="1202639" y="0"/>
                                </a:lnTo>
                                <a:cubicBezTo>
                                  <a:pt x="1215318" y="0"/>
                                  <a:pt x="1225596" y="10388"/>
                                  <a:pt x="1225596" y="23202"/>
                                </a:cubicBezTo>
                                <a:lnTo>
                                  <a:pt x="1225596" y="139533"/>
                                </a:lnTo>
                                <a:cubicBezTo>
                                  <a:pt x="1225596" y="152347"/>
                                  <a:pt x="1215318" y="162734"/>
                                  <a:pt x="1202639" y="162734"/>
                                </a:cubicBezTo>
                                <a:lnTo>
                                  <a:pt x="22955" y="162734"/>
                                </a:lnTo>
                                <a:cubicBezTo>
                                  <a:pt x="10278" y="162734"/>
                                  <a:pt x="0" y="152347"/>
                                  <a:pt x="0" y="139533"/>
                                </a:cubicBezTo>
                                <a:lnTo>
                                  <a:pt x="0" y="23202"/>
                                </a:lnTo>
                                <a:cubicBezTo>
                                  <a:pt x="0" y="10388"/>
                                  <a:pt x="10278" y="0"/>
                                  <a:pt x="22955" y="0"/>
                                </a:cubicBezTo>
                                <a:close/>
                              </a:path>
                            </a:pathLst>
                          </a:custGeom>
                          <a:ln w="0" cap="flat">
                            <a:miter lim="127000"/>
                          </a:ln>
                        </wps:spPr>
                        <wps:style>
                          <a:lnRef idx="0">
                            <a:srgbClr val="000000">
                              <a:alpha val="0"/>
                            </a:srgbClr>
                          </a:lnRef>
                          <a:fillRef idx="1">
                            <a:srgbClr val="1B1E22">
                              <a:alpha val="5098"/>
                            </a:srgbClr>
                          </a:fillRef>
                          <a:effectRef idx="0">
                            <a:scrgbClr r="0" g="0" b="0"/>
                          </a:effectRef>
                          <a:fontRef idx="none"/>
                        </wps:style>
                        <wps:bodyPr/>
                      </wps:wsp>
                      <wps:wsp>
                        <wps:cNvPr id="3873" name="Shape 3873"/>
                        <wps:cNvSpPr/>
                        <wps:spPr>
                          <a:xfrm>
                            <a:off x="0" y="183076"/>
                            <a:ext cx="1159485" cy="162735"/>
                          </a:xfrm>
                          <a:custGeom>
                            <a:avLst/>
                            <a:gdLst/>
                            <a:ahLst/>
                            <a:cxnLst/>
                            <a:rect l="0" t="0" r="0" b="0"/>
                            <a:pathLst>
                              <a:path w="1159485" h="162735">
                                <a:moveTo>
                                  <a:pt x="22888" y="0"/>
                                </a:moveTo>
                                <a:lnTo>
                                  <a:pt x="1136597" y="0"/>
                                </a:lnTo>
                                <a:cubicBezTo>
                                  <a:pt x="1149237" y="0"/>
                                  <a:pt x="1159485" y="10389"/>
                                  <a:pt x="1159485" y="23202"/>
                                </a:cubicBezTo>
                                <a:lnTo>
                                  <a:pt x="1159485" y="139533"/>
                                </a:lnTo>
                                <a:cubicBezTo>
                                  <a:pt x="1159485" y="152347"/>
                                  <a:pt x="1149237" y="162735"/>
                                  <a:pt x="1136597" y="162735"/>
                                </a:cubicBezTo>
                                <a:lnTo>
                                  <a:pt x="22888" y="162735"/>
                                </a:lnTo>
                                <a:cubicBezTo>
                                  <a:pt x="10247" y="162735"/>
                                  <a:pt x="0" y="152347"/>
                                  <a:pt x="0" y="139533"/>
                                </a:cubicBezTo>
                                <a:lnTo>
                                  <a:pt x="0" y="23202"/>
                                </a:lnTo>
                                <a:cubicBezTo>
                                  <a:pt x="0" y="10389"/>
                                  <a:pt x="10247" y="0"/>
                                  <a:pt x="22888" y="0"/>
                                </a:cubicBezTo>
                                <a:close/>
                              </a:path>
                            </a:pathLst>
                          </a:custGeom>
                          <a:ln w="0" cap="flat">
                            <a:miter lim="127000"/>
                          </a:ln>
                        </wps:spPr>
                        <wps:style>
                          <a:lnRef idx="0">
                            <a:srgbClr val="000000">
                              <a:alpha val="0"/>
                            </a:srgbClr>
                          </a:lnRef>
                          <a:fillRef idx="1">
                            <a:srgbClr val="1B1E22">
                              <a:alpha val="5098"/>
                            </a:srgbClr>
                          </a:fillRef>
                          <a:effectRef idx="0">
                            <a:scrgbClr r="0" g="0" b="0"/>
                          </a:effectRef>
                          <a:fontRef idx="none"/>
                        </wps:style>
                        <wps:bodyPr/>
                      </wps:wsp>
                    </wpg:wgp>
                  </a:graphicData>
                </a:graphic>
              </wp:anchor>
            </w:drawing>
          </mc:Choice>
          <mc:Fallback xmlns:a="http://schemas.openxmlformats.org/drawingml/2006/main">
            <w:pict>
              <v:group id="Group 35179" style="width:194.609pt;height:27.2292pt;position:absolute;z-index:-2147483224;mso-position-horizontal-relative:text;mso-position-horizontal:absolute;margin-left:0.541523pt;mso-position-vertical-relative:text;margin-top:-1.06885pt;" coordsize="24715,3458">
                <v:shape id="Shape 3848" style="position:absolute;width:12255;height:1627;left:12459;top:0;" coordsize="1225596,162734" path="m22955,0l1202639,0c1215318,0,1225596,10388,1225596,23202l1225596,139533c1225596,152347,1215318,162734,1202639,162734l22955,162734c10278,162734,0,152347,0,139533l0,23202c0,10388,10278,0,22955,0x">
                  <v:stroke weight="0pt" endcap="flat" joinstyle="miter" miterlimit="10" on="false" color="#000000" opacity="0"/>
                  <v:fill on="true" color="#1b1e22" opacity="0.0509804"/>
                </v:shape>
                <v:shape id="Shape 3873" style="position:absolute;width:11594;height:1627;left:0;top:1830;" coordsize="1159485,162735" path="m22888,0l1136597,0c1149237,0,1159485,10389,1159485,23202l1159485,139533c1159485,152347,1149237,162735,1136597,162735l22888,162735c10247,162735,0,152347,0,139533l0,23202c0,10389,10247,0,22888,0x">
                  <v:stroke weight="0pt" endcap="flat" joinstyle="miter" miterlimit="10" on="false" color="#000000" opacity="0"/>
                  <v:fill on="true" color="#1b1e22" opacity="0.0509804"/>
                </v:shape>
              </v:group>
            </w:pict>
          </mc:Fallback>
        </mc:AlternateContent>
      </w:r>
      <w:r>
        <w:rPr>
          <w:noProof/>
        </w:rPr>
        <mc:AlternateContent>
          <mc:Choice Requires="wpg">
            <w:drawing>
              <wp:anchor distT="0" distB="0" distL="114300" distR="114300" simplePos="0" relativeHeight="251665408" behindDoc="1" locked="0" layoutInCell="1" allowOverlap="1" wp14:anchorId="16972238" wp14:editId="3F088779">
                <wp:simplePos x="0" y="0"/>
                <wp:positionH relativeFrom="column">
                  <wp:posOffset>3297169</wp:posOffset>
                </wp:positionH>
                <wp:positionV relativeFrom="paragraph">
                  <wp:posOffset>-13573</wp:posOffset>
                </wp:positionV>
                <wp:extent cx="722135" cy="162734"/>
                <wp:effectExtent l="0" t="0" r="0" b="0"/>
                <wp:wrapNone/>
                <wp:docPr id="35180" name="Group 35180"/>
                <wp:cNvGraphicFramePr/>
                <a:graphic xmlns:a="http://schemas.openxmlformats.org/drawingml/2006/main">
                  <a:graphicData uri="http://schemas.microsoft.com/office/word/2010/wordprocessingGroup">
                    <wpg:wgp>
                      <wpg:cNvGrpSpPr/>
                      <wpg:grpSpPr>
                        <a:xfrm>
                          <a:off x="0" y="0"/>
                          <a:ext cx="722135" cy="162734"/>
                          <a:chOff x="0" y="0"/>
                          <a:chExt cx="722135" cy="162734"/>
                        </a:xfrm>
                      </wpg:grpSpPr>
                      <wps:wsp>
                        <wps:cNvPr id="3856" name="Shape 3856"/>
                        <wps:cNvSpPr/>
                        <wps:spPr>
                          <a:xfrm>
                            <a:off x="0" y="0"/>
                            <a:ext cx="722135" cy="162734"/>
                          </a:xfrm>
                          <a:custGeom>
                            <a:avLst/>
                            <a:gdLst/>
                            <a:ahLst/>
                            <a:cxnLst/>
                            <a:rect l="0" t="0" r="0" b="0"/>
                            <a:pathLst>
                              <a:path w="722135" h="162734">
                                <a:moveTo>
                                  <a:pt x="22884" y="0"/>
                                </a:moveTo>
                                <a:lnTo>
                                  <a:pt x="699251" y="0"/>
                                </a:lnTo>
                                <a:cubicBezTo>
                                  <a:pt x="711889" y="0"/>
                                  <a:pt x="722135" y="10388"/>
                                  <a:pt x="722135" y="23202"/>
                                </a:cubicBezTo>
                                <a:lnTo>
                                  <a:pt x="722135" y="139533"/>
                                </a:lnTo>
                                <a:cubicBezTo>
                                  <a:pt x="722135" y="152347"/>
                                  <a:pt x="711889" y="162734"/>
                                  <a:pt x="699251" y="162734"/>
                                </a:cubicBezTo>
                                <a:lnTo>
                                  <a:pt x="22884" y="162734"/>
                                </a:lnTo>
                                <a:cubicBezTo>
                                  <a:pt x="10245" y="162734"/>
                                  <a:pt x="0" y="152347"/>
                                  <a:pt x="0" y="139533"/>
                                </a:cubicBezTo>
                                <a:lnTo>
                                  <a:pt x="0" y="23202"/>
                                </a:lnTo>
                                <a:cubicBezTo>
                                  <a:pt x="0" y="10388"/>
                                  <a:pt x="10245" y="0"/>
                                  <a:pt x="22884" y="0"/>
                                </a:cubicBezTo>
                                <a:close/>
                              </a:path>
                            </a:pathLst>
                          </a:custGeom>
                          <a:ln w="0" cap="flat">
                            <a:miter lim="127000"/>
                          </a:ln>
                        </wps:spPr>
                        <wps:style>
                          <a:lnRef idx="0">
                            <a:srgbClr val="000000">
                              <a:alpha val="0"/>
                            </a:srgbClr>
                          </a:lnRef>
                          <a:fillRef idx="1">
                            <a:srgbClr val="1B1E22">
                              <a:alpha val="5098"/>
                            </a:srgbClr>
                          </a:fillRef>
                          <a:effectRef idx="0">
                            <a:scrgbClr r="0" g="0" b="0"/>
                          </a:effectRef>
                          <a:fontRef idx="none"/>
                        </wps:style>
                        <wps:bodyPr/>
                      </wps:wsp>
                    </wpg:wgp>
                  </a:graphicData>
                </a:graphic>
              </wp:anchor>
            </w:drawing>
          </mc:Choice>
          <mc:Fallback xmlns:a="http://schemas.openxmlformats.org/drawingml/2006/main">
            <w:pict>
              <v:group id="Group 35180" style="width:56.861pt;height:12.8137pt;position:absolute;z-index:-2147483228;mso-position-horizontal-relative:text;mso-position-horizontal:absolute;margin-left:259.62pt;mso-position-vertical-relative:text;margin-top:-1.06885pt;" coordsize="7221,1627">
                <v:shape id="Shape 3856" style="position:absolute;width:7221;height:1627;left:0;top:0;" coordsize="722135,162734" path="m22884,0l699251,0c711889,0,722135,10388,722135,23202l722135,139533c722135,152347,711889,162734,699251,162734l22884,162734c10245,162734,0,152347,0,139533l0,23202c0,10388,10245,0,22884,0x">
                  <v:stroke weight="0pt" endcap="flat" joinstyle="miter" miterlimit="10" on="false" color="#000000" opacity="0"/>
                  <v:fill on="true" color="#1b1e22" opacity="0.0509804"/>
                </v:shape>
              </v:group>
            </w:pict>
          </mc:Fallback>
        </mc:AlternateContent>
      </w:r>
      <w:r>
        <w:rPr>
          <w:noProof/>
        </w:rPr>
        <mc:AlternateContent>
          <mc:Choice Requires="wpg">
            <w:drawing>
              <wp:anchor distT="0" distB="0" distL="114300" distR="114300" simplePos="0" relativeHeight="251666432" behindDoc="1" locked="0" layoutInCell="1" allowOverlap="1" wp14:anchorId="45421196" wp14:editId="12A97F29">
                <wp:simplePos x="0" y="0"/>
                <wp:positionH relativeFrom="column">
                  <wp:posOffset>4960114</wp:posOffset>
                </wp:positionH>
                <wp:positionV relativeFrom="paragraph">
                  <wp:posOffset>-13573</wp:posOffset>
                </wp:positionV>
                <wp:extent cx="788246" cy="162734"/>
                <wp:effectExtent l="0" t="0" r="0" b="0"/>
                <wp:wrapNone/>
                <wp:docPr id="35181" name="Group 35181"/>
                <wp:cNvGraphicFramePr/>
                <a:graphic xmlns:a="http://schemas.openxmlformats.org/drawingml/2006/main">
                  <a:graphicData uri="http://schemas.microsoft.com/office/word/2010/wordprocessingGroup">
                    <wpg:wgp>
                      <wpg:cNvGrpSpPr/>
                      <wpg:grpSpPr>
                        <a:xfrm>
                          <a:off x="0" y="0"/>
                          <a:ext cx="788246" cy="162734"/>
                          <a:chOff x="0" y="0"/>
                          <a:chExt cx="788246" cy="162734"/>
                        </a:xfrm>
                      </wpg:grpSpPr>
                      <wps:wsp>
                        <wps:cNvPr id="3865" name="Shape 3865"/>
                        <wps:cNvSpPr/>
                        <wps:spPr>
                          <a:xfrm>
                            <a:off x="0" y="0"/>
                            <a:ext cx="788246" cy="162734"/>
                          </a:xfrm>
                          <a:custGeom>
                            <a:avLst/>
                            <a:gdLst/>
                            <a:ahLst/>
                            <a:cxnLst/>
                            <a:rect l="0" t="0" r="0" b="0"/>
                            <a:pathLst>
                              <a:path w="788246" h="162734">
                                <a:moveTo>
                                  <a:pt x="22991" y="0"/>
                                </a:moveTo>
                                <a:lnTo>
                                  <a:pt x="765255" y="0"/>
                                </a:lnTo>
                                <a:cubicBezTo>
                                  <a:pt x="777953" y="0"/>
                                  <a:pt x="788246" y="10388"/>
                                  <a:pt x="788246" y="23202"/>
                                </a:cubicBezTo>
                                <a:lnTo>
                                  <a:pt x="788246" y="139533"/>
                                </a:lnTo>
                                <a:cubicBezTo>
                                  <a:pt x="788246" y="152347"/>
                                  <a:pt x="777953" y="162734"/>
                                  <a:pt x="765255" y="162734"/>
                                </a:cubicBezTo>
                                <a:lnTo>
                                  <a:pt x="22991" y="162734"/>
                                </a:lnTo>
                                <a:cubicBezTo>
                                  <a:pt x="10293" y="162734"/>
                                  <a:pt x="0" y="152347"/>
                                  <a:pt x="0" y="139533"/>
                                </a:cubicBezTo>
                                <a:lnTo>
                                  <a:pt x="0" y="23202"/>
                                </a:lnTo>
                                <a:cubicBezTo>
                                  <a:pt x="0" y="10388"/>
                                  <a:pt x="10293" y="0"/>
                                  <a:pt x="22991" y="0"/>
                                </a:cubicBezTo>
                                <a:close/>
                              </a:path>
                            </a:pathLst>
                          </a:custGeom>
                          <a:ln w="0" cap="flat">
                            <a:miter lim="127000"/>
                          </a:ln>
                        </wps:spPr>
                        <wps:style>
                          <a:lnRef idx="0">
                            <a:srgbClr val="000000">
                              <a:alpha val="0"/>
                            </a:srgbClr>
                          </a:lnRef>
                          <a:fillRef idx="1">
                            <a:srgbClr val="1B1E22">
                              <a:alpha val="5098"/>
                            </a:srgbClr>
                          </a:fillRef>
                          <a:effectRef idx="0">
                            <a:scrgbClr r="0" g="0" b="0"/>
                          </a:effectRef>
                          <a:fontRef idx="none"/>
                        </wps:style>
                        <wps:bodyPr/>
                      </wps:wsp>
                    </wpg:wgp>
                  </a:graphicData>
                </a:graphic>
              </wp:anchor>
            </w:drawing>
          </mc:Choice>
          <mc:Fallback xmlns:a="http://schemas.openxmlformats.org/drawingml/2006/main">
            <w:pict>
              <v:group id="Group 35181" style="width:62.0666pt;height:12.8137pt;position:absolute;z-index:-2147483219;mso-position-horizontal-relative:text;mso-position-horizontal:absolute;margin-left:390.56pt;mso-position-vertical-relative:text;margin-top:-1.06885pt;" coordsize="7882,1627">
                <v:shape id="Shape 3865" style="position:absolute;width:7882;height:1627;left:0;top:0;" coordsize="788246,162734" path="m22991,0l765255,0c777953,0,788246,10388,788246,23202l788246,139533c788246,152347,777953,162734,765255,162734l22991,162734c10293,162734,0,152347,0,139533l0,23202c0,10388,10293,0,22991,0x">
                  <v:stroke weight="0pt" endcap="flat" joinstyle="miter" miterlimit="10" on="false" color="#000000" opacity="0"/>
                  <v:fill on="true" color="#1b1e22" opacity="0.0509804"/>
                </v:shape>
              </v:group>
            </w:pict>
          </mc:Fallback>
        </mc:AlternateContent>
      </w:r>
      <w:r>
        <w:rPr>
          <w:rFonts w:ascii="微软雅黑" w:eastAsia="微软雅黑" w:hAnsi="微软雅黑" w:cs="微软雅黑"/>
          <w:color w:val="24282E"/>
          <w:sz w:val="19"/>
        </w:rPr>
        <w:t xml:space="preserve">最受关注的序列段特征: </w:t>
      </w:r>
      <w:r>
        <w:rPr>
          <w:rFonts w:ascii="微软雅黑" w:eastAsia="微软雅黑" w:hAnsi="微软雅黑" w:cs="微软雅黑"/>
          <w:color w:val="545454"/>
          <w:sz w:val="16"/>
        </w:rPr>
        <w:t xml:space="preserve">a_first_last_ratio </w:t>
      </w:r>
      <w:r>
        <w:rPr>
          <w:rFonts w:ascii="微软雅黑" w:eastAsia="微软雅黑" w:hAnsi="微软雅黑" w:cs="微软雅黑"/>
          <w:color w:val="24282E"/>
          <w:sz w:val="19"/>
        </w:rPr>
        <w:t xml:space="preserve">(电流⾸末⽐)、 </w:t>
      </w:r>
      <w:r>
        <w:rPr>
          <w:rFonts w:ascii="微软雅黑" w:eastAsia="微软雅黑" w:hAnsi="微软雅黑" w:cs="微软雅黑"/>
          <w:color w:val="545454"/>
          <w:sz w:val="16"/>
        </w:rPr>
        <w:t xml:space="preserve">a_seg3_max </w:t>
      </w:r>
      <w:r>
        <w:rPr>
          <w:rFonts w:ascii="微软雅黑" w:eastAsia="微软雅黑" w:hAnsi="微软雅黑" w:cs="微软雅黑"/>
          <w:color w:val="24282E"/>
          <w:sz w:val="19"/>
        </w:rPr>
        <w:t xml:space="preserve">(末段电流峰值)、 </w:t>
      </w:r>
      <w:r>
        <w:rPr>
          <w:rFonts w:ascii="微软雅黑" w:eastAsia="微软雅黑" w:hAnsi="微软雅黑" w:cs="微软雅黑"/>
          <w:color w:val="545454"/>
          <w:sz w:val="16"/>
        </w:rPr>
        <w:t xml:space="preserve">t1_max_jump </w:t>
      </w:r>
      <w:r>
        <w:rPr>
          <w:rFonts w:ascii="微软雅黑" w:eastAsia="微软雅黑" w:hAnsi="微软雅黑" w:cs="微软雅黑"/>
          <w:color w:val="24282E"/>
          <w:sz w:val="19"/>
        </w:rPr>
        <w:t xml:space="preserve">(枪温跳变)、 </w:t>
      </w:r>
      <w:r>
        <w:rPr>
          <w:rFonts w:ascii="微软雅黑" w:eastAsia="微软雅黑" w:hAnsi="微软雅黑" w:cs="微软雅黑"/>
          <w:color w:val="545454"/>
          <w:sz w:val="16"/>
        </w:rPr>
        <w:t xml:space="preserve">v_last3_vs_first3 </w:t>
      </w:r>
      <w:r>
        <w:rPr>
          <w:rFonts w:ascii="微软雅黑" w:eastAsia="微软雅黑" w:hAnsi="微软雅黑" w:cs="微软雅黑"/>
          <w:color w:val="24282E"/>
          <w:sz w:val="19"/>
        </w:rPr>
        <w:t>(电压末⾸差)⸺对应"⼤电流末段 + 温度跳变"的故障指纹。</w:t>
      </w:r>
    </w:p>
    <w:p w14:paraId="4BD59668" w14:textId="77777777" w:rsidR="005E4DC0" w:rsidRDefault="00931588">
      <w:pPr>
        <w:spacing w:after="0" w:line="265" w:lineRule="auto"/>
        <w:ind w:left="6" w:hanging="10"/>
      </w:pPr>
      <w:r>
        <w:rPr>
          <w:rFonts w:ascii="微软雅黑" w:eastAsia="微软雅黑" w:hAnsi="微软雅黑" w:cs="微软雅黑"/>
          <w:b/>
          <w:sz w:val="19"/>
        </w:rPr>
        <w:t>特征归因</w:t>
      </w:r>
      <w:r>
        <w:rPr>
          <w:rFonts w:ascii="微软雅黑" w:eastAsia="微软雅黑" w:hAnsi="微软雅黑" w:cs="微软雅黑"/>
          <w:sz w:val="19"/>
        </w:rPr>
        <w:t>(</w:t>
      </w:r>
      <w:r>
        <w:rPr>
          <w:rFonts w:ascii="微软雅黑" w:eastAsia="微软雅黑" w:hAnsi="微软雅黑" w:cs="微软雅黑"/>
          <w:b/>
          <w:sz w:val="19"/>
        </w:rPr>
        <w:t>置换特征重要性</w:t>
      </w:r>
      <w:r>
        <w:rPr>
          <w:rFonts w:ascii="微软雅黑" w:eastAsia="微软雅黑" w:hAnsi="微软雅黑" w:cs="微软雅黑"/>
          <w:sz w:val="19"/>
        </w:rPr>
        <w:t>,</w:t>
      </w:r>
      <w:r>
        <w:rPr>
          <w:rFonts w:ascii="微软雅黑" w:eastAsia="微软雅黑" w:hAnsi="微软雅黑" w:cs="微软雅黑"/>
          <w:b/>
          <w:sz w:val="19"/>
        </w:rPr>
        <w:t>直接作⽤于</w:t>
      </w:r>
      <w:r>
        <w:rPr>
          <w:rFonts w:ascii="微软雅黑" w:eastAsia="微软雅黑" w:hAnsi="微软雅黑" w:cs="微软雅黑"/>
          <w:sz w:val="19"/>
        </w:rPr>
        <w:t xml:space="preserve"> Token-Attn,Top 5)</w:t>
      </w:r>
      <w:r>
        <w:rPr>
          <w:rFonts w:ascii="微软雅黑" w:eastAsia="微软雅黑" w:hAnsi="微软雅黑" w:cs="微软雅黑"/>
          <w:color w:val="24282E"/>
          <w:sz w:val="19"/>
        </w:rPr>
        <w:t>:</w:t>
      </w:r>
    </w:p>
    <w:tbl>
      <w:tblPr>
        <w:tblStyle w:val="TableGrid"/>
        <w:tblW w:w="7000" w:type="dxa"/>
        <w:tblInd w:w="19" w:type="dxa"/>
        <w:tblCellMar>
          <w:left w:w="150" w:type="dxa"/>
          <w:right w:w="153" w:type="dxa"/>
        </w:tblCellMar>
        <w:tblLook w:val="04A0" w:firstRow="1" w:lastRow="0" w:firstColumn="1" w:lastColumn="0" w:noHBand="0" w:noVBand="1"/>
      </w:tblPr>
      <w:tblGrid>
        <w:gridCol w:w="677"/>
        <w:gridCol w:w="2072"/>
        <w:gridCol w:w="1429"/>
        <w:gridCol w:w="2822"/>
      </w:tblGrid>
      <w:tr w:rsidR="005E4DC0" w14:paraId="1F230670" w14:textId="77777777">
        <w:trPr>
          <w:trHeight w:val="448"/>
        </w:trPr>
        <w:tc>
          <w:tcPr>
            <w:tcW w:w="689"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5BF7FFAD" w14:textId="77777777" w:rsidR="005E4DC0" w:rsidRDefault="00931588">
            <w:pPr>
              <w:ind w:left="3"/>
              <w:jc w:val="both"/>
            </w:pPr>
            <w:r>
              <w:rPr>
                <w:rFonts w:ascii="微软雅黑" w:eastAsia="微软雅黑" w:hAnsi="微软雅黑" w:cs="微软雅黑"/>
                <w:b/>
                <w:color w:val="24282E"/>
                <w:sz w:val="19"/>
              </w:rPr>
              <w:t>排名</w:t>
            </w:r>
          </w:p>
        </w:tc>
        <w:tc>
          <w:tcPr>
            <w:tcW w:w="2122"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54187F44" w14:textId="77777777" w:rsidR="005E4DC0" w:rsidRDefault="00931588">
            <w:pPr>
              <w:ind w:right="4"/>
              <w:jc w:val="center"/>
            </w:pPr>
            <w:r>
              <w:rPr>
                <w:rFonts w:ascii="微软雅黑" w:eastAsia="微软雅黑" w:hAnsi="微软雅黑" w:cs="微软雅黑"/>
                <w:b/>
                <w:color w:val="24282E"/>
                <w:sz w:val="19"/>
              </w:rPr>
              <w:t>特征</w:t>
            </w:r>
          </w:p>
        </w:tc>
        <w:tc>
          <w:tcPr>
            <w:tcW w:w="1209"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4AD7315D" w14:textId="0CD99351" w:rsidR="005E4DC0" w:rsidRDefault="00C1108C">
            <w:pPr>
              <w:ind w:left="2"/>
            </w:pPr>
            <w:r>
              <w:rPr>
                <w:rFonts w:ascii="微软雅黑" w:eastAsia="微软雅黑" w:hAnsi="微软雅黑" w:cs="微软雅黑"/>
                <w:color w:val="24282E"/>
                <w:sz w:val="19"/>
              </w:rPr>
              <w:t>ΔPR-AUC(</w:t>
            </w:r>
            <w:r w:rsidR="00FD3946">
              <w:rPr>
                <w:rFonts w:ascii="微软雅黑" w:eastAsia="微软雅黑" w:hAnsi="微软雅黑" w:cs="微软雅黑"/>
                <w:color w:val="24282E"/>
                <w:sz w:val="19"/>
              </w:rPr>
              <w:t>均值±std</w:t>
            </w:r>
            <w:r>
              <w:rPr>
                <w:rFonts w:ascii="微软雅黑" w:eastAsia="微软雅黑" w:hAnsi="微软雅黑" w:cs="微软雅黑"/>
                <w:color w:val="24282E"/>
                <w:sz w:val="19"/>
              </w:rPr>
              <w:t>)</w:t>
            </w:r>
          </w:p>
        </w:tc>
        <w:tc>
          <w:tcPr>
            <w:tcW w:w="2979"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3C8D9893" w14:textId="77777777" w:rsidR="005E4DC0" w:rsidRDefault="00931588">
            <w:pPr>
              <w:ind w:left="1"/>
              <w:jc w:val="center"/>
            </w:pPr>
            <w:r>
              <w:rPr>
                <w:rFonts w:ascii="微软雅黑" w:eastAsia="微软雅黑" w:hAnsi="微软雅黑" w:cs="微软雅黑"/>
                <w:b/>
                <w:color w:val="24282E"/>
                <w:sz w:val="19"/>
              </w:rPr>
              <w:t>物理含义</w:t>
            </w:r>
          </w:p>
        </w:tc>
      </w:tr>
      <w:tr w:rsidR="005E4DC0" w14:paraId="614441E2" w14:textId="77777777">
        <w:trPr>
          <w:trHeight w:val="448"/>
        </w:trPr>
        <w:tc>
          <w:tcPr>
            <w:tcW w:w="68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DBAB1A9" w14:textId="77777777" w:rsidR="005E4DC0" w:rsidRDefault="00931588">
            <w:pPr>
              <w:ind w:left="3"/>
            </w:pPr>
            <w:r>
              <w:rPr>
                <w:rFonts w:ascii="微软雅黑" w:eastAsia="微软雅黑" w:hAnsi="微软雅黑" w:cs="微软雅黑"/>
                <w:color w:val="24282E"/>
                <w:sz w:val="19"/>
              </w:rPr>
              <w:t>1</w:t>
            </w:r>
          </w:p>
        </w:tc>
        <w:tc>
          <w:tcPr>
            <w:tcW w:w="2122"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E3E5200" w14:textId="77777777" w:rsidR="005E4DC0" w:rsidRDefault="00931588">
            <w:r>
              <w:rPr>
                <w:rFonts w:ascii="微软雅黑" w:eastAsia="微软雅黑" w:hAnsi="微软雅黑" w:cs="微软雅黑"/>
                <w:color w:val="24282E"/>
                <w:sz w:val="19"/>
              </w:rPr>
              <w:t>t2_max(枪温2峰值)</w:t>
            </w:r>
          </w:p>
        </w:tc>
        <w:tc>
          <w:tcPr>
            <w:tcW w:w="120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57DC86EA" w14:textId="6EC3C516" w:rsidR="005E4DC0" w:rsidRDefault="00C1108C">
            <w:pPr>
              <w:ind w:left="2"/>
            </w:pPr>
            <w:r>
              <w:rPr>
                <w:rFonts w:ascii="微软雅黑" w:eastAsia="微软雅黑" w:hAnsi="微软雅黑" w:cs="微软雅黑"/>
                <w:color w:val="24282E"/>
                <w:sz w:val="19"/>
              </w:rPr>
              <w:t>0.488±0.020</w:t>
            </w:r>
          </w:p>
        </w:tc>
        <w:tc>
          <w:tcPr>
            <w:tcW w:w="297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230B2B3" w14:textId="77777777" w:rsidR="005E4DC0" w:rsidRDefault="00931588">
            <w:pPr>
              <w:ind w:left="4"/>
              <w:jc w:val="both"/>
            </w:pPr>
            <w:r>
              <w:rPr>
                <w:rFonts w:ascii="微软雅黑" w:eastAsia="微软雅黑" w:hAnsi="微软雅黑" w:cs="微软雅黑"/>
                <w:color w:val="24282E"/>
                <w:sz w:val="19"/>
              </w:rPr>
              <w:t>温度峰值是故障判别的主导特征</w:t>
            </w:r>
          </w:p>
        </w:tc>
      </w:tr>
      <w:tr w:rsidR="005E4DC0" w14:paraId="52763AB9" w14:textId="77777777">
        <w:trPr>
          <w:trHeight w:val="448"/>
        </w:trPr>
        <w:tc>
          <w:tcPr>
            <w:tcW w:w="68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12A07889" w14:textId="77777777" w:rsidR="005E4DC0" w:rsidRDefault="00931588">
            <w:pPr>
              <w:ind w:left="3"/>
            </w:pPr>
            <w:r>
              <w:rPr>
                <w:rFonts w:ascii="微软雅黑" w:eastAsia="微软雅黑" w:hAnsi="微软雅黑" w:cs="微软雅黑"/>
                <w:color w:val="24282E"/>
                <w:sz w:val="19"/>
              </w:rPr>
              <w:t>2</w:t>
            </w:r>
          </w:p>
        </w:tc>
        <w:tc>
          <w:tcPr>
            <w:tcW w:w="2122"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13CD5CB" w14:textId="77777777" w:rsidR="005E4DC0" w:rsidRDefault="00931588">
            <w:r>
              <w:rPr>
                <w:rFonts w:ascii="微软雅黑" w:eastAsia="微软雅黑" w:hAnsi="微软雅黑" w:cs="微软雅黑"/>
                <w:color w:val="24282E"/>
                <w:sz w:val="19"/>
              </w:rPr>
              <w:t>t1_mean(枪温1均值)</w:t>
            </w:r>
          </w:p>
        </w:tc>
        <w:tc>
          <w:tcPr>
            <w:tcW w:w="120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5E2A52A" w14:textId="56465AB8" w:rsidR="005E4DC0" w:rsidRDefault="00C1108C">
            <w:pPr>
              <w:ind w:left="2"/>
            </w:pPr>
            <w:r>
              <w:rPr>
                <w:rFonts w:ascii="微软雅黑" w:eastAsia="微软雅黑" w:hAnsi="微软雅黑" w:cs="微软雅黑"/>
                <w:color w:val="24282E"/>
                <w:sz w:val="19"/>
              </w:rPr>
              <w:t>0.426±0.013</w:t>
            </w:r>
          </w:p>
        </w:tc>
        <w:tc>
          <w:tcPr>
            <w:tcW w:w="297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2E6FC9F" w14:textId="77777777" w:rsidR="005E4DC0" w:rsidRDefault="00931588">
            <w:pPr>
              <w:ind w:left="4"/>
            </w:pPr>
            <w:r>
              <w:rPr>
                <w:rFonts w:ascii="微软雅黑" w:eastAsia="微软雅黑" w:hAnsi="微软雅黑" w:cs="微软雅黑"/>
                <w:color w:val="24282E"/>
                <w:sz w:val="19"/>
              </w:rPr>
              <w:t>枪温 1 侧温度⽔平</w:t>
            </w:r>
          </w:p>
        </w:tc>
      </w:tr>
      <w:tr w:rsidR="005E4DC0" w14:paraId="05C64C2D" w14:textId="77777777">
        <w:trPr>
          <w:trHeight w:val="448"/>
        </w:trPr>
        <w:tc>
          <w:tcPr>
            <w:tcW w:w="689" w:type="dxa"/>
            <w:tcBorders>
              <w:top w:val="single" w:sz="6" w:space="0" w:color="DFE2E5"/>
              <w:left w:val="single" w:sz="6" w:space="0" w:color="DFE2E5"/>
              <w:bottom w:val="single" w:sz="6" w:space="0" w:color="DFE2E5"/>
              <w:right w:val="single" w:sz="6" w:space="0" w:color="DFE2E5"/>
            </w:tcBorders>
            <w:vAlign w:val="center"/>
          </w:tcPr>
          <w:p w14:paraId="1CB7B8AE" w14:textId="77777777" w:rsidR="005E4DC0" w:rsidRDefault="00931588">
            <w:pPr>
              <w:ind w:left="3"/>
            </w:pPr>
            <w:r>
              <w:rPr>
                <w:rFonts w:ascii="微软雅黑" w:eastAsia="微软雅黑" w:hAnsi="微软雅黑" w:cs="微软雅黑"/>
                <w:color w:val="24282E"/>
                <w:sz w:val="19"/>
              </w:rPr>
              <w:t>3</w:t>
            </w:r>
          </w:p>
        </w:tc>
        <w:tc>
          <w:tcPr>
            <w:tcW w:w="2122" w:type="dxa"/>
            <w:tcBorders>
              <w:top w:val="single" w:sz="6" w:space="0" w:color="DFE2E5"/>
              <w:left w:val="single" w:sz="6" w:space="0" w:color="DFE2E5"/>
              <w:bottom w:val="single" w:sz="6" w:space="0" w:color="DFE2E5"/>
              <w:right w:val="single" w:sz="6" w:space="0" w:color="DFE2E5"/>
            </w:tcBorders>
            <w:vAlign w:val="center"/>
          </w:tcPr>
          <w:p w14:paraId="4F34AD26" w14:textId="77777777" w:rsidR="005E4DC0" w:rsidRDefault="00931588">
            <w:r>
              <w:rPr>
                <w:rFonts w:ascii="微软雅黑" w:eastAsia="微软雅黑" w:hAnsi="微软雅黑" w:cs="微软雅黑"/>
                <w:color w:val="24282E"/>
                <w:sz w:val="19"/>
              </w:rPr>
              <w:t>t2_last(枪温2末值)</w:t>
            </w:r>
          </w:p>
        </w:tc>
        <w:tc>
          <w:tcPr>
            <w:tcW w:w="1209" w:type="dxa"/>
            <w:tcBorders>
              <w:top w:val="single" w:sz="6" w:space="0" w:color="DFE2E5"/>
              <w:left w:val="single" w:sz="6" w:space="0" w:color="DFE2E5"/>
              <w:bottom w:val="single" w:sz="6" w:space="0" w:color="DFE2E5"/>
              <w:right w:val="single" w:sz="6" w:space="0" w:color="DFE2E5"/>
            </w:tcBorders>
            <w:vAlign w:val="center"/>
          </w:tcPr>
          <w:p w14:paraId="32E35EA7" w14:textId="506CA4A1" w:rsidR="005E4DC0" w:rsidRDefault="00C1108C">
            <w:pPr>
              <w:ind w:left="2"/>
            </w:pPr>
            <w:r>
              <w:rPr>
                <w:rFonts w:ascii="微软雅黑" w:eastAsia="微软雅黑" w:hAnsi="微软雅黑" w:cs="微软雅黑"/>
                <w:color w:val="24282E"/>
                <w:sz w:val="19"/>
              </w:rPr>
              <w:t>0.243±0.028</w:t>
            </w:r>
          </w:p>
        </w:tc>
        <w:tc>
          <w:tcPr>
            <w:tcW w:w="2979" w:type="dxa"/>
            <w:tcBorders>
              <w:top w:val="single" w:sz="6" w:space="0" w:color="DFE2E5"/>
              <w:left w:val="single" w:sz="6" w:space="0" w:color="DFE2E5"/>
              <w:bottom w:val="single" w:sz="6" w:space="0" w:color="DFE2E5"/>
              <w:right w:val="single" w:sz="6" w:space="0" w:color="DFE2E5"/>
            </w:tcBorders>
            <w:vAlign w:val="center"/>
          </w:tcPr>
          <w:p w14:paraId="57B2E9F5" w14:textId="77777777" w:rsidR="005E4DC0" w:rsidRDefault="00931588">
            <w:pPr>
              <w:ind w:left="4"/>
            </w:pPr>
            <w:r>
              <w:rPr>
                <w:rFonts w:ascii="微软雅黑" w:eastAsia="微软雅黑" w:hAnsi="微软雅黑" w:cs="微软雅黑"/>
                <w:color w:val="24282E"/>
                <w:sz w:val="19"/>
              </w:rPr>
              <w:t>充电末段温度</w:t>
            </w:r>
          </w:p>
        </w:tc>
      </w:tr>
      <w:tr w:rsidR="005E4DC0" w14:paraId="7D460FD5" w14:textId="77777777">
        <w:trPr>
          <w:trHeight w:val="448"/>
        </w:trPr>
        <w:tc>
          <w:tcPr>
            <w:tcW w:w="68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3650A9B" w14:textId="77777777" w:rsidR="005E4DC0" w:rsidRDefault="00931588">
            <w:pPr>
              <w:ind w:left="3"/>
            </w:pPr>
            <w:r>
              <w:rPr>
                <w:rFonts w:ascii="微软雅黑" w:eastAsia="微软雅黑" w:hAnsi="微软雅黑" w:cs="微软雅黑"/>
                <w:color w:val="24282E"/>
                <w:sz w:val="19"/>
              </w:rPr>
              <w:t>4</w:t>
            </w:r>
          </w:p>
        </w:tc>
        <w:tc>
          <w:tcPr>
            <w:tcW w:w="2122"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76548EE2" w14:textId="77777777" w:rsidR="005E4DC0" w:rsidRDefault="00931588">
            <w:r>
              <w:rPr>
                <w:rFonts w:ascii="微软雅黑" w:eastAsia="微软雅黑" w:hAnsi="微软雅黑" w:cs="微软雅黑"/>
                <w:color w:val="24282E"/>
                <w:sz w:val="19"/>
              </w:rPr>
              <w:t>t2_mean(枪温2均值)</w:t>
            </w:r>
          </w:p>
        </w:tc>
        <w:tc>
          <w:tcPr>
            <w:tcW w:w="120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4FA653F" w14:textId="2A9AA2F9" w:rsidR="005E4DC0" w:rsidRDefault="00C1108C">
            <w:pPr>
              <w:ind w:left="2"/>
            </w:pPr>
            <w:r>
              <w:rPr>
                <w:rFonts w:ascii="微软雅黑" w:eastAsia="微软雅黑" w:hAnsi="微软雅黑" w:cs="微软雅黑"/>
                <w:color w:val="24282E"/>
                <w:sz w:val="19"/>
              </w:rPr>
              <w:t>0.237±0.011</w:t>
            </w:r>
          </w:p>
        </w:tc>
        <w:tc>
          <w:tcPr>
            <w:tcW w:w="297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50AE027" w14:textId="77777777" w:rsidR="005E4DC0" w:rsidRDefault="00931588">
            <w:pPr>
              <w:ind w:left="4"/>
            </w:pPr>
            <w:r>
              <w:rPr>
                <w:rFonts w:ascii="微软雅黑" w:eastAsia="微软雅黑" w:hAnsi="微软雅黑" w:cs="微软雅黑"/>
                <w:color w:val="24282E"/>
                <w:sz w:val="19"/>
              </w:rPr>
              <w:t>温度⽔平</w:t>
            </w:r>
          </w:p>
        </w:tc>
      </w:tr>
      <w:tr w:rsidR="005E4DC0" w14:paraId="5B86D4C5" w14:textId="77777777">
        <w:trPr>
          <w:trHeight w:val="448"/>
        </w:trPr>
        <w:tc>
          <w:tcPr>
            <w:tcW w:w="689" w:type="dxa"/>
            <w:tcBorders>
              <w:top w:val="single" w:sz="6" w:space="0" w:color="DFE2E5"/>
              <w:left w:val="single" w:sz="6" w:space="0" w:color="DFE2E5"/>
              <w:bottom w:val="single" w:sz="6" w:space="0" w:color="DFE2E5"/>
              <w:right w:val="single" w:sz="6" w:space="0" w:color="DFE2E5"/>
            </w:tcBorders>
            <w:vAlign w:val="center"/>
          </w:tcPr>
          <w:p w14:paraId="03DA4C27" w14:textId="77777777" w:rsidR="005E4DC0" w:rsidRDefault="00931588">
            <w:pPr>
              <w:ind w:left="3"/>
            </w:pPr>
            <w:r>
              <w:rPr>
                <w:rFonts w:ascii="微软雅黑" w:eastAsia="微软雅黑" w:hAnsi="微软雅黑" w:cs="微软雅黑"/>
                <w:color w:val="24282E"/>
                <w:sz w:val="19"/>
              </w:rPr>
              <w:t>5</w:t>
            </w:r>
          </w:p>
        </w:tc>
        <w:tc>
          <w:tcPr>
            <w:tcW w:w="2122" w:type="dxa"/>
            <w:tcBorders>
              <w:top w:val="single" w:sz="6" w:space="0" w:color="DFE2E5"/>
              <w:left w:val="single" w:sz="6" w:space="0" w:color="DFE2E5"/>
              <w:bottom w:val="single" w:sz="6" w:space="0" w:color="DFE2E5"/>
              <w:right w:val="single" w:sz="6" w:space="0" w:color="DFE2E5"/>
            </w:tcBorders>
            <w:vAlign w:val="center"/>
          </w:tcPr>
          <w:p w14:paraId="68A82BB0" w14:textId="77777777" w:rsidR="005E4DC0" w:rsidRDefault="00931588">
            <w:r>
              <w:rPr>
                <w:rFonts w:ascii="微软雅黑" w:eastAsia="微软雅黑" w:hAnsi="微软雅黑" w:cs="微软雅黑"/>
                <w:color w:val="24282E"/>
                <w:sz w:val="19"/>
              </w:rPr>
              <w:t>t1_last(枪温1末值)</w:t>
            </w:r>
          </w:p>
        </w:tc>
        <w:tc>
          <w:tcPr>
            <w:tcW w:w="1209" w:type="dxa"/>
            <w:tcBorders>
              <w:top w:val="single" w:sz="6" w:space="0" w:color="DFE2E5"/>
              <w:left w:val="single" w:sz="6" w:space="0" w:color="DFE2E5"/>
              <w:bottom w:val="single" w:sz="6" w:space="0" w:color="DFE2E5"/>
              <w:right w:val="single" w:sz="6" w:space="0" w:color="DFE2E5"/>
            </w:tcBorders>
            <w:vAlign w:val="center"/>
          </w:tcPr>
          <w:p w14:paraId="16A0EFA2" w14:textId="695CEB9B" w:rsidR="005E4DC0" w:rsidRDefault="00C1108C">
            <w:pPr>
              <w:ind w:left="2"/>
            </w:pPr>
            <w:r>
              <w:rPr>
                <w:rFonts w:ascii="微软雅黑" w:eastAsia="微软雅黑" w:hAnsi="微软雅黑" w:cs="微软雅黑"/>
                <w:color w:val="24282E"/>
                <w:sz w:val="19"/>
              </w:rPr>
              <w:t>0.158±0.010</w:t>
            </w:r>
          </w:p>
        </w:tc>
        <w:tc>
          <w:tcPr>
            <w:tcW w:w="2979" w:type="dxa"/>
            <w:tcBorders>
              <w:top w:val="single" w:sz="6" w:space="0" w:color="DFE2E5"/>
              <w:left w:val="single" w:sz="6" w:space="0" w:color="DFE2E5"/>
              <w:bottom w:val="single" w:sz="6" w:space="0" w:color="DFE2E5"/>
              <w:right w:val="single" w:sz="6" w:space="0" w:color="DFE2E5"/>
            </w:tcBorders>
            <w:vAlign w:val="center"/>
          </w:tcPr>
          <w:p w14:paraId="3715D485" w14:textId="77777777" w:rsidR="005E4DC0" w:rsidRDefault="00931588">
            <w:pPr>
              <w:ind w:left="4"/>
            </w:pPr>
            <w:r>
              <w:rPr>
                <w:rFonts w:ascii="微软雅黑" w:eastAsia="微软雅黑" w:hAnsi="微软雅黑" w:cs="微软雅黑"/>
                <w:color w:val="24282E"/>
                <w:sz w:val="19"/>
              </w:rPr>
              <w:t>充电末段温度</w:t>
            </w:r>
          </w:p>
        </w:tc>
      </w:tr>
    </w:tbl>
    <w:p w14:paraId="11DD622D" w14:textId="77777777" w:rsidR="002773B4" w:rsidRDefault="002773B4">
      <w:pPr>
        <w:spacing w:after="0" w:line="265" w:lineRule="auto"/>
        <w:ind w:left="6" w:hanging="10"/>
        <w:rPr>
          <w:rFonts w:ascii="微软雅黑" w:eastAsia="微软雅黑" w:hAnsi="微软雅黑" w:cs="微软雅黑" w:hint="eastAsia"/>
          <w:b/>
          <w:sz w:val="19"/>
        </w:rPr>
      </w:pPr>
      <w:r>
        <w:rPr>
          <w:rFonts w:ascii="微软雅黑" w:eastAsia="微软雅黑" w:hAnsi="微软雅黑" w:cs="微软雅黑" w:hint="eastAsia"/>
          <w:b/>
          <w:sz w:val="19"/>
        </w:rPr>
        <w:t>置换重要性计算细节:逐特征随机打乱测试集该列 3 次(n=3),ΔPR-AUC = base - 打乱后 PR-AUC,取 3 次均值报告;随机种子固定为 0,结果可完全复现。所用模型为 Token-Attn seed=42 单模型,base PR-AUC=0.916(与本节消融表全量 0.916 口径一致)。表中 ±std 为 3 次置换的样本标准差;因 n=3 过小未报告置信区间(逐特征完整结果,含 3 次单值与 95% CI,见 docs/r2_permutation_importance.json)。</w:t>
      </w:r>
    </w:p>
    <w:p w14:paraId="5E9D7D54" w14:textId="1B6F24A4" w:rsidR="005E4DC0" w:rsidRDefault="00931588">
      <w:pPr>
        <w:spacing w:after="0" w:line="265" w:lineRule="auto"/>
        <w:ind w:left="6" w:hanging="10"/>
      </w:pPr>
      <w:r>
        <w:rPr>
          <w:rFonts w:ascii="微软雅黑" w:eastAsia="微软雅黑" w:hAnsi="微软雅黑" w:cs="微软雅黑"/>
          <w:b/>
          <w:sz w:val="19"/>
        </w:rPr>
        <w:t>特征组消融</w:t>
      </w:r>
      <w:r>
        <w:rPr>
          <w:rFonts w:ascii="微软雅黑" w:eastAsia="微软雅黑" w:hAnsi="微软雅黑" w:cs="微软雅黑"/>
          <w:sz w:val="19"/>
        </w:rPr>
        <w:t>(</w:t>
      </w:r>
      <w:r>
        <w:rPr>
          <w:rFonts w:ascii="微软雅黑" w:eastAsia="微软雅黑" w:hAnsi="微软雅黑" w:cs="微软雅黑"/>
          <w:b/>
          <w:sz w:val="19"/>
        </w:rPr>
        <w:t>逐组移除</w:t>
      </w:r>
      <w:r>
        <w:rPr>
          <w:rFonts w:ascii="微软雅黑" w:eastAsia="微软雅黑" w:hAnsi="微软雅黑" w:cs="微软雅黑"/>
          <w:sz w:val="19"/>
        </w:rPr>
        <w:t xml:space="preserve"> 5 </w:t>
      </w:r>
      <w:r>
        <w:rPr>
          <w:rFonts w:ascii="微软雅黑" w:eastAsia="微软雅黑" w:hAnsi="微软雅黑" w:cs="微软雅黑"/>
          <w:b/>
          <w:sz w:val="19"/>
        </w:rPr>
        <w:t>类特征重训</w:t>
      </w:r>
      <w:r>
        <w:rPr>
          <w:rFonts w:ascii="微软雅黑" w:eastAsia="微软雅黑" w:hAnsi="微软雅黑" w:cs="微软雅黑"/>
          <w:sz w:val="19"/>
        </w:rPr>
        <w:t xml:space="preserve">,PR-AUC </w:t>
      </w:r>
      <w:r>
        <w:rPr>
          <w:rFonts w:ascii="微软雅黑" w:eastAsia="微软雅黑" w:hAnsi="微软雅黑" w:cs="微软雅黑"/>
          <w:b/>
          <w:sz w:val="19"/>
        </w:rPr>
        <w:t>下降</w:t>
      </w:r>
      <w:r>
        <w:rPr>
          <w:rFonts w:ascii="微软雅黑" w:eastAsia="微软雅黑" w:hAnsi="微软雅黑" w:cs="微软雅黑"/>
          <w:sz w:val="19"/>
        </w:rPr>
        <w:t>)</w:t>
      </w:r>
      <w:r>
        <w:rPr>
          <w:rFonts w:ascii="微软雅黑" w:eastAsia="微软雅黑" w:hAnsi="微软雅黑" w:cs="微软雅黑"/>
          <w:color w:val="24282E"/>
          <w:sz w:val="19"/>
        </w:rPr>
        <w:t>:</w:t>
      </w:r>
    </w:p>
    <w:tbl>
      <w:tblPr>
        <w:tblStyle w:val="TableGrid"/>
        <w:tblW w:w="5846" w:type="dxa"/>
        <w:tblInd w:w="19" w:type="dxa"/>
        <w:tblCellMar>
          <w:left w:w="149" w:type="dxa"/>
          <w:right w:w="156" w:type="dxa"/>
        </w:tblCellMar>
        <w:tblLook w:val="04A0" w:firstRow="1" w:lastRow="0" w:firstColumn="1" w:lastColumn="0" w:noHBand="0" w:noVBand="1"/>
      </w:tblPr>
      <w:tblGrid>
        <w:gridCol w:w="1570"/>
        <w:gridCol w:w="1257"/>
        <w:gridCol w:w="1073"/>
        <w:gridCol w:w="1946"/>
      </w:tblGrid>
      <w:tr w:rsidR="005E4DC0" w14:paraId="5CF7C9EA" w14:textId="77777777">
        <w:trPr>
          <w:trHeight w:val="448"/>
        </w:trPr>
        <w:tc>
          <w:tcPr>
            <w:tcW w:w="1570"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5ADDF1B4" w14:textId="77777777" w:rsidR="005E4DC0" w:rsidRDefault="00931588">
            <w:pPr>
              <w:ind w:left="61"/>
            </w:pPr>
            <w:r>
              <w:rPr>
                <w:rFonts w:ascii="微软雅黑" w:eastAsia="微软雅黑" w:hAnsi="微软雅黑" w:cs="微软雅黑"/>
                <w:b/>
                <w:color w:val="24282E"/>
                <w:sz w:val="19"/>
              </w:rPr>
              <w:t>移除的特征组</w:t>
            </w:r>
          </w:p>
        </w:tc>
        <w:tc>
          <w:tcPr>
            <w:tcW w:w="1257"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0F8E7FB4" w14:textId="77777777" w:rsidR="005E4DC0" w:rsidRDefault="00931588">
            <w:pPr>
              <w:jc w:val="both"/>
            </w:pPr>
            <w:r>
              <w:rPr>
                <w:rFonts w:ascii="微软雅黑" w:eastAsia="微软雅黑" w:hAnsi="微软雅黑" w:cs="微软雅黑"/>
                <w:b/>
                <w:color w:val="24282E"/>
                <w:sz w:val="19"/>
              </w:rPr>
              <w:t>剩余特征数</w:t>
            </w:r>
          </w:p>
        </w:tc>
        <w:tc>
          <w:tcPr>
            <w:tcW w:w="1073"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68C5D2C9" w14:textId="77777777" w:rsidR="005E4DC0" w:rsidRDefault="00931588">
            <w:pPr>
              <w:ind w:left="2"/>
            </w:pPr>
            <w:r>
              <w:rPr>
                <w:rFonts w:ascii="微软雅黑" w:eastAsia="微软雅黑" w:hAnsi="微软雅黑" w:cs="微软雅黑"/>
                <w:color w:val="24282E"/>
                <w:sz w:val="19"/>
              </w:rPr>
              <w:t>PR-AUC</w:t>
            </w:r>
          </w:p>
        </w:tc>
        <w:tc>
          <w:tcPr>
            <w:tcW w:w="1946"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08346448" w14:textId="77777777" w:rsidR="005E4DC0" w:rsidRDefault="00931588">
            <w:pPr>
              <w:ind w:left="2"/>
            </w:pPr>
            <w:r>
              <w:rPr>
                <w:rFonts w:ascii="微软雅黑" w:eastAsia="微软雅黑" w:hAnsi="微软雅黑" w:cs="微软雅黑"/>
                <w:color w:val="24282E"/>
                <w:sz w:val="19"/>
              </w:rPr>
              <w:t>Δ(</w:t>
            </w:r>
            <w:r>
              <w:rPr>
                <w:rFonts w:ascii="微软雅黑" w:eastAsia="微软雅黑" w:hAnsi="微软雅黑" w:cs="微软雅黑"/>
                <w:b/>
                <w:color w:val="24282E"/>
                <w:sz w:val="19"/>
              </w:rPr>
              <w:t>相对全量</w:t>
            </w:r>
            <w:r>
              <w:rPr>
                <w:rFonts w:ascii="微软雅黑" w:eastAsia="微软雅黑" w:hAnsi="微软雅黑" w:cs="微软雅黑"/>
                <w:color w:val="24282E"/>
                <w:sz w:val="19"/>
              </w:rPr>
              <w:t xml:space="preserve"> 0.916)</w:t>
            </w:r>
          </w:p>
        </w:tc>
      </w:tr>
      <w:tr w:rsidR="005E4DC0" w14:paraId="69B5F47C" w14:textId="77777777">
        <w:trPr>
          <w:trHeight w:val="448"/>
        </w:trPr>
        <w:tc>
          <w:tcPr>
            <w:tcW w:w="157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909F2D8" w14:textId="77777777" w:rsidR="005E4DC0" w:rsidRDefault="00931588">
            <w:pPr>
              <w:ind w:left="3"/>
            </w:pPr>
            <w:r>
              <w:rPr>
                <w:rFonts w:ascii="微软雅黑" w:eastAsia="微软雅黑" w:hAnsi="微软雅黑" w:cs="微软雅黑"/>
                <w:color w:val="24282E"/>
                <w:sz w:val="19"/>
              </w:rPr>
              <w:t>(全量)</w:t>
            </w:r>
          </w:p>
        </w:tc>
        <w:tc>
          <w:tcPr>
            <w:tcW w:w="125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DB62454" w14:textId="77777777" w:rsidR="005E4DC0" w:rsidRDefault="00931588">
            <w:r>
              <w:rPr>
                <w:rFonts w:ascii="微软雅黑" w:eastAsia="微软雅黑" w:hAnsi="微软雅黑" w:cs="微软雅黑"/>
                <w:color w:val="24282E"/>
                <w:sz w:val="19"/>
              </w:rPr>
              <w:t>62</w:t>
            </w:r>
          </w:p>
        </w:tc>
        <w:tc>
          <w:tcPr>
            <w:tcW w:w="107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F9C9EE1" w14:textId="77777777" w:rsidR="005E4DC0" w:rsidRDefault="00931588">
            <w:pPr>
              <w:ind w:left="1"/>
            </w:pPr>
            <w:r>
              <w:rPr>
                <w:rFonts w:ascii="微软雅黑" w:eastAsia="微软雅黑" w:hAnsi="微软雅黑" w:cs="微软雅黑"/>
                <w:color w:val="24282E"/>
                <w:sz w:val="19"/>
              </w:rPr>
              <w:t>0.916</w:t>
            </w:r>
          </w:p>
        </w:tc>
        <w:tc>
          <w:tcPr>
            <w:tcW w:w="1946"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687FB06" w14:textId="77777777" w:rsidR="005E4DC0" w:rsidRDefault="00931588">
            <w:pPr>
              <w:ind w:left="2"/>
            </w:pPr>
            <w:r>
              <w:rPr>
                <w:rFonts w:ascii="微软雅黑" w:eastAsia="微软雅黑" w:hAnsi="微软雅黑" w:cs="微软雅黑"/>
                <w:color w:val="24282E"/>
                <w:sz w:val="19"/>
              </w:rPr>
              <w:t>—</w:t>
            </w:r>
          </w:p>
        </w:tc>
      </w:tr>
      <w:tr w:rsidR="005E4DC0" w14:paraId="35E0FCCE" w14:textId="77777777">
        <w:trPr>
          <w:trHeight w:val="448"/>
        </w:trPr>
        <w:tc>
          <w:tcPr>
            <w:tcW w:w="157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4713B0D" w14:textId="77777777" w:rsidR="005E4DC0" w:rsidRDefault="00931588">
            <w:pPr>
              <w:ind w:left="3"/>
            </w:pPr>
            <w:r>
              <w:rPr>
                <w:rFonts w:ascii="微软雅黑" w:eastAsia="微软雅黑" w:hAnsi="微软雅黑" w:cs="微软雅黑"/>
                <w:color w:val="24282E"/>
                <w:sz w:val="19"/>
              </w:rPr>
              <w:t>基础统计量</w:t>
            </w:r>
          </w:p>
        </w:tc>
        <w:tc>
          <w:tcPr>
            <w:tcW w:w="125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6F31AD2" w14:textId="77777777" w:rsidR="005E4DC0" w:rsidRDefault="00931588">
            <w:r>
              <w:rPr>
                <w:rFonts w:ascii="微软雅黑" w:eastAsia="微软雅黑" w:hAnsi="微软雅黑" w:cs="微软雅黑"/>
                <w:color w:val="24282E"/>
                <w:sz w:val="19"/>
              </w:rPr>
              <w:t>30</w:t>
            </w:r>
          </w:p>
        </w:tc>
        <w:tc>
          <w:tcPr>
            <w:tcW w:w="107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758AD80" w14:textId="77777777" w:rsidR="005E4DC0" w:rsidRDefault="00931588">
            <w:pPr>
              <w:ind w:left="1"/>
            </w:pPr>
            <w:r>
              <w:rPr>
                <w:rFonts w:ascii="微软雅黑" w:eastAsia="微软雅黑" w:hAnsi="微软雅黑" w:cs="微软雅黑"/>
                <w:color w:val="24282E"/>
                <w:sz w:val="19"/>
              </w:rPr>
              <w:t>0.303</w:t>
            </w:r>
          </w:p>
        </w:tc>
        <w:tc>
          <w:tcPr>
            <w:tcW w:w="1946"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004DEB7" w14:textId="77777777" w:rsidR="005E4DC0" w:rsidRDefault="00931588">
            <w:pPr>
              <w:ind w:left="2"/>
            </w:pPr>
            <w:r>
              <w:rPr>
                <w:rFonts w:ascii="微软雅黑" w:eastAsia="微软雅黑" w:hAnsi="微软雅黑" w:cs="微软雅黑"/>
                <w:sz w:val="19"/>
              </w:rPr>
              <w:t>−0.61</w:t>
            </w:r>
            <w:r>
              <w:rPr>
                <w:rFonts w:ascii="微软雅黑" w:eastAsia="微软雅黑" w:hAnsi="微软雅黑" w:cs="微软雅黑"/>
                <w:color w:val="24282E"/>
                <w:sz w:val="19"/>
              </w:rPr>
              <w:t>(崩塌)</w:t>
            </w:r>
          </w:p>
        </w:tc>
      </w:tr>
      <w:tr w:rsidR="005E4DC0" w14:paraId="15C07457" w14:textId="77777777">
        <w:trPr>
          <w:trHeight w:val="448"/>
        </w:trPr>
        <w:tc>
          <w:tcPr>
            <w:tcW w:w="157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34F3B03" w14:textId="77777777" w:rsidR="005E4DC0" w:rsidRDefault="00931588">
            <w:pPr>
              <w:ind w:left="3"/>
            </w:pPr>
            <w:r>
              <w:rPr>
                <w:rFonts w:ascii="微软雅黑" w:eastAsia="微软雅黑" w:hAnsi="微软雅黑" w:cs="微软雅黑"/>
                <w:color w:val="24282E"/>
                <w:sz w:val="19"/>
              </w:rPr>
              <w:t>分段/端点/差分</w:t>
            </w:r>
          </w:p>
        </w:tc>
        <w:tc>
          <w:tcPr>
            <w:tcW w:w="125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6197A333" w14:textId="77777777" w:rsidR="005E4DC0" w:rsidRDefault="00931588">
            <w:r>
              <w:rPr>
                <w:rFonts w:ascii="微软雅黑" w:eastAsia="微软雅黑" w:hAnsi="微软雅黑" w:cs="微软雅黑"/>
                <w:color w:val="24282E"/>
                <w:sz w:val="19"/>
              </w:rPr>
              <w:t>47</w:t>
            </w:r>
          </w:p>
        </w:tc>
        <w:tc>
          <w:tcPr>
            <w:tcW w:w="107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15CD5D0" w14:textId="77777777" w:rsidR="005E4DC0" w:rsidRDefault="00931588">
            <w:pPr>
              <w:ind w:left="1"/>
            </w:pPr>
            <w:r>
              <w:rPr>
                <w:rFonts w:ascii="微软雅黑" w:eastAsia="微软雅黑" w:hAnsi="微软雅黑" w:cs="微软雅黑"/>
                <w:color w:val="24282E"/>
                <w:sz w:val="19"/>
              </w:rPr>
              <w:t>0.758</w:t>
            </w:r>
          </w:p>
        </w:tc>
        <w:tc>
          <w:tcPr>
            <w:tcW w:w="1946"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18350D3" w14:textId="77777777" w:rsidR="005E4DC0" w:rsidRDefault="00931588">
            <w:pPr>
              <w:ind w:left="2"/>
            </w:pPr>
            <w:r>
              <w:rPr>
                <w:rFonts w:ascii="微软雅黑" w:eastAsia="微软雅黑" w:hAnsi="微软雅黑" w:cs="微软雅黑"/>
                <w:color w:val="24282E"/>
                <w:sz w:val="19"/>
              </w:rPr>
              <w:t>−0.16</w:t>
            </w:r>
          </w:p>
        </w:tc>
      </w:tr>
      <w:tr w:rsidR="005E4DC0" w14:paraId="15096BB2" w14:textId="77777777">
        <w:trPr>
          <w:trHeight w:val="448"/>
        </w:trPr>
        <w:tc>
          <w:tcPr>
            <w:tcW w:w="157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133BDE3D" w14:textId="77777777" w:rsidR="005E4DC0" w:rsidRDefault="00931588">
            <w:pPr>
              <w:ind w:left="3"/>
            </w:pPr>
            <w:r>
              <w:rPr>
                <w:rFonts w:ascii="微软雅黑" w:eastAsia="微软雅黑" w:hAnsi="微软雅黑" w:cs="微软雅黑"/>
                <w:color w:val="24282E"/>
                <w:sz w:val="19"/>
              </w:rPr>
              <w:t>温度变化</w:t>
            </w:r>
          </w:p>
        </w:tc>
        <w:tc>
          <w:tcPr>
            <w:tcW w:w="125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7AC97936" w14:textId="77777777" w:rsidR="005E4DC0" w:rsidRDefault="00931588">
            <w:r>
              <w:rPr>
                <w:rFonts w:ascii="微软雅黑" w:eastAsia="微软雅黑" w:hAnsi="微软雅黑" w:cs="微软雅黑"/>
                <w:color w:val="24282E"/>
                <w:sz w:val="19"/>
              </w:rPr>
              <w:t>56</w:t>
            </w:r>
          </w:p>
        </w:tc>
        <w:tc>
          <w:tcPr>
            <w:tcW w:w="107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1E3C0F85" w14:textId="77777777" w:rsidR="005E4DC0" w:rsidRDefault="00931588">
            <w:pPr>
              <w:ind w:left="1"/>
            </w:pPr>
            <w:r>
              <w:rPr>
                <w:rFonts w:ascii="微软雅黑" w:eastAsia="微软雅黑" w:hAnsi="微软雅黑" w:cs="微软雅黑"/>
                <w:color w:val="24282E"/>
                <w:sz w:val="19"/>
              </w:rPr>
              <w:t>0.792</w:t>
            </w:r>
          </w:p>
        </w:tc>
        <w:tc>
          <w:tcPr>
            <w:tcW w:w="1946"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12C2162" w14:textId="77777777" w:rsidR="005E4DC0" w:rsidRDefault="00931588">
            <w:pPr>
              <w:ind w:left="2"/>
            </w:pPr>
            <w:r>
              <w:rPr>
                <w:rFonts w:ascii="微软雅黑" w:eastAsia="微软雅黑" w:hAnsi="微软雅黑" w:cs="微软雅黑"/>
                <w:color w:val="24282E"/>
                <w:sz w:val="19"/>
              </w:rPr>
              <w:t>−0.12</w:t>
            </w:r>
          </w:p>
        </w:tc>
      </w:tr>
      <w:tr w:rsidR="005E4DC0" w14:paraId="2B5D3125" w14:textId="77777777">
        <w:trPr>
          <w:trHeight w:val="448"/>
        </w:trPr>
        <w:tc>
          <w:tcPr>
            <w:tcW w:w="157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5753CE5" w14:textId="77777777" w:rsidR="005E4DC0" w:rsidRDefault="00931588">
            <w:pPr>
              <w:ind w:left="3"/>
            </w:pPr>
            <w:r>
              <w:rPr>
                <w:rFonts w:ascii="微软雅黑" w:eastAsia="微软雅黑" w:hAnsi="微软雅黑" w:cs="微软雅黑"/>
                <w:color w:val="24282E"/>
                <w:sz w:val="19"/>
              </w:rPr>
              <w:t>电池类型</w:t>
            </w:r>
          </w:p>
        </w:tc>
        <w:tc>
          <w:tcPr>
            <w:tcW w:w="125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DADE922" w14:textId="77777777" w:rsidR="005E4DC0" w:rsidRDefault="00931588">
            <w:r>
              <w:rPr>
                <w:rFonts w:ascii="微软雅黑" w:eastAsia="微软雅黑" w:hAnsi="微软雅黑" w:cs="微软雅黑"/>
                <w:color w:val="24282E"/>
                <w:sz w:val="19"/>
              </w:rPr>
              <w:t>57</w:t>
            </w:r>
          </w:p>
        </w:tc>
        <w:tc>
          <w:tcPr>
            <w:tcW w:w="107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3D58792" w14:textId="77777777" w:rsidR="005E4DC0" w:rsidRDefault="00931588">
            <w:pPr>
              <w:ind w:left="1"/>
            </w:pPr>
            <w:r>
              <w:rPr>
                <w:rFonts w:ascii="微软雅黑" w:eastAsia="微软雅黑" w:hAnsi="微软雅黑" w:cs="微软雅黑"/>
                <w:color w:val="24282E"/>
                <w:sz w:val="19"/>
              </w:rPr>
              <w:t>0.820</w:t>
            </w:r>
          </w:p>
        </w:tc>
        <w:tc>
          <w:tcPr>
            <w:tcW w:w="1946"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1BEAF70" w14:textId="77777777" w:rsidR="005E4DC0" w:rsidRDefault="00931588">
            <w:pPr>
              <w:ind w:left="2"/>
            </w:pPr>
            <w:r>
              <w:rPr>
                <w:rFonts w:ascii="微软雅黑" w:eastAsia="微软雅黑" w:hAnsi="微软雅黑" w:cs="微软雅黑"/>
                <w:color w:val="24282E"/>
                <w:sz w:val="19"/>
              </w:rPr>
              <w:t>−0.10</w:t>
            </w:r>
          </w:p>
        </w:tc>
      </w:tr>
      <w:tr w:rsidR="005E4DC0" w14:paraId="13595D13" w14:textId="77777777">
        <w:trPr>
          <w:trHeight w:val="448"/>
        </w:trPr>
        <w:tc>
          <w:tcPr>
            <w:tcW w:w="157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1332548" w14:textId="77777777" w:rsidR="005E4DC0" w:rsidRDefault="00931588">
            <w:pPr>
              <w:ind w:left="3"/>
            </w:pPr>
            <w:r>
              <w:rPr>
                <w:rFonts w:ascii="微软雅黑" w:eastAsia="微软雅黑" w:hAnsi="微软雅黑" w:cs="微软雅黑"/>
                <w:color w:val="24282E"/>
                <w:sz w:val="19"/>
              </w:rPr>
              <w:t>超温标志</w:t>
            </w:r>
          </w:p>
        </w:tc>
        <w:tc>
          <w:tcPr>
            <w:tcW w:w="125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122A0C45" w14:textId="77777777" w:rsidR="005E4DC0" w:rsidRDefault="00931588">
            <w:r>
              <w:rPr>
                <w:rFonts w:ascii="微软雅黑" w:eastAsia="微软雅黑" w:hAnsi="微软雅黑" w:cs="微软雅黑"/>
                <w:color w:val="24282E"/>
                <w:sz w:val="19"/>
              </w:rPr>
              <w:t>58</w:t>
            </w:r>
          </w:p>
        </w:tc>
        <w:tc>
          <w:tcPr>
            <w:tcW w:w="107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72256B5F" w14:textId="77777777" w:rsidR="005E4DC0" w:rsidRDefault="00931588">
            <w:pPr>
              <w:ind w:left="1"/>
            </w:pPr>
            <w:r>
              <w:rPr>
                <w:rFonts w:ascii="微软雅黑" w:eastAsia="微软雅黑" w:hAnsi="微软雅黑" w:cs="微软雅黑"/>
                <w:color w:val="24282E"/>
                <w:sz w:val="19"/>
              </w:rPr>
              <w:t>0.885</w:t>
            </w:r>
          </w:p>
        </w:tc>
        <w:tc>
          <w:tcPr>
            <w:tcW w:w="1946"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0951BD4" w14:textId="77777777" w:rsidR="005E4DC0" w:rsidRDefault="00931588">
            <w:pPr>
              <w:ind w:left="2"/>
            </w:pPr>
            <w:r>
              <w:rPr>
                <w:rFonts w:ascii="微软雅黑" w:eastAsia="微软雅黑" w:hAnsi="微软雅黑" w:cs="微软雅黑"/>
                <w:color w:val="24282E"/>
                <w:sz w:val="19"/>
              </w:rPr>
              <w:t>−0.03</w:t>
            </w:r>
          </w:p>
        </w:tc>
      </w:tr>
    </w:tbl>
    <w:p w14:paraId="66545933" w14:textId="77777777" w:rsidR="005E4DC0" w:rsidRDefault="00931588">
      <w:pPr>
        <w:spacing w:after="4" w:line="305" w:lineRule="auto"/>
        <w:ind w:left="6" w:hanging="10"/>
      </w:pPr>
      <w:r>
        <w:rPr>
          <w:rFonts w:ascii="微软雅黑" w:eastAsia="微软雅黑" w:hAnsi="微软雅黑" w:cs="微软雅黑"/>
          <w:color w:val="24282E"/>
          <w:sz w:val="19"/>
        </w:rPr>
        <w:t>这⼀消融同时充当</w:t>
      </w:r>
      <w:r>
        <w:rPr>
          <w:rFonts w:ascii="微软雅黑" w:eastAsia="微软雅黑" w:hAnsi="微软雅黑" w:cs="微软雅黑"/>
          <w:b/>
          <w:sz w:val="19"/>
        </w:rPr>
        <w:t>输⼊敏感性分析</w:t>
      </w:r>
      <w:r>
        <w:rPr>
          <w:rFonts w:ascii="微软雅黑" w:eastAsia="微软雅黑" w:hAnsi="微软雅黑" w:cs="微软雅黑"/>
          <w:color w:val="24282E"/>
          <w:sz w:val="19"/>
        </w:rPr>
        <w:t>:移除 32 维基础统计量后模型崩塌,说明判别主要由特征分⽀的基础统计量承担;其余四组移除后仍保持⼀定性能,说明特征组间存在冗余与交互⸺与置换重要性(温度统计量居⾸)和注意⼒(特征 token 关注占 0.78)⼀致,共同印证"特征分⽀主导判别、时序分⽀补充"的设计意图。</w:t>
      </w:r>
    </w:p>
    <w:p w14:paraId="4CEED550" w14:textId="77777777" w:rsidR="005E4DC0" w:rsidRDefault="00931588">
      <w:pPr>
        <w:spacing w:after="0"/>
        <w:ind w:left="11" w:right="-4"/>
      </w:pPr>
      <w:r>
        <w:rPr>
          <w:noProof/>
        </w:rPr>
        <w:drawing>
          <wp:inline distT="0" distB="0" distL="0" distR="0" wp14:anchorId="0B800F4E" wp14:editId="4AD7DAC8">
            <wp:extent cx="6940297" cy="2919985"/>
            <wp:effectExtent l="0" t="0" r="0" b="0"/>
            <wp:docPr id="35559" name="Picture 35559"/>
            <wp:cNvGraphicFramePr/>
            <a:graphic xmlns:a="http://schemas.openxmlformats.org/drawingml/2006/main">
              <a:graphicData uri="http://schemas.openxmlformats.org/drawingml/2006/picture">
                <pic:pic xmlns:pic="http://schemas.openxmlformats.org/drawingml/2006/picture">
                  <pic:nvPicPr>
                    <pic:cNvPr id="35559" name="Picture 35559"/>
                    <pic:cNvPicPr/>
                  </pic:nvPicPr>
                  <pic:blipFill>
                    <a:blip r:embed="rId9"/>
                    <a:stretch>
                      <a:fillRect/>
                    </a:stretch>
                  </pic:blipFill>
                  <pic:spPr>
                    <a:xfrm>
                      <a:off x="0" y="0"/>
                      <a:ext cx="6940297" cy="2919985"/>
                    </a:xfrm>
                    <a:prstGeom prst="rect">
                      <a:avLst/>
                    </a:prstGeom>
                  </pic:spPr>
                </pic:pic>
              </a:graphicData>
            </a:graphic>
          </wp:inline>
        </w:drawing>
      </w:r>
    </w:p>
    <w:p w14:paraId="017A4B76" w14:textId="77777777" w:rsidR="005E4DC0" w:rsidRDefault="005E4DC0">
      <w:pPr>
        <w:sectPr w:rsidR="005E4DC0">
          <w:pgSz w:w="11900" w:h="16840"/>
          <w:pgMar w:top="133" w:right="492" w:bottom="593" w:left="477" w:header="720" w:footer="720" w:gutter="0"/>
          <w:cols w:space="720"/>
        </w:sectPr>
      </w:pPr>
    </w:p>
    <w:p w14:paraId="4BADA8D6" w14:textId="77777777" w:rsidR="005E4DC0" w:rsidRDefault="00931588">
      <w:pPr>
        <w:spacing w:after="0"/>
        <w:ind w:left="-952" w:right="-952"/>
      </w:pPr>
      <w:r>
        <w:rPr>
          <w:noProof/>
        </w:rPr>
        <w:drawing>
          <wp:inline distT="0" distB="0" distL="0" distR="0" wp14:anchorId="55F11461" wp14:editId="1CA7B265">
            <wp:extent cx="6940297" cy="10232137"/>
            <wp:effectExtent l="0" t="0" r="0" b="0"/>
            <wp:docPr id="35560" name="Picture 35560"/>
            <wp:cNvGraphicFramePr/>
            <a:graphic xmlns:a="http://schemas.openxmlformats.org/drawingml/2006/main">
              <a:graphicData uri="http://schemas.openxmlformats.org/drawingml/2006/picture">
                <pic:pic xmlns:pic="http://schemas.openxmlformats.org/drawingml/2006/picture">
                  <pic:nvPicPr>
                    <pic:cNvPr id="35560" name="Picture 35560"/>
                    <pic:cNvPicPr/>
                  </pic:nvPicPr>
                  <pic:blipFill>
                    <a:blip r:embed="rId10"/>
                    <a:stretch>
                      <a:fillRect/>
                    </a:stretch>
                  </pic:blipFill>
                  <pic:spPr>
                    <a:xfrm>
                      <a:off x="0" y="0"/>
                      <a:ext cx="6940297" cy="10232137"/>
                    </a:xfrm>
                    <a:prstGeom prst="rect">
                      <a:avLst/>
                    </a:prstGeom>
                  </pic:spPr>
                </pic:pic>
              </a:graphicData>
            </a:graphic>
          </wp:inline>
        </w:drawing>
      </w:r>
    </w:p>
    <w:p w14:paraId="6032F1B5" w14:textId="77777777" w:rsidR="005E4DC0" w:rsidRDefault="005E4DC0">
      <w:pPr>
        <w:sectPr w:rsidR="005E4DC0">
          <w:pgSz w:w="11900" w:h="16840"/>
          <w:pgMar w:top="133" w:right="1440" w:bottom="593" w:left="1440" w:header="720" w:footer="720" w:gutter="0"/>
          <w:cols w:space="720"/>
        </w:sectPr>
      </w:pPr>
    </w:p>
    <w:p w14:paraId="1D6F9B80" w14:textId="77777777" w:rsidR="005E4DC0" w:rsidRDefault="00931588">
      <w:pPr>
        <w:spacing w:after="301"/>
        <w:ind w:right="-9"/>
      </w:pPr>
      <w:r>
        <w:rPr>
          <w:noProof/>
        </w:rPr>
        <w:drawing>
          <wp:inline distT="0" distB="0" distL="0" distR="0" wp14:anchorId="68738868" wp14:editId="3344F511">
            <wp:extent cx="6940297" cy="850392"/>
            <wp:effectExtent l="0" t="0" r="0" b="0"/>
            <wp:docPr id="35564" name="Picture 35564"/>
            <wp:cNvGraphicFramePr/>
            <a:graphic xmlns:a="http://schemas.openxmlformats.org/drawingml/2006/main">
              <a:graphicData uri="http://schemas.openxmlformats.org/drawingml/2006/picture">
                <pic:pic xmlns:pic="http://schemas.openxmlformats.org/drawingml/2006/picture">
                  <pic:nvPicPr>
                    <pic:cNvPr id="35564" name="Picture 35564"/>
                    <pic:cNvPicPr/>
                  </pic:nvPicPr>
                  <pic:blipFill>
                    <a:blip r:embed="rId11"/>
                    <a:stretch>
                      <a:fillRect/>
                    </a:stretch>
                  </pic:blipFill>
                  <pic:spPr>
                    <a:xfrm>
                      <a:off x="0" y="0"/>
                      <a:ext cx="6940297" cy="850392"/>
                    </a:xfrm>
                    <a:prstGeom prst="rect">
                      <a:avLst/>
                    </a:prstGeom>
                  </pic:spPr>
                </pic:pic>
              </a:graphicData>
            </a:graphic>
          </wp:inline>
        </w:drawing>
      </w:r>
    </w:p>
    <w:p w14:paraId="5DAD42CF" w14:textId="77777777" w:rsidR="005E4DC0" w:rsidRDefault="00931588">
      <w:pPr>
        <w:spacing w:after="4" w:line="305" w:lineRule="auto"/>
        <w:ind w:left="6" w:hanging="10"/>
      </w:pPr>
      <w:r>
        <w:rPr>
          <w:rFonts w:ascii="微软雅黑" w:eastAsia="微软雅黑" w:hAnsi="微软雅黑" w:cs="微软雅黑"/>
          <w:b/>
          <w:sz w:val="19"/>
        </w:rPr>
        <w:t>图</w:t>
      </w:r>
      <w:r>
        <w:rPr>
          <w:rFonts w:ascii="微软雅黑" w:eastAsia="微软雅黑" w:hAnsi="微软雅黑" w:cs="微软雅黑"/>
          <w:sz w:val="19"/>
        </w:rPr>
        <w:t xml:space="preserve"> 3:62 </w:t>
      </w:r>
      <w:r>
        <w:rPr>
          <w:rFonts w:ascii="微软雅黑" w:eastAsia="微软雅黑" w:hAnsi="微软雅黑" w:cs="微软雅黑"/>
          <w:b/>
          <w:sz w:val="19"/>
        </w:rPr>
        <w:t>特征</w:t>
      </w:r>
      <w:r>
        <w:rPr>
          <w:rFonts w:ascii="微软雅黑" w:eastAsia="微软雅黑" w:hAnsi="微软雅黑" w:cs="微软雅黑"/>
          <w:sz w:val="19"/>
        </w:rPr>
        <w:t xml:space="preserve"> × 8 </w:t>
      </w:r>
      <w:r>
        <w:rPr>
          <w:rFonts w:ascii="微软雅黑" w:eastAsia="微软雅黑" w:hAnsi="微软雅黑" w:cs="微软雅黑"/>
          <w:b/>
          <w:sz w:val="19"/>
        </w:rPr>
        <w:t>段⾃注意⼒热⼒图</w:t>
      </w:r>
      <w:r>
        <w:rPr>
          <w:rFonts w:ascii="微软雅黑" w:eastAsia="微软雅黑" w:hAnsi="微软雅黑" w:cs="微软雅黑"/>
          <w:sz w:val="19"/>
        </w:rPr>
        <w:t>(</w:t>
      </w:r>
      <w:r>
        <w:rPr>
          <w:rFonts w:ascii="微软雅黑" w:eastAsia="微软雅黑" w:hAnsi="微软雅黑" w:cs="微软雅黑"/>
          <w:b/>
          <w:sz w:val="19"/>
        </w:rPr>
        <w:t>异常样本</w:t>
      </w:r>
      <w:r>
        <w:rPr>
          <w:rFonts w:ascii="微软雅黑" w:eastAsia="微软雅黑" w:hAnsi="微软雅黑" w:cs="微软雅黑"/>
          <w:sz w:val="19"/>
        </w:rPr>
        <w:t>)</w:t>
      </w:r>
      <w:r>
        <w:rPr>
          <w:rFonts w:ascii="微软雅黑" w:eastAsia="微软雅黑" w:hAnsi="微软雅黑" w:cs="微软雅黑"/>
          <w:b/>
          <w:sz w:val="19"/>
        </w:rPr>
        <w:t>。</w:t>
      </w:r>
      <w:r>
        <w:rPr>
          <w:rFonts w:ascii="微软雅黑" w:eastAsia="微软雅黑" w:hAnsi="微软雅黑" w:cs="微软雅黑"/>
          <w:color w:val="24282E"/>
          <w:sz w:val="19"/>
        </w:rPr>
        <w:t xml:space="preserve"> 启动段最热特征为电流⾸末⽐、末段电流峰值、温度跳变⸺对应"⼤电流末段中断"的故障模式。</w:t>
      </w:r>
    </w:p>
    <w:p w14:paraId="5AE8D9B6" w14:textId="77777777" w:rsidR="005E4DC0" w:rsidRDefault="00931588">
      <w:pPr>
        <w:spacing w:after="123"/>
        <w:ind w:right="-9"/>
      </w:pPr>
      <w:r>
        <w:rPr>
          <w:noProof/>
        </w:rPr>
        <w:drawing>
          <wp:inline distT="0" distB="0" distL="0" distR="0" wp14:anchorId="777A6D9B" wp14:editId="2ECBCABF">
            <wp:extent cx="6936566" cy="4205674"/>
            <wp:effectExtent l="0" t="0" r="0" b="0"/>
            <wp:docPr id="4329" name="Picture 4329"/>
            <wp:cNvGraphicFramePr/>
            <a:graphic xmlns:a="http://schemas.openxmlformats.org/drawingml/2006/main">
              <a:graphicData uri="http://schemas.openxmlformats.org/drawingml/2006/picture">
                <pic:pic xmlns:pic="http://schemas.openxmlformats.org/drawingml/2006/picture">
                  <pic:nvPicPr>
                    <pic:cNvPr id="4329" name="Picture 4329"/>
                    <pic:cNvPicPr/>
                  </pic:nvPicPr>
                  <pic:blipFill>
                    <a:blip r:embed="rId12"/>
                    <a:stretch>
                      <a:fillRect/>
                    </a:stretch>
                  </pic:blipFill>
                  <pic:spPr>
                    <a:xfrm>
                      <a:off x="0" y="0"/>
                      <a:ext cx="6936566" cy="4205674"/>
                    </a:xfrm>
                    <a:prstGeom prst="rect">
                      <a:avLst/>
                    </a:prstGeom>
                  </pic:spPr>
                </pic:pic>
              </a:graphicData>
            </a:graphic>
          </wp:inline>
        </w:drawing>
      </w:r>
    </w:p>
    <w:p w14:paraId="31F50524" w14:textId="77777777" w:rsidR="005E4DC0" w:rsidRDefault="00931588">
      <w:pPr>
        <w:spacing w:after="50"/>
        <w:ind w:left="6" w:right="46" w:hanging="10"/>
        <w:jc w:val="both"/>
      </w:pPr>
      <w:r>
        <w:rPr>
          <w:rFonts w:ascii="微软雅黑" w:eastAsia="微软雅黑" w:hAnsi="微软雅黑" w:cs="微软雅黑"/>
          <w:b/>
          <w:sz w:val="19"/>
        </w:rPr>
        <w:t>图</w:t>
      </w:r>
      <w:r>
        <w:rPr>
          <w:rFonts w:ascii="微软雅黑" w:eastAsia="微软雅黑" w:hAnsi="微软雅黑" w:cs="微软雅黑"/>
          <w:sz w:val="19"/>
        </w:rPr>
        <w:t xml:space="preserve"> 4:</w:t>
      </w:r>
      <w:r>
        <w:rPr>
          <w:rFonts w:ascii="微软雅黑" w:eastAsia="微软雅黑" w:hAnsi="微软雅黑" w:cs="微软雅黑"/>
          <w:b/>
          <w:sz w:val="19"/>
        </w:rPr>
        <w:t>异常</w:t>
      </w:r>
      <w:r>
        <w:rPr>
          <w:rFonts w:ascii="微软雅黑" w:eastAsia="微软雅黑" w:hAnsi="微软雅黑" w:cs="微软雅黑"/>
          <w:sz w:val="19"/>
        </w:rPr>
        <w:t>−</w:t>
      </w:r>
      <w:r>
        <w:rPr>
          <w:rFonts w:ascii="微软雅黑" w:eastAsia="微软雅黑" w:hAnsi="微软雅黑" w:cs="微软雅黑"/>
          <w:b/>
          <w:sz w:val="19"/>
        </w:rPr>
        <w:t>正常注意⼒偏移</w:t>
      </w:r>
      <w:r>
        <w:rPr>
          <w:rFonts w:ascii="微软雅黑" w:eastAsia="微软雅黑" w:hAnsi="微软雅黑" w:cs="微软雅黑"/>
          <w:sz w:val="19"/>
        </w:rPr>
        <w:t>(</w:t>
      </w:r>
      <w:r>
        <w:rPr>
          <w:rFonts w:ascii="微软雅黑" w:eastAsia="微软雅黑" w:hAnsi="微软雅黑" w:cs="微软雅黑"/>
          <w:b/>
          <w:sz w:val="19"/>
        </w:rPr>
        <w:t>特征组</w:t>
      </w:r>
      <w:r>
        <w:rPr>
          <w:rFonts w:ascii="微软雅黑" w:eastAsia="微软雅黑" w:hAnsi="微软雅黑" w:cs="微软雅黑"/>
          <w:sz w:val="19"/>
        </w:rPr>
        <w:t>×</w:t>
      </w:r>
      <w:r>
        <w:rPr>
          <w:rFonts w:ascii="微软雅黑" w:eastAsia="微软雅黑" w:hAnsi="微软雅黑" w:cs="微软雅黑"/>
          <w:b/>
          <w:sz w:val="19"/>
        </w:rPr>
        <w:t>段</w:t>
      </w:r>
      <w:r>
        <w:rPr>
          <w:rFonts w:ascii="微软雅黑" w:eastAsia="微软雅黑" w:hAnsi="微软雅黑" w:cs="微软雅黑"/>
          <w:sz w:val="19"/>
        </w:rPr>
        <w:t>)</w:t>
      </w:r>
      <w:r>
        <w:rPr>
          <w:rFonts w:ascii="微软雅黑" w:eastAsia="微软雅黑" w:hAnsi="微软雅黑" w:cs="微软雅黑"/>
          <w:b/>
          <w:sz w:val="19"/>
        </w:rPr>
        <w:t>。</w:t>
      </w:r>
      <w:r>
        <w:rPr>
          <w:rFonts w:ascii="微软雅黑" w:eastAsia="微软雅黑" w:hAnsi="微软雅黑" w:cs="微软雅黑"/>
          <w:color w:val="24282E"/>
          <w:sz w:val="19"/>
        </w:rPr>
        <w:t xml:space="preserve"> 异常时模型对充电前段(2/8、3/8)的注意⼒显著下降(−0.049~−0.057),向中后段漂移</w:t>
      </w:r>
    </w:p>
    <w:p w14:paraId="1FD310BE" w14:textId="77777777" w:rsidR="005E4DC0" w:rsidRDefault="00931588">
      <w:pPr>
        <w:spacing w:after="204" w:line="305" w:lineRule="auto"/>
        <w:ind w:left="6" w:hanging="10"/>
      </w:pPr>
      <w:r>
        <w:rPr>
          <w:rFonts w:ascii="微软雅黑" w:eastAsia="微软雅黑" w:hAnsi="微软雅黑" w:cs="微软雅黑"/>
          <w:color w:val="24282E"/>
          <w:sz w:val="19"/>
        </w:rPr>
        <w:t>⸺可读出"前段特征塌缩"型异常模式。</w:t>
      </w:r>
    </w:p>
    <w:p w14:paraId="7F361A9E" w14:textId="77777777" w:rsidR="005E4DC0" w:rsidRDefault="00931588">
      <w:pPr>
        <w:spacing w:after="0"/>
        <w:ind w:left="6" w:right="46" w:hanging="10"/>
        <w:jc w:val="both"/>
      </w:pPr>
      <w:r>
        <w:rPr>
          <w:rFonts w:ascii="微软雅黑" w:eastAsia="微软雅黑" w:hAnsi="微软雅黑" w:cs="微软雅黑"/>
          <w:b/>
          <w:sz w:val="19"/>
        </w:rPr>
        <w:t>故障指纹发现</w:t>
      </w:r>
      <w:r>
        <w:rPr>
          <w:rFonts w:ascii="微软雅黑" w:eastAsia="微软雅黑" w:hAnsi="微软雅黑" w:cs="微软雅黑"/>
          <w:color w:val="24282E"/>
          <w:sz w:val="19"/>
        </w:rPr>
        <w:t>:对⽐故障样本(n=129)与正常样本(n=2,647)的特征分布,揭示了物理可解释的"故障指纹":</w:t>
      </w:r>
    </w:p>
    <w:tbl>
      <w:tblPr>
        <w:tblStyle w:val="TableGrid"/>
        <w:tblW w:w="8882" w:type="dxa"/>
        <w:tblInd w:w="8" w:type="dxa"/>
        <w:tblCellMar>
          <w:left w:w="150" w:type="dxa"/>
          <w:right w:w="149" w:type="dxa"/>
        </w:tblCellMar>
        <w:tblLook w:val="04A0" w:firstRow="1" w:lastRow="0" w:firstColumn="1" w:lastColumn="0" w:noHBand="0" w:noVBand="1"/>
      </w:tblPr>
      <w:tblGrid>
        <w:gridCol w:w="1289"/>
        <w:gridCol w:w="1073"/>
        <w:gridCol w:w="1089"/>
        <w:gridCol w:w="873"/>
        <w:gridCol w:w="4558"/>
      </w:tblGrid>
      <w:tr w:rsidR="005E4DC0" w14:paraId="6A566ED6" w14:textId="77777777">
        <w:trPr>
          <w:trHeight w:val="448"/>
        </w:trPr>
        <w:tc>
          <w:tcPr>
            <w:tcW w:w="1289"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59A8182E" w14:textId="77777777" w:rsidR="005E4DC0" w:rsidRDefault="00931588">
            <w:pPr>
              <w:ind w:right="2"/>
              <w:jc w:val="center"/>
            </w:pPr>
            <w:r>
              <w:rPr>
                <w:rFonts w:ascii="微软雅黑" w:eastAsia="微软雅黑" w:hAnsi="微软雅黑" w:cs="微软雅黑"/>
                <w:b/>
                <w:color w:val="24282E"/>
                <w:sz w:val="19"/>
              </w:rPr>
              <w:t>特征</w:t>
            </w:r>
          </w:p>
        </w:tc>
        <w:tc>
          <w:tcPr>
            <w:tcW w:w="1073"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20B4956C" w14:textId="77777777" w:rsidR="005E4DC0" w:rsidRDefault="00931588">
            <w:pPr>
              <w:ind w:left="5"/>
              <w:jc w:val="both"/>
            </w:pPr>
            <w:r>
              <w:rPr>
                <w:rFonts w:ascii="微软雅黑" w:eastAsia="微软雅黑" w:hAnsi="微软雅黑" w:cs="微软雅黑"/>
                <w:b/>
                <w:color w:val="24282E"/>
                <w:sz w:val="19"/>
              </w:rPr>
              <w:t>故障均值</w:t>
            </w:r>
          </w:p>
        </w:tc>
        <w:tc>
          <w:tcPr>
            <w:tcW w:w="1089"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4AD51B9D" w14:textId="77777777" w:rsidR="005E4DC0" w:rsidRDefault="00931588">
            <w:pPr>
              <w:ind w:left="14"/>
              <w:jc w:val="both"/>
            </w:pPr>
            <w:r>
              <w:rPr>
                <w:rFonts w:ascii="微软雅黑" w:eastAsia="微软雅黑" w:hAnsi="微软雅黑" w:cs="微软雅黑"/>
                <w:b/>
                <w:color w:val="24282E"/>
                <w:sz w:val="19"/>
              </w:rPr>
              <w:t>正常均值</w:t>
            </w:r>
          </w:p>
        </w:tc>
        <w:tc>
          <w:tcPr>
            <w:tcW w:w="873"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6C912588" w14:textId="77777777" w:rsidR="005E4DC0" w:rsidRDefault="00931588">
            <w:pPr>
              <w:ind w:left="97"/>
            </w:pPr>
            <w:r>
              <w:rPr>
                <w:rFonts w:ascii="微软雅黑" w:eastAsia="微软雅黑" w:hAnsi="微软雅黑" w:cs="微软雅黑"/>
                <w:b/>
                <w:color w:val="24282E"/>
                <w:sz w:val="19"/>
              </w:rPr>
              <w:t>差异</w:t>
            </w:r>
          </w:p>
        </w:tc>
        <w:tc>
          <w:tcPr>
            <w:tcW w:w="4557"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1759C7E6" w14:textId="77777777" w:rsidR="005E4DC0" w:rsidRDefault="00931588">
            <w:pPr>
              <w:ind w:right="4"/>
              <w:jc w:val="center"/>
            </w:pPr>
            <w:r>
              <w:rPr>
                <w:rFonts w:ascii="微软雅黑" w:eastAsia="微软雅黑" w:hAnsi="微软雅黑" w:cs="微软雅黑"/>
                <w:b/>
                <w:color w:val="24282E"/>
                <w:sz w:val="19"/>
              </w:rPr>
              <w:t>物理解释</w:t>
            </w:r>
          </w:p>
        </w:tc>
      </w:tr>
      <w:tr w:rsidR="005E4DC0" w14:paraId="588B0033" w14:textId="77777777">
        <w:trPr>
          <w:trHeight w:val="448"/>
        </w:trPr>
        <w:tc>
          <w:tcPr>
            <w:tcW w:w="128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0E6EEFF" w14:textId="77777777" w:rsidR="005E4DC0" w:rsidRDefault="00931588">
            <w:pPr>
              <w:ind w:left="2"/>
            </w:pPr>
            <w:r>
              <w:rPr>
                <w:rFonts w:ascii="微软雅黑" w:eastAsia="微软雅黑" w:hAnsi="微软雅黑" w:cs="微软雅黑"/>
                <w:color w:val="24282E"/>
                <w:sz w:val="19"/>
              </w:rPr>
              <w:t>末端 SOC</w:t>
            </w:r>
          </w:p>
        </w:tc>
        <w:tc>
          <w:tcPr>
            <w:tcW w:w="107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66B6BA8" w14:textId="77777777" w:rsidR="005E4DC0" w:rsidRDefault="00931588">
            <w:pPr>
              <w:ind w:left="5"/>
            </w:pPr>
            <w:r>
              <w:rPr>
                <w:rFonts w:ascii="微软雅黑" w:eastAsia="微软雅黑" w:hAnsi="微软雅黑" w:cs="微软雅黑"/>
                <w:color w:val="24282E"/>
                <w:sz w:val="19"/>
              </w:rPr>
              <w:t>78.7%</w:t>
            </w:r>
          </w:p>
        </w:tc>
        <w:tc>
          <w:tcPr>
            <w:tcW w:w="108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620DB64A" w14:textId="77777777" w:rsidR="005E4DC0" w:rsidRDefault="00931588">
            <w:r>
              <w:rPr>
                <w:rFonts w:ascii="微软雅黑" w:eastAsia="微软雅黑" w:hAnsi="微软雅黑" w:cs="微软雅黑"/>
                <w:color w:val="24282E"/>
                <w:sz w:val="19"/>
              </w:rPr>
              <w:t>94.3%</w:t>
            </w:r>
          </w:p>
        </w:tc>
        <w:tc>
          <w:tcPr>
            <w:tcW w:w="87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3171FCE" w14:textId="77777777" w:rsidR="005E4DC0" w:rsidRDefault="00931588">
            <w:pPr>
              <w:ind w:left="6"/>
            </w:pPr>
            <w:r>
              <w:rPr>
                <w:rFonts w:ascii="微软雅黑" w:eastAsia="微软雅黑" w:hAnsi="微软雅黑" w:cs="微软雅黑"/>
                <w:sz w:val="19"/>
              </w:rPr>
              <w:t>-15.6</w:t>
            </w:r>
          </w:p>
        </w:tc>
        <w:tc>
          <w:tcPr>
            <w:tcW w:w="455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692C0364" w14:textId="77777777" w:rsidR="005E4DC0" w:rsidRDefault="00931588">
            <w:pPr>
              <w:ind w:left="1"/>
            </w:pPr>
            <w:r>
              <w:rPr>
                <w:rFonts w:ascii="微软雅黑" w:eastAsia="微软雅黑" w:hAnsi="微软雅黑" w:cs="微软雅黑"/>
                <w:color w:val="24282E"/>
                <w:sz w:val="19"/>
              </w:rPr>
              <w:t>充电提前中断,未充满</w:t>
            </w:r>
          </w:p>
        </w:tc>
      </w:tr>
      <w:tr w:rsidR="005E4DC0" w14:paraId="4C04C8AD" w14:textId="77777777">
        <w:trPr>
          <w:trHeight w:val="448"/>
        </w:trPr>
        <w:tc>
          <w:tcPr>
            <w:tcW w:w="128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7937B71" w14:textId="77777777" w:rsidR="005E4DC0" w:rsidRDefault="00931588">
            <w:pPr>
              <w:ind w:left="2"/>
            </w:pPr>
            <w:r>
              <w:rPr>
                <w:rFonts w:ascii="微软雅黑" w:eastAsia="微软雅黑" w:hAnsi="微软雅黑" w:cs="微软雅黑"/>
                <w:color w:val="24282E"/>
                <w:sz w:val="19"/>
              </w:rPr>
              <w:t>末端功率</w:t>
            </w:r>
          </w:p>
        </w:tc>
        <w:tc>
          <w:tcPr>
            <w:tcW w:w="107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1FF392DE" w14:textId="77777777" w:rsidR="005E4DC0" w:rsidRDefault="00931588">
            <w:pPr>
              <w:ind w:left="5"/>
            </w:pPr>
            <w:r>
              <w:rPr>
                <w:rFonts w:ascii="微软雅黑" w:eastAsia="微软雅黑" w:hAnsi="微软雅黑" w:cs="微软雅黑"/>
                <w:color w:val="24282E"/>
                <w:sz w:val="19"/>
              </w:rPr>
              <w:t>42.1 kW</w:t>
            </w:r>
          </w:p>
        </w:tc>
        <w:tc>
          <w:tcPr>
            <w:tcW w:w="108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E5608F1" w14:textId="77777777" w:rsidR="005E4DC0" w:rsidRDefault="00931588">
            <w:r>
              <w:rPr>
                <w:rFonts w:ascii="微软雅黑" w:eastAsia="微软雅黑" w:hAnsi="微软雅黑" w:cs="微软雅黑"/>
                <w:color w:val="24282E"/>
                <w:sz w:val="19"/>
              </w:rPr>
              <w:t>15.3 kW</w:t>
            </w:r>
          </w:p>
        </w:tc>
        <w:tc>
          <w:tcPr>
            <w:tcW w:w="87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5A1EB88" w14:textId="77777777" w:rsidR="005E4DC0" w:rsidRDefault="00931588">
            <w:pPr>
              <w:ind w:left="6"/>
            </w:pPr>
            <w:r>
              <w:rPr>
                <w:rFonts w:ascii="微软雅黑" w:eastAsia="微软雅黑" w:hAnsi="微软雅黑" w:cs="微软雅黑"/>
                <w:sz w:val="19"/>
              </w:rPr>
              <w:t>+26.9</w:t>
            </w:r>
          </w:p>
        </w:tc>
        <w:tc>
          <w:tcPr>
            <w:tcW w:w="455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FD57C0C" w14:textId="77777777" w:rsidR="005E4DC0" w:rsidRDefault="00931588">
            <w:pPr>
              <w:ind w:left="1"/>
              <w:jc w:val="both"/>
            </w:pPr>
            <w:r>
              <w:rPr>
                <w:rFonts w:ascii="微软雅黑" w:eastAsia="微软雅黑" w:hAnsi="微软雅黑" w:cs="微软雅黑"/>
                <w:color w:val="24282E"/>
                <w:sz w:val="19"/>
              </w:rPr>
              <w:t>正常末端功率衰减⾄涓流;故障时⾼功率下突然断开</w:t>
            </w:r>
          </w:p>
        </w:tc>
      </w:tr>
      <w:tr w:rsidR="005E4DC0" w14:paraId="612E5DC4" w14:textId="77777777">
        <w:trPr>
          <w:trHeight w:val="448"/>
        </w:trPr>
        <w:tc>
          <w:tcPr>
            <w:tcW w:w="128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6E937966" w14:textId="77777777" w:rsidR="005E4DC0" w:rsidRDefault="00931588">
            <w:pPr>
              <w:ind w:left="2"/>
            </w:pPr>
            <w:r>
              <w:rPr>
                <w:rFonts w:ascii="微软雅黑" w:eastAsia="微软雅黑" w:hAnsi="微软雅黑" w:cs="微软雅黑"/>
                <w:color w:val="24282E"/>
                <w:sz w:val="19"/>
              </w:rPr>
              <w:t>最低电流</w:t>
            </w:r>
          </w:p>
        </w:tc>
        <w:tc>
          <w:tcPr>
            <w:tcW w:w="107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AA5351E" w14:textId="77777777" w:rsidR="005E4DC0" w:rsidRDefault="00931588">
            <w:pPr>
              <w:ind w:left="5"/>
            </w:pPr>
            <w:r>
              <w:rPr>
                <w:rFonts w:ascii="微软雅黑" w:eastAsia="微软雅黑" w:hAnsi="微软雅黑" w:cs="微软雅黑"/>
                <w:color w:val="24282E"/>
                <w:sz w:val="19"/>
              </w:rPr>
              <w:t>95.9 A</w:t>
            </w:r>
          </w:p>
        </w:tc>
        <w:tc>
          <w:tcPr>
            <w:tcW w:w="108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EF38B81" w14:textId="77777777" w:rsidR="005E4DC0" w:rsidRDefault="00931588">
            <w:r>
              <w:rPr>
                <w:rFonts w:ascii="微软雅黑" w:eastAsia="微软雅黑" w:hAnsi="微软雅黑" w:cs="微软雅黑"/>
                <w:color w:val="24282E"/>
                <w:sz w:val="19"/>
              </w:rPr>
              <w:t>26.5 A</w:t>
            </w:r>
          </w:p>
        </w:tc>
        <w:tc>
          <w:tcPr>
            <w:tcW w:w="87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03B91E8" w14:textId="77777777" w:rsidR="005E4DC0" w:rsidRDefault="00931588">
            <w:pPr>
              <w:ind w:left="6"/>
            </w:pPr>
            <w:r>
              <w:rPr>
                <w:rFonts w:ascii="微软雅黑" w:eastAsia="微软雅黑" w:hAnsi="微软雅黑" w:cs="微软雅黑"/>
                <w:sz w:val="19"/>
              </w:rPr>
              <w:t>+69.4</w:t>
            </w:r>
          </w:p>
        </w:tc>
        <w:tc>
          <w:tcPr>
            <w:tcW w:w="455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859340C" w14:textId="77777777" w:rsidR="005E4DC0" w:rsidRDefault="00931588">
            <w:pPr>
              <w:ind w:left="1"/>
            </w:pPr>
            <w:r>
              <w:rPr>
                <w:rFonts w:ascii="微软雅黑" w:eastAsia="微软雅黑" w:hAnsi="微软雅黑" w:cs="微软雅黑"/>
                <w:color w:val="24282E"/>
                <w:sz w:val="19"/>
              </w:rPr>
              <w:t>故障发⽣在</w:t>
            </w:r>
            <w:r>
              <w:rPr>
                <w:rFonts w:ascii="微软雅黑" w:eastAsia="微软雅黑" w:hAnsi="微软雅黑" w:cs="微软雅黑"/>
                <w:b/>
                <w:sz w:val="19"/>
              </w:rPr>
              <w:t>⼤电流充电段</w:t>
            </w:r>
          </w:p>
        </w:tc>
      </w:tr>
      <w:tr w:rsidR="005E4DC0" w14:paraId="503EF09E" w14:textId="77777777">
        <w:trPr>
          <w:trHeight w:val="448"/>
        </w:trPr>
        <w:tc>
          <w:tcPr>
            <w:tcW w:w="128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AD01344" w14:textId="77777777" w:rsidR="005E4DC0" w:rsidRDefault="00931588">
            <w:pPr>
              <w:ind w:left="2"/>
            </w:pPr>
            <w:r>
              <w:rPr>
                <w:rFonts w:ascii="微软雅黑" w:eastAsia="微软雅黑" w:hAnsi="微软雅黑" w:cs="微软雅黑"/>
                <w:color w:val="24282E"/>
                <w:sz w:val="19"/>
              </w:rPr>
              <w:t>枪温 2 均值</w:t>
            </w:r>
          </w:p>
        </w:tc>
        <w:tc>
          <w:tcPr>
            <w:tcW w:w="107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B7FF7EA" w14:textId="77777777" w:rsidR="005E4DC0" w:rsidRDefault="00931588">
            <w:pPr>
              <w:ind w:left="5"/>
            </w:pPr>
            <w:r>
              <w:rPr>
                <w:rFonts w:ascii="微软雅黑" w:eastAsia="微软雅黑" w:hAnsi="微软雅黑" w:cs="微软雅黑"/>
                <w:color w:val="24282E"/>
                <w:sz w:val="19"/>
              </w:rPr>
              <w:t>33.4°C</w:t>
            </w:r>
          </w:p>
        </w:tc>
        <w:tc>
          <w:tcPr>
            <w:tcW w:w="108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756882C" w14:textId="77777777" w:rsidR="005E4DC0" w:rsidRDefault="00931588">
            <w:r>
              <w:rPr>
                <w:rFonts w:ascii="微软雅黑" w:eastAsia="微软雅黑" w:hAnsi="微软雅黑" w:cs="微软雅黑"/>
                <w:color w:val="24282E"/>
                <w:sz w:val="19"/>
              </w:rPr>
              <w:t>43.7°C</w:t>
            </w:r>
          </w:p>
        </w:tc>
        <w:tc>
          <w:tcPr>
            <w:tcW w:w="87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7DB2FAB7" w14:textId="77777777" w:rsidR="005E4DC0" w:rsidRDefault="00931588">
            <w:pPr>
              <w:ind w:left="6"/>
            </w:pPr>
            <w:r>
              <w:rPr>
                <w:rFonts w:ascii="微软雅黑" w:eastAsia="微软雅黑" w:hAnsi="微软雅黑" w:cs="微软雅黑"/>
                <w:sz w:val="19"/>
              </w:rPr>
              <w:t>-10.3</w:t>
            </w:r>
          </w:p>
        </w:tc>
        <w:tc>
          <w:tcPr>
            <w:tcW w:w="455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6492C8D" w14:textId="77777777" w:rsidR="005E4DC0" w:rsidRDefault="00931588">
            <w:pPr>
              <w:ind w:left="1"/>
            </w:pPr>
            <w:r>
              <w:rPr>
                <w:rFonts w:ascii="微软雅黑" w:eastAsia="微软雅黑" w:hAnsi="微软雅黑" w:cs="微软雅黑"/>
                <w:color w:val="24282E"/>
                <w:sz w:val="19"/>
              </w:rPr>
              <w:t>正常充电完整、温度持续累积;故障提前终⽌</w:t>
            </w:r>
          </w:p>
        </w:tc>
      </w:tr>
      <w:tr w:rsidR="005E4DC0" w14:paraId="499A6F4E" w14:textId="77777777">
        <w:trPr>
          <w:trHeight w:val="448"/>
        </w:trPr>
        <w:tc>
          <w:tcPr>
            <w:tcW w:w="128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9A1BD9C" w14:textId="77777777" w:rsidR="005E4DC0" w:rsidRDefault="00931588">
            <w:pPr>
              <w:ind w:left="2"/>
            </w:pPr>
            <w:r>
              <w:rPr>
                <w:rFonts w:ascii="微软雅黑" w:eastAsia="微软雅黑" w:hAnsi="微软雅黑" w:cs="微软雅黑"/>
                <w:color w:val="24282E"/>
                <w:sz w:val="19"/>
              </w:rPr>
              <w:t>充电时⻓</w:t>
            </w:r>
          </w:p>
        </w:tc>
        <w:tc>
          <w:tcPr>
            <w:tcW w:w="107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6CF3C5D6" w14:textId="77777777" w:rsidR="005E4DC0" w:rsidRDefault="00931588">
            <w:pPr>
              <w:ind w:left="5"/>
            </w:pPr>
            <w:r>
              <w:rPr>
                <w:rFonts w:ascii="微软雅黑" w:eastAsia="微软雅黑" w:hAnsi="微软雅黑" w:cs="微软雅黑"/>
                <w:color w:val="24282E"/>
                <w:sz w:val="19"/>
              </w:rPr>
              <w:t>31.2 min</w:t>
            </w:r>
          </w:p>
        </w:tc>
        <w:tc>
          <w:tcPr>
            <w:tcW w:w="108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5EF99D79" w14:textId="77777777" w:rsidR="005E4DC0" w:rsidRDefault="00931588">
            <w:r>
              <w:rPr>
                <w:rFonts w:ascii="微软雅黑" w:eastAsia="微软雅黑" w:hAnsi="微软雅黑" w:cs="微软雅黑"/>
                <w:color w:val="24282E"/>
                <w:sz w:val="19"/>
              </w:rPr>
              <w:t>56.4 min</w:t>
            </w:r>
          </w:p>
        </w:tc>
        <w:tc>
          <w:tcPr>
            <w:tcW w:w="87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91B192E" w14:textId="77777777" w:rsidR="005E4DC0" w:rsidRDefault="00931588">
            <w:pPr>
              <w:ind w:left="6"/>
            </w:pPr>
            <w:r>
              <w:rPr>
                <w:rFonts w:ascii="微软雅黑" w:eastAsia="微软雅黑" w:hAnsi="微软雅黑" w:cs="微软雅黑"/>
                <w:color w:val="24282E"/>
                <w:sz w:val="19"/>
              </w:rPr>
              <w:t>-25.2</w:t>
            </w:r>
          </w:p>
        </w:tc>
        <w:tc>
          <w:tcPr>
            <w:tcW w:w="455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FA1B49C" w14:textId="77777777" w:rsidR="005E4DC0" w:rsidRDefault="00931588">
            <w:pPr>
              <w:ind w:left="1"/>
            </w:pPr>
            <w:r>
              <w:rPr>
                <w:rFonts w:ascii="微软雅黑" w:eastAsia="微软雅黑" w:hAnsi="微软雅黑" w:cs="微软雅黑"/>
                <w:color w:val="24282E"/>
                <w:sz w:val="19"/>
              </w:rPr>
              <w:t>充电中途被打断</w:t>
            </w:r>
          </w:p>
        </w:tc>
      </w:tr>
    </w:tbl>
    <w:p w14:paraId="44ACEABD" w14:textId="77777777" w:rsidR="005E4DC0" w:rsidRDefault="00931588">
      <w:pPr>
        <w:spacing w:after="191" w:line="307" w:lineRule="auto"/>
        <w:ind w:left="6" w:right="75" w:hanging="10"/>
        <w:jc w:val="both"/>
      </w:pPr>
      <w:r>
        <w:rPr>
          <w:rFonts w:ascii="微软雅黑" w:eastAsia="微软雅黑" w:hAnsi="微软雅黑" w:cs="微软雅黑"/>
          <w:b/>
          <w:sz w:val="19"/>
        </w:rPr>
        <w:t>核⼼洞察</w:t>
      </w:r>
      <w:r>
        <w:rPr>
          <w:rFonts w:ascii="微软雅黑" w:eastAsia="微软雅黑" w:hAnsi="微软雅黑" w:cs="微软雅黑"/>
          <w:color w:val="24282E"/>
          <w:sz w:val="19"/>
        </w:rPr>
        <w:t>:充电站故障的"故障指纹"是</w:t>
      </w:r>
      <w:r>
        <w:rPr>
          <w:rFonts w:ascii="微软雅黑" w:eastAsia="微软雅黑" w:hAnsi="微软雅黑" w:cs="微软雅黑"/>
          <w:b/>
          <w:sz w:val="19"/>
        </w:rPr>
        <w:t>⼤电流⾼功率充电段突然中断</w:t>
      </w:r>
      <w:r>
        <w:rPr>
          <w:rFonts w:ascii="微软雅黑" w:eastAsia="微软雅黑" w:hAnsi="微软雅黑" w:cs="微软雅黑"/>
          <w:color w:val="24282E"/>
          <w:sz w:val="19"/>
        </w:rPr>
        <w:t>⸺表现为末端 SOC 未充满、末端功率远⾼于正常涓流值。枪温在归因中居⾸,但故障样本的平均枪温反⽽</w:t>
      </w:r>
      <w:r>
        <w:rPr>
          <w:rFonts w:ascii="微软雅黑" w:eastAsia="微软雅黑" w:hAnsi="微软雅黑" w:cs="微软雅黑"/>
          <w:b/>
          <w:sz w:val="19"/>
        </w:rPr>
        <w:t>低于</w:t>
      </w:r>
      <w:r>
        <w:rPr>
          <w:rFonts w:ascii="微软雅黑" w:eastAsia="微软雅黑" w:hAnsi="微软雅黑" w:cs="微软雅黑"/>
          <w:color w:val="24282E"/>
          <w:sz w:val="19"/>
        </w:rPr>
        <w:t>正常样本(33.4 vs 43.7°C)⸺这与"正常充电完整、温度持续累积,⽽故障充电提前终⽌"⼀致。需要强调,这⼀温度差异是</w:t>
      </w:r>
      <w:r>
        <w:rPr>
          <w:rFonts w:ascii="微软雅黑" w:eastAsia="微软雅黑" w:hAnsi="微软雅黑" w:cs="微软雅黑"/>
          <w:b/>
          <w:sz w:val="19"/>
        </w:rPr>
        <w:t>相关关系</w:t>
      </w:r>
      <w:r>
        <w:rPr>
          <w:rFonts w:ascii="微软雅黑" w:eastAsia="微软雅黑" w:hAnsi="微软雅黑" w:cs="微软雅黑"/>
          <w:color w:val="24282E"/>
          <w:sz w:val="19"/>
        </w:rPr>
        <w:t>⽽⾮因果关系。</w:t>
      </w:r>
    </w:p>
    <w:p w14:paraId="38B6219D" w14:textId="77777777" w:rsidR="005E4DC0" w:rsidRDefault="00931588">
      <w:pPr>
        <w:spacing w:after="4" w:line="305" w:lineRule="auto"/>
        <w:ind w:left="6" w:hanging="10"/>
      </w:pPr>
      <w:r>
        <w:rPr>
          <w:rFonts w:ascii="微软雅黑" w:eastAsia="微软雅黑" w:hAnsi="微软雅黑" w:cs="微软雅黑"/>
          <w:color w:val="24282E"/>
          <w:sz w:val="19"/>
        </w:rPr>
        <w:t>三路归因(注意⼒ + 置换重要性 + 消融)交叉印证:枪温统计量与基础统计量主导判别,注意⼒揭示异常时模型向中后段漂移,三者共同</w:t>
      </w:r>
    </w:p>
    <w:p w14:paraId="3E344C6B" w14:textId="77777777" w:rsidR="005E4DC0" w:rsidRDefault="00931588">
      <w:pPr>
        <w:spacing w:after="420" w:line="305" w:lineRule="auto"/>
        <w:ind w:left="6" w:hanging="10"/>
      </w:pPr>
      <w:r>
        <w:rPr>
          <w:rFonts w:ascii="微软雅黑" w:eastAsia="微软雅黑" w:hAnsi="微软雅黑" w:cs="微软雅黑"/>
          <w:color w:val="24282E"/>
          <w:sz w:val="19"/>
        </w:rPr>
        <w:t>⽀撑"⼤电流⾼功率段突然中断 + 温度异常"的故障指纹结论。</w:t>
      </w:r>
    </w:p>
    <w:p w14:paraId="77646A2D" w14:textId="77777777" w:rsidR="005E4DC0" w:rsidRDefault="00931588">
      <w:pPr>
        <w:pStyle w:val="2"/>
        <w:ind w:left="6"/>
        <w:rPr>
          <w:rFonts w:hint="eastAsia"/>
        </w:rPr>
      </w:pPr>
      <w:r>
        <w:rPr>
          <w:b w:val="0"/>
        </w:rPr>
        <w:t xml:space="preserve">4.4 </w:t>
      </w:r>
      <w:r>
        <w:t>案例深描</w:t>
      </w:r>
      <w:r>
        <w:rPr>
          <w:b w:val="0"/>
          <w:color w:val="0366D6"/>
        </w:rPr>
        <w:t xml:space="preserve"> </w:t>
      </w:r>
    </w:p>
    <w:p w14:paraId="624A4139" w14:textId="77777777" w:rsidR="005E4DC0" w:rsidRDefault="00931588">
      <w:pPr>
        <w:spacing w:after="39"/>
        <w:ind w:left="6" w:right="46" w:hanging="10"/>
        <w:jc w:val="both"/>
      </w:pPr>
      <w:r>
        <w:rPr>
          <w:rFonts w:ascii="微软雅黑" w:eastAsia="微软雅黑" w:hAnsi="微软雅黑" w:cs="微软雅黑"/>
          <w:color w:val="24282E"/>
          <w:sz w:val="19"/>
        </w:rPr>
        <w:t>为回答"模型为什么判某⼀样本为异常",对 4 个测试集异常样本(2 个⾼置信真阳 + 2 个⾼温度跳变型)⽣成"六通道曲线 + [CLS] 注意⼒ top-12 特征"并排图。不同样本的"证据指纹"不同:电流末段峰值(a_last_third_max、a_seg3_max)、电压塌陷(v_min、 v_first_third_min)、枪温抬升(t1_mean)等⸺模型对每个样本给出可读的判据,⽀持运维⼈员的逐案诊断与审计。</w:t>
      </w:r>
    </w:p>
    <w:p w14:paraId="55B511BB" w14:textId="77777777" w:rsidR="005E4DC0" w:rsidRDefault="00931588">
      <w:pPr>
        <w:spacing w:after="305"/>
        <w:ind w:right="-9"/>
      </w:pPr>
      <w:r>
        <w:rPr>
          <w:noProof/>
        </w:rPr>
        <w:drawing>
          <wp:inline distT="0" distB="0" distL="0" distR="0" wp14:anchorId="5B2DC98B" wp14:editId="0699B044">
            <wp:extent cx="6936566" cy="2634267"/>
            <wp:effectExtent l="0" t="0" r="0" b="0"/>
            <wp:docPr id="4791" name="Picture 4791"/>
            <wp:cNvGraphicFramePr/>
            <a:graphic xmlns:a="http://schemas.openxmlformats.org/drawingml/2006/main">
              <a:graphicData uri="http://schemas.openxmlformats.org/drawingml/2006/picture">
                <pic:pic xmlns:pic="http://schemas.openxmlformats.org/drawingml/2006/picture">
                  <pic:nvPicPr>
                    <pic:cNvPr id="4791" name="Picture 4791"/>
                    <pic:cNvPicPr/>
                  </pic:nvPicPr>
                  <pic:blipFill>
                    <a:blip r:embed="rId13"/>
                    <a:stretch>
                      <a:fillRect/>
                    </a:stretch>
                  </pic:blipFill>
                  <pic:spPr>
                    <a:xfrm>
                      <a:off x="0" y="0"/>
                      <a:ext cx="6936566" cy="2634267"/>
                    </a:xfrm>
                    <a:prstGeom prst="rect">
                      <a:avLst/>
                    </a:prstGeom>
                  </pic:spPr>
                </pic:pic>
              </a:graphicData>
            </a:graphic>
          </wp:inline>
        </w:drawing>
      </w:r>
    </w:p>
    <w:p w14:paraId="1E760D99" w14:textId="77777777" w:rsidR="005E4DC0" w:rsidRDefault="00931588">
      <w:pPr>
        <w:spacing w:after="447"/>
        <w:ind w:left="6" w:right="46" w:hanging="10"/>
        <w:jc w:val="both"/>
      </w:pPr>
      <w:r>
        <w:rPr>
          <w:noProof/>
        </w:rPr>
        <mc:AlternateContent>
          <mc:Choice Requires="wpg">
            <w:drawing>
              <wp:anchor distT="0" distB="0" distL="114300" distR="114300" simplePos="0" relativeHeight="251667456" behindDoc="1" locked="0" layoutInCell="1" allowOverlap="1" wp14:anchorId="510BE137" wp14:editId="4FCBE3E1">
                <wp:simplePos x="0" y="0"/>
                <wp:positionH relativeFrom="column">
                  <wp:posOffset>1510381</wp:posOffset>
                </wp:positionH>
                <wp:positionV relativeFrom="paragraph">
                  <wp:posOffset>177630</wp:posOffset>
                </wp:positionV>
                <wp:extent cx="1220511" cy="162736"/>
                <wp:effectExtent l="0" t="0" r="0" b="0"/>
                <wp:wrapNone/>
                <wp:docPr id="31475" name="Group 31475"/>
                <wp:cNvGraphicFramePr/>
                <a:graphic xmlns:a="http://schemas.openxmlformats.org/drawingml/2006/main">
                  <a:graphicData uri="http://schemas.microsoft.com/office/word/2010/wordprocessingGroup">
                    <wpg:wgp>
                      <wpg:cNvGrpSpPr/>
                      <wpg:grpSpPr>
                        <a:xfrm>
                          <a:off x="0" y="0"/>
                          <a:ext cx="1220511" cy="162736"/>
                          <a:chOff x="0" y="0"/>
                          <a:chExt cx="1220511" cy="162736"/>
                        </a:xfrm>
                      </wpg:grpSpPr>
                      <wps:wsp>
                        <wps:cNvPr id="4838" name="Shape 4838"/>
                        <wps:cNvSpPr/>
                        <wps:spPr>
                          <a:xfrm>
                            <a:off x="0" y="0"/>
                            <a:ext cx="1220511" cy="162736"/>
                          </a:xfrm>
                          <a:custGeom>
                            <a:avLst/>
                            <a:gdLst/>
                            <a:ahLst/>
                            <a:cxnLst/>
                            <a:rect l="0" t="0" r="0" b="0"/>
                            <a:pathLst>
                              <a:path w="1220511" h="162736">
                                <a:moveTo>
                                  <a:pt x="22861" y="0"/>
                                </a:moveTo>
                                <a:lnTo>
                                  <a:pt x="1197649" y="0"/>
                                </a:lnTo>
                                <a:cubicBezTo>
                                  <a:pt x="1210276" y="0"/>
                                  <a:pt x="1220511" y="10388"/>
                                  <a:pt x="1220511" y="23202"/>
                                </a:cubicBezTo>
                                <a:lnTo>
                                  <a:pt x="1220511" y="139533"/>
                                </a:lnTo>
                                <a:cubicBezTo>
                                  <a:pt x="1220511" y="152347"/>
                                  <a:pt x="1210276" y="162736"/>
                                  <a:pt x="1197649" y="162736"/>
                                </a:cubicBezTo>
                                <a:lnTo>
                                  <a:pt x="22861" y="162736"/>
                                </a:lnTo>
                                <a:cubicBezTo>
                                  <a:pt x="10235" y="162736"/>
                                  <a:pt x="0" y="152347"/>
                                  <a:pt x="0" y="139533"/>
                                </a:cubicBezTo>
                                <a:lnTo>
                                  <a:pt x="0" y="23202"/>
                                </a:lnTo>
                                <a:cubicBezTo>
                                  <a:pt x="0" y="10388"/>
                                  <a:pt x="10235" y="0"/>
                                  <a:pt x="22861" y="0"/>
                                </a:cubicBezTo>
                                <a:close/>
                              </a:path>
                            </a:pathLst>
                          </a:custGeom>
                          <a:ln w="0" cap="flat">
                            <a:miter lim="127000"/>
                          </a:ln>
                        </wps:spPr>
                        <wps:style>
                          <a:lnRef idx="0">
                            <a:srgbClr val="000000">
                              <a:alpha val="0"/>
                            </a:srgbClr>
                          </a:lnRef>
                          <a:fillRef idx="1">
                            <a:srgbClr val="1B1E22">
                              <a:alpha val="5098"/>
                            </a:srgbClr>
                          </a:fillRef>
                          <a:effectRef idx="0">
                            <a:scrgbClr r="0" g="0" b="0"/>
                          </a:effectRef>
                          <a:fontRef idx="none"/>
                        </wps:style>
                        <wps:bodyPr/>
                      </wps:wsp>
                    </wpg:wgp>
                  </a:graphicData>
                </a:graphic>
              </wp:anchor>
            </w:drawing>
          </mc:Choice>
          <mc:Fallback xmlns:a="http://schemas.openxmlformats.org/drawingml/2006/main">
            <w:pict>
              <v:group id="Group 31475" style="width:96.1032pt;height:12.8138pt;position:absolute;z-index:-2147483461;mso-position-horizontal-relative:text;mso-position-horizontal:absolute;margin-left:118.928pt;mso-position-vertical-relative:text;margin-top:13.9866pt;" coordsize="12205,1627">
                <v:shape id="Shape 4838" style="position:absolute;width:12205;height:1627;left:0;top:0;" coordsize="1220511,162736" path="m22861,0l1197649,0c1210276,0,1220511,10388,1220511,23202l1220511,139533c1220511,152347,1210276,162736,1197649,162736l22861,162736c10235,162736,0,152347,0,139533l0,23202c0,10388,10235,0,22861,0x">
                  <v:stroke weight="0pt" endcap="flat" joinstyle="miter" miterlimit="10" on="false" color="#000000" opacity="0"/>
                  <v:fill on="true" color="#1b1e22" opacity="0.0509804"/>
                </v:shape>
              </v:group>
            </w:pict>
          </mc:Fallback>
        </mc:AlternateContent>
      </w:r>
      <w:r>
        <w:rPr>
          <w:rFonts w:ascii="微软雅黑" w:eastAsia="微软雅黑" w:hAnsi="微软雅黑" w:cs="微软雅黑"/>
          <w:b/>
          <w:sz w:val="19"/>
        </w:rPr>
        <w:t>图</w:t>
      </w:r>
      <w:r>
        <w:rPr>
          <w:rFonts w:ascii="微软雅黑" w:eastAsia="微软雅黑" w:hAnsi="微软雅黑" w:cs="微软雅黑"/>
          <w:sz w:val="19"/>
        </w:rPr>
        <w:t xml:space="preserve"> 5:</w:t>
      </w:r>
      <w:r>
        <w:rPr>
          <w:rFonts w:ascii="微软雅黑" w:eastAsia="微软雅黑" w:hAnsi="微软雅黑" w:cs="微软雅黑"/>
          <w:b/>
          <w:sz w:val="19"/>
        </w:rPr>
        <w:t>案例深描示例</w:t>
      </w:r>
      <w:r>
        <w:rPr>
          <w:rFonts w:ascii="微软雅黑" w:eastAsia="微软雅黑" w:hAnsi="微软雅黑" w:cs="微软雅黑"/>
          <w:sz w:val="19"/>
        </w:rPr>
        <w:t>(</w:t>
      </w:r>
      <w:r>
        <w:rPr>
          <w:rFonts w:ascii="微软雅黑" w:eastAsia="微软雅黑" w:hAnsi="微软雅黑" w:cs="微软雅黑"/>
          <w:b/>
          <w:sz w:val="19"/>
        </w:rPr>
        <w:t>样本</w:t>
      </w:r>
      <w:r>
        <w:rPr>
          <w:rFonts w:ascii="微软雅黑" w:eastAsia="微软雅黑" w:hAnsi="微软雅黑" w:cs="微软雅黑"/>
          <w:sz w:val="19"/>
        </w:rPr>
        <w:t xml:space="preserve"> #2673)</w:t>
      </w:r>
      <w:r>
        <w:rPr>
          <w:rFonts w:ascii="微软雅黑" w:eastAsia="微软雅黑" w:hAnsi="微软雅黑" w:cs="微软雅黑"/>
          <w:b/>
          <w:sz w:val="19"/>
        </w:rPr>
        <w:t>。</w:t>
      </w:r>
      <w:r>
        <w:rPr>
          <w:rFonts w:ascii="微软雅黑" w:eastAsia="微软雅黑" w:hAnsi="微软雅黑" w:cs="微软雅黑"/>
          <w:color w:val="24282E"/>
          <w:sz w:val="19"/>
        </w:rPr>
        <w:t xml:space="preserve"> 左:六通道 z-score 充电曲线;右:该样本 [CLS] 对 62 特征 token 的 top-12 关注。其余三个样本(#0、#2703、#2733)⻅ </w:t>
      </w:r>
      <w:r>
        <w:rPr>
          <w:rFonts w:ascii="微软雅黑" w:eastAsia="微软雅黑" w:hAnsi="微软雅黑" w:cs="微软雅黑"/>
          <w:color w:val="545454"/>
          <w:sz w:val="16"/>
        </w:rPr>
        <w:t xml:space="preserve">figures/case_*.png </w:t>
      </w:r>
      <w:r>
        <w:rPr>
          <w:rFonts w:ascii="微软雅黑" w:eastAsia="微软雅黑" w:hAnsi="微软雅黑" w:cs="微软雅黑"/>
          <w:color w:val="24282E"/>
          <w:sz w:val="19"/>
        </w:rPr>
        <w:t>⸺分别对应电流末段峰值型、电压塌陷型与枪温抬升型异常,展示了归因的样本级可读性。</w:t>
      </w:r>
    </w:p>
    <w:p w14:paraId="31F4782E" w14:textId="77777777" w:rsidR="005E4DC0" w:rsidRDefault="00931588">
      <w:pPr>
        <w:pStyle w:val="2"/>
        <w:ind w:left="6"/>
        <w:rPr>
          <w:rFonts w:hint="eastAsia"/>
        </w:rPr>
      </w:pPr>
      <w:r>
        <w:rPr>
          <w:b w:val="0"/>
        </w:rPr>
        <w:t xml:space="preserve">4.5 </w:t>
      </w:r>
      <w:r>
        <w:t>异常成因机制分析</w:t>
      </w:r>
      <w:r>
        <w:rPr>
          <w:b w:val="0"/>
          <w:color w:val="0366D6"/>
        </w:rPr>
        <w:t xml:space="preserve"> </w:t>
      </w:r>
    </w:p>
    <w:p w14:paraId="0AB34F23" w14:textId="77777777" w:rsidR="005E4DC0" w:rsidRDefault="00931588">
      <w:pPr>
        <w:spacing w:after="195" w:line="305" w:lineRule="auto"/>
        <w:ind w:left="6" w:hanging="10"/>
      </w:pPr>
      <w:r>
        <w:rPr>
          <w:rFonts w:ascii="微软雅黑" w:eastAsia="微软雅黑" w:hAnsi="微软雅黑" w:cs="微软雅黑"/>
          <w:color w:val="24282E"/>
          <w:sz w:val="19"/>
        </w:rPr>
        <w:t>前⽂ §4.3 归因回答了"哪些特征驱动判定",本节进⼀步回答"异常为何发⽣"⸺把相关性归因升级为机制与因果分析。数据⽆细粒度故障原因标签(仅有⼆值故障标注),故本节通过故障分型与终⽌⽅式对⽐,建⽴数据⽀撑的机制假设。</w:t>
      </w:r>
    </w:p>
    <w:p w14:paraId="1BEF9DB3" w14:textId="77777777" w:rsidR="005E4DC0" w:rsidRDefault="00931588">
      <w:pPr>
        <w:spacing w:after="235"/>
        <w:ind w:left="6" w:right="46" w:hanging="10"/>
        <w:jc w:val="both"/>
      </w:pPr>
      <w:r>
        <w:rPr>
          <w:rFonts w:ascii="微软雅黑" w:eastAsia="微软雅黑" w:hAnsi="微软雅黑" w:cs="微软雅黑"/>
          <w:b/>
          <w:sz w:val="19"/>
        </w:rPr>
        <w:t>统计⼝径说明</w:t>
      </w:r>
      <w:r>
        <w:rPr>
          <w:rFonts w:ascii="微软雅黑" w:eastAsia="微软雅黑" w:hAnsi="微软雅黑" w:cs="微软雅黑"/>
          <w:color w:val="24282E"/>
          <w:sz w:val="19"/>
        </w:rPr>
        <w:t>:本节机制分析的全部数值均取</w:t>
      </w:r>
      <w:r>
        <w:rPr>
          <w:rFonts w:ascii="微软雅黑" w:eastAsia="微软雅黑" w:hAnsi="微软雅黑" w:cs="微软雅黑"/>
          <w:b/>
          <w:sz w:val="19"/>
        </w:rPr>
        <w:t>中位数</w:t>
      </w:r>
      <w:r>
        <w:rPr>
          <w:rFonts w:ascii="微软雅黑" w:eastAsia="微软雅黑" w:hAnsi="微软雅黑" w:cs="微软雅黑"/>
          <w:color w:val="24282E"/>
          <w:sz w:val="19"/>
        </w:rPr>
        <w:t>(median,对偏态分布更稳健);§4.3 故障指纹表的数值为</w:t>
      </w:r>
      <w:r>
        <w:rPr>
          <w:rFonts w:ascii="微软雅黑" w:eastAsia="微软雅黑" w:hAnsi="微软雅黑" w:cs="微软雅黑"/>
          <w:b/>
          <w:sz w:val="19"/>
        </w:rPr>
        <w:t>均值</w:t>
      </w:r>
      <w:r>
        <w:rPr>
          <w:rFonts w:ascii="微软雅黑" w:eastAsia="微软雅黑" w:hAnsi="微软雅黑" w:cs="微软雅黑"/>
          <w:color w:val="24282E"/>
          <w:sz w:val="19"/>
        </w:rPr>
        <w:t>(mean)。两者⼝径不同,故同⼀指标在两处取值不同⸺末端 SOC 均值 78.7%/94.3% 对应中位数 84%/98%,充电时⻓均值 31.2/56.4 min 对应中位数 25/52 min⸺并⾮数据⽭盾,请按各⾃⼝径理解。</w:t>
      </w:r>
    </w:p>
    <w:p w14:paraId="5281A768" w14:textId="77777777" w:rsidR="005E4DC0" w:rsidRDefault="00931588">
      <w:pPr>
        <w:spacing w:after="4" w:line="305" w:lineRule="auto"/>
        <w:ind w:left="6" w:hanging="10"/>
      </w:pPr>
      <w:r>
        <w:rPr>
          <w:rFonts w:ascii="微软雅黑" w:eastAsia="微软雅黑" w:hAnsi="微软雅黑" w:cs="微软雅黑"/>
          <w:b/>
          <w:sz w:val="19"/>
        </w:rPr>
        <w:t>故障机制分型</w:t>
      </w:r>
      <w:r>
        <w:rPr>
          <w:rFonts w:ascii="微软雅黑" w:eastAsia="微软雅黑" w:hAnsi="微软雅黑" w:cs="微软雅黑"/>
          <w:color w:val="24282E"/>
          <w:sz w:val="19"/>
        </w:rPr>
        <w:t>:按签名特征将 129 个测试集故障分为两类:</w:t>
      </w:r>
    </w:p>
    <w:tbl>
      <w:tblPr>
        <w:tblStyle w:val="TableGrid"/>
        <w:tblW w:w="10908" w:type="dxa"/>
        <w:tblInd w:w="8" w:type="dxa"/>
        <w:tblCellMar>
          <w:left w:w="150" w:type="dxa"/>
          <w:right w:w="115" w:type="dxa"/>
        </w:tblCellMar>
        <w:tblLook w:val="04A0" w:firstRow="1" w:lastRow="0" w:firstColumn="1" w:lastColumn="0" w:noHBand="0" w:noVBand="1"/>
      </w:tblPr>
      <w:tblGrid>
        <w:gridCol w:w="2515"/>
        <w:gridCol w:w="1129"/>
        <w:gridCol w:w="3268"/>
        <w:gridCol w:w="3996"/>
      </w:tblGrid>
      <w:tr w:rsidR="005E4DC0" w14:paraId="37F34D1E" w14:textId="77777777">
        <w:trPr>
          <w:trHeight w:val="737"/>
        </w:trPr>
        <w:tc>
          <w:tcPr>
            <w:tcW w:w="2515"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53001048" w14:textId="77777777" w:rsidR="005E4DC0" w:rsidRDefault="00931588">
            <w:pPr>
              <w:ind w:right="38"/>
              <w:jc w:val="center"/>
            </w:pPr>
            <w:r>
              <w:rPr>
                <w:rFonts w:ascii="微软雅黑" w:eastAsia="微软雅黑" w:hAnsi="微软雅黑" w:cs="微软雅黑"/>
                <w:b/>
                <w:color w:val="24282E"/>
                <w:sz w:val="19"/>
              </w:rPr>
              <w:t>机制⼦类型</w:t>
            </w:r>
          </w:p>
        </w:tc>
        <w:tc>
          <w:tcPr>
            <w:tcW w:w="1129"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447D6948" w14:textId="77777777" w:rsidR="005E4DC0" w:rsidRDefault="00931588">
            <w:pPr>
              <w:spacing w:after="47"/>
              <w:ind w:left="88"/>
            </w:pPr>
            <w:r>
              <w:rPr>
                <w:rFonts w:ascii="微软雅黑" w:eastAsia="微软雅黑" w:hAnsi="微软雅黑" w:cs="微软雅黑"/>
                <w:b/>
                <w:color w:val="24282E"/>
                <w:sz w:val="19"/>
              </w:rPr>
              <w:t>数量</w:t>
            </w:r>
            <w:r>
              <w:rPr>
                <w:rFonts w:ascii="微软雅黑" w:eastAsia="微软雅黑" w:hAnsi="微软雅黑" w:cs="微软雅黑"/>
                <w:color w:val="24282E"/>
                <w:sz w:val="19"/>
              </w:rPr>
              <w:t>(</w:t>
            </w:r>
            <w:r>
              <w:rPr>
                <w:rFonts w:ascii="微软雅黑" w:eastAsia="微软雅黑" w:hAnsi="微软雅黑" w:cs="微软雅黑"/>
                <w:b/>
                <w:color w:val="24282E"/>
                <w:sz w:val="19"/>
              </w:rPr>
              <w:t>占</w:t>
            </w:r>
          </w:p>
          <w:p w14:paraId="1A3CC1CE" w14:textId="77777777" w:rsidR="005E4DC0" w:rsidRDefault="00931588">
            <w:pPr>
              <w:ind w:right="36"/>
              <w:jc w:val="center"/>
            </w:pPr>
            <w:r>
              <w:rPr>
                <w:rFonts w:ascii="微软雅黑" w:eastAsia="微软雅黑" w:hAnsi="微软雅黑" w:cs="微软雅黑"/>
                <w:b/>
                <w:color w:val="24282E"/>
                <w:sz w:val="19"/>
              </w:rPr>
              <w:t>⽐</w:t>
            </w:r>
            <w:r>
              <w:rPr>
                <w:rFonts w:ascii="微软雅黑" w:eastAsia="微软雅黑" w:hAnsi="微软雅黑" w:cs="微软雅黑"/>
                <w:color w:val="24282E"/>
                <w:sz w:val="19"/>
              </w:rPr>
              <w:t>)</w:t>
            </w:r>
          </w:p>
        </w:tc>
        <w:tc>
          <w:tcPr>
            <w:tcW w:w="3268"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27E3BCBA" w14:textId="77777777" w:rsidR="005E4DC0" w:rsidRDefault="00931588">
            <w:pPr>
              <w:ind w:right="34"/>
              <w:jc w:val="center"/>
            </w:pPr>
            <w:r>
              <w:rPr>
                <w:rFonts w:ascii="微软雅黑" w:eastAsia="微软雅黑" w:hAnsi="微软雅黑" w:cs="微软雅黑"/>
                <w:b/>
                <w:color w:val="24282E"/>
                <w:sz w:val="19"/>
              </w:rPr>
              <w:t>特征签名</w:t>
            </w:r>
            <w:r>
              <w:rPr>
                <w:rFonts w:ascii="微软雅黑" w:eastAsia="微软雅黑" w:hAnsi="微软雅黑" w:cs="微软雅黑"/>
                <w:color w:val="24282E"/>
                <w:sz w:val="19"/>
              </w:rPr>
              <w:t>(</w:t>
            </w:r>
            <w:r>
              <w:rPr>
                <w:rFonts w:ascii="微软雅黑" w:eastAsia="微软雅黑" w:hAnsi="微软雅黑" w:cs="微软雅黑"/>
                <w:b/>
                <w:color w:val="24282E"/>
                <w:sz w:val="19"/>
              </w:rPr>
              <w:t>中位</w:t>
            </w:r>
            <w:r>
              <w:rPr>
                <w:rFonts w:ascii="微软雅黑" w:eastAsia="微软雅黑" w:hAnsi="微软雅黑" w:cs="微软雅黑"/>
                <w:color w:val="24282E"/>
                <w:sz w:val="19"/>
              </w:rPr>
              <w:t>)</w:t>
            </w:r>
          </w:p>
        </w:tc>
        <w:tc>
          <w:tcPr>
            <w:tcW w:w="3996"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66CBEA95" w14:textId="77777777" w:rsidR="005E4DC0" w:rsidRDefault="00931588">
            <w:pPr>
              <w:ind w:right="36"/>
              <w:jc w:val="center"/>
            </w:pPr>
            <w:r>
              <w:rPr>
                <w:rFonts w:ascii="微软雅黑" w:eastAsia="微软雅黑" w:hAnsi="微软雅黑" w:cs="微软雅黑"/>
                <w:b/>
                <w:color w:val="24282E"/>
                <w:sz w:val="19"/>
              </w:rPr>
              <w:t>物理机制</w:t>
            </w:r>
          </w:p>
        </w:tc>
      </w:tr>
      <w:tr w:rsidR="005E4DC0" w14:paraId="5EBF35DC" w14:textId="77777777">
        <w:trPr>
          <w:trHeight w:val="737"/>
        </w:trPr>
        <w:tc>
          <w:tcPr>
            <w:tcW w:w="2515"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BE23C76" w14:textId="77777777" w:rsidR="005E4DC0" w:rsidRDefault="00931588">
            <w:pPr>
              <w:spacing w:after="48"/>
              <w:ind w:left="2"/>
            </w:pPr>
            <w:r>
              <w:rPr>
                <w:rFonts w:ascii="微软雅黑" w:eastAsia="微软雅黑" w:hAnsi="微软雅黑" w:cs="微软雅黑"/>
                <w:color w:val="24282E"/>
                <w:sz w:val="19"/>
              </w:rPr>
              <w:t>电⽓中断型(类型1: ⼯程上</w:t>
            </w:r>
          </w:p>
          <w:p w14:paraId="01363611" w14:textId="77777777" w:rsidR="005E4DC0" w:rsidRDefault="00931588">
            <w:pPr>
              <w:ind w:left="2"/>
            </w:pPr>
            <w:r>
              <w:rPr>
                <w:rFonts w:ascii="微软雅黑" w:eastAsia="微软雅黑" w:hAnsi="微软雅黑" w:cs="微软雅黑"/>
                <w:color w:val="24282E"/>
                <w:sz w:val="19"/>
              </w:rPr>
              <w:t>报)</w:t>
            </w:r>
          </w:p>
        </w:tc>
        <w:tc>
          <w:tcPr>
            <w:tcW w:w="112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7C4CA53" w14:textId="77777777" w:rsidR="005E4DC0" w:rsidRDefault="00931588">
            <w:pPr>
              <w:spacing w:after="35"/>
              <w:ind w:left="3"/>
            </w:pPr>
            <w:r>
              <w:rPr>
                <w:rFonts w:ascii="微软雅黑" w:eastAsia="微软雅黑" w:hAnsi="微软雅黑" w:cs="微软雅黑"/>
                <w:color w:val="24282E"/>
                <w:sz w:val="19"/>
              </w:rPr>
              <w:t>123</w:t>
            </w:r>
          </w:p>
          <w:p w14:paraId="739282B4" w14:textId="77777777" w:rsidR="005E4DC0" w:rsidRDefault="00931588">
            <w:pPr>
              <w:ind w:left="3"/>
            </w:pPr>
            <w:r>
              <w:rPr>
                <w:rFonts w:ascii="微软雅黑" w:eastAsia="微软雅黑" w:hAnsi="微软雅黑" w:cs="微软雅黑"/>
                <w:color w:val="24282E"/>
                <w:sz w:val="19"/>
              </w:rPr>
              <w:t>(95.3%)</w:t>
            </w:r>
          </w:p>
        </w:tc>
        <w:tc>
          <w:tcPr>
            <w:tcW w:w="3268"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56AD33B4" w14:textId="77777777" w:rsidR="005E4DC0" w:rsidRDefault="00931588">
            <w:r>
              <w:rPr>
                <w:rFonts w:ascii="微软雅黑" w:eastAsia="微软雅黑" w:hAnsi="微软雅黑" w:cs="微软雅黑"/>
                <w:color w:val="24282E"/>
                <w:sz w:val="19"/>
              </w:rPr>
              <w:t>枪温 38°C、末端功率 41.2kW、时 ⻓ 25min</w:t>
            </w:r>
          </w:p>
        </w:tc>
        <w:tc>
          <w:tcPr>
            <w:tcW w:w="3996"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DA56FCF" w14:textId="77777777" w:rsidR="005E4DC0" w:rsidRDefault="00931588">
            <w:pPr>
              <w:ind w:left="5"/>
            </w:pPr>
            <w:r>
              <w:rPr>
                <w:rFonts w:ascii="微软雅黑" w:eastAsia="微软雅黑" w:hAnsi="微软雅黑" w:cs="微软雅黑"/>
                <w:color w:val="24282E"/>
                <w:sz w:val="19"/>
              </w:rPr>
              <w:t>⾼电流段突然终⽌(短路/接触不良/电芯异常/ 保护性断开)</w:t>
            </w:r>
          </w:p>
        </w:tc>
      </w:tr>
      <w:tr w:rsidR="005E4DC0" w14:paraId="7647F4A3" w14:textId="77777777">
        <w:trPr>
          <w:trHeight w:val="737"/>
        </w:trPr>
        <w:tc>
          <w:tcPr>
            <w:tcW w:w="2515"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88214B5" w14:textId="77777777" w:rsidR="005E4DC0" w:rsidRDefault="00931588">
            <w:pPr>
              <w:ind w:left="2"/>
            </w:pPr>
            <w:r>
              <w:rPr>
                <w:rFonts w:ascii="微软雅黑" w:eastAsia="微软雅黑" w:hAnsi="微软雅黑" w:cs="微软雅黑"/>
                <w:color w:val="24282E"/>
                <w:sz w:val="19"/>
              </w:rPr>
              <w:t>超温型(类型2: 枪温过⾼⾃动断开)</w:t>
            </w:r>
          </w:p>
        </w:tc>
        <w:tc>
          <w:tcPr>
            <w:tcW w:w="112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1615126" w14:textId="77777777" w:rsidR="005E4DC0" w:rsidRDefault="00931588">
            <w:pPr>
              <w:ind w:left="3"/>
            </w:pPr>
            <w:r>
              <w:rPr>
                <w:rFonts w:ascii="微软雅黑" w:eastAsia="微软雅黑" w:hAnsi="微软雅黑" w:cs="微软雅黑"/>
                <w:color w:val="24282E"/>
                <w:sz w:val="19"/>
              </w:rPr>
              <w:t>6 (4.7%)</w:t>
            </w:r>
          </w:p>
        </w:tc>
        <w:tc>
          <w:tcPr>
            <w:tcW w:w="3268"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D730022" w14:textId="77777777" w:rsidR="005E4DC0" w:rsidRDefault="00931588">
            <w:r>
              <w:rPr>
                <w:rFonts w:ascii="微软雅黑" w:eastAsia="微软雅黑" w:hAnsi="微软雅黑" w:cs="微软雅黑"/>
                <w:color w:val="24282E"/>
                <w:sz w:val="19"/>
              </w:rPr>
              <w:t>枪温 60°C、末端功率 58.8kW、时⻓ 38min</w:t>
            </w:r>
          </w:p>
        </w:tc>
        <w:tc>
          <w:tcPr>
            <w:tcW w:w="3996"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FD916AE" w14:textId="77777777" w:rsidR="005E4DC0" w:rsidRDefault="00931588">
            <w:pPr>
              <w:ind w:left="5"/>
            </w:pPr>
            <w:r>
              <w:rPr>
                <w:rFonts w:ascii="微软雅黑" w:eastAsia="微软雅黑" w:hAnsi="微软雅黑" w:cs="微软雅黑"/>
                <w:color w:val="24282E"/>
                <w:sz w:val="19"/>
              </w:rPr>
              <w:t>热相关触发</w:t>
            </w:r>
          </w:p>
        </w:tc>
      </w:tr>
    </w:tbl>
    <w:p w14:paraId="418112EA" w14:textId="77777777" w:rsidR="005E4DC0" w:rsidRDefault="00931588">
      <w:pPr>
        <w:spacing w:after="315"/>
        <w:ind w:right="-9"/>
      </w:pPr>
      <w:r>
        <w:rPr>
          <w:noProof/>
        </w:rPr>
        <w:drawing>
          <wp:inline distT="0" distB="0" distL="0" distR="0" wp14:anchorId="5BF213F7" wp14:editId="70F4D3C7">
            <wp:extent cx="6936566" cy="2181662"/>
            <wp:effectExtent l="0" t="0" r="0" b="0"/>
            <wp:docPr id="5096" name="Picture 5096"/>
            <wp:cNvGraphicFramePr/>
            <a:graphic xmlns:a="http://schemas.openxmlformats.org/drawingml/2006/main">
              <a:graphicData uri="http://schemas.openxmlformats.org/drawingml/2006/picture">
                <pic:pic xmlns:pic="http://schemas.openxmlformats.org/drawingml/2006/picture">
                  <pic:nvPicPr>
                    <pic:cNvPr id="5096" name="Picture 5096"/>
                    <pic:cNvPicPr/>
                  </pic:nvPicPr>
                  <pic:blipFill>
                    <a:blip r:embed="rId14"/>
                    <a:stretch>
                      <a:fillRect/>
                    </a:stretch>
                  </pic:blipFill>
                  <pic:spPr>
                    <a:xfrm>
                      <a:off x="0" y="0"/>
                      <a:ext cx="6936566" cy="2181662"/>
                    </a:xfrm>
                    <a:prstGeom prst="rect">
                      <a:avLst/>
                    </a:prstGeom>
                  </pic:spPr>
                </pic:pic>
              </a:graphicData>
            </a:graphic>
          </wp:inline>
        </w:drawing>
      </w:r>
    </w:p>
    <w:p w14:paraId="0FBF8509" w14:textId="77777777" w:rsidR="005E4DC0" w:rsidRDefault="00931588">
      <w:pPr>
        <w:spacing w:after="48"/>
        <w:ind w:left="6" w:right="46" w:hanging="10"/>
        <w:jc w:val="both"/>
      </w:pPr>
      <w:r>
        <w:rPr>
          <w:rFonts w:ascii="微软雅黑" w:eastAsia="微软雅黑" w:hAnsi="微软雅黑" w:cs="微软雅黑"/>
          <w:b/>
          <w:sz w:val="19"/>
        </w:rPr>
        <w:t>图</w:t>
      </w:r>
      <w:r>
        <w:rPr>
          <w:rFonts w:ascii="微软雅黑" w:eastAsia="微软雅黑" w:hAnsi="微软雅黑" w:cs="微软雅黑"/>
          <w:sz w:val="19"/>
        </w:rPr>
        <w:t xml:space="preserve"> 6:</w:t>
      </w:r>
      <w:r>
        <w:rPr>
          <w:rFonts w:ascii="微软雅黑" w:eastAsia="微软雅黑" w:hAnsi="微软雅黑" w:cs="微软雅黑"/>
          <w:b/>
          <w:sz w:val="19"/>
        </w:rPr>
        <w:t>异常成因机制分析。</w:t>
      </w:r>
      <w:r>
        <w:rPr>
          <w:rFonts w:ascii="微软雅黑" w:eastAsia="微软雅黑" w:hAnsi="微软雅黑" w:cs="微软雅黑"/>
          <w:color w:val="24282E"/>
          <w:sz w:val="19"/>
        </w:rPr>
        <w:t xml:space="preserve"> (a) 故障机制分型(电⽓中断型 95.3% vs 超温型 4.7%);(b) 末端功率占⽐⸺正常充电衰减到涓流(峰值</w:t>
      </w:r>
    </w:p>
    <w:p w14:paraId="415F5E92" w14:textId="77777777" w:rsidR="005E4DC0" w:rsidRDefault="00931588">
      <w:pPr>
        <w:spacing w:after="4" w:line="305" w:lineRule="auto"/>
        <w:ind w:left="6" w:hanging="10"/>
      </w:pPr>
      <w:r>
        <w:rPr>
          <w:rFonts w:ascii="微软雅黑" w:eastAsia="微软雅黑" w:hAnsi="微软雅黑" w:cs="微软雅黑"/>
          <w:color w:val="24282E"/>
          <w:sz w:val="19"/>
        </w:rPr>
        <w:t>24%),故障未衰减(峰值 98%)= 异常中断;(c) 枪温×时⻓⸺温度是充电时⻓的伴随结果⽽⾮中断原因。</w:t>
      </w:r>
      <w:r>
        <w:rPr>
          <w:rFonts w:ascii="微软雅黑" w:eastAsia="微软雅黑" w:hAnsi="微软雅黑" w:cs="微软雅黑"/>
          <w:b/>
          <w:sz w:val="19"/>
        </w:rPr>
        <w:t>终⽌⽅式对⽐</w:t>
      </w:r>
      <w:r>
        <w:rPr>
          <w:rFonts w:ascii="微软雅黑" w:eastAsia="微软雅黑" w:hAnsi="微软雅黑" w:cs="微软雅黑"/>
          <w:sz w:val="19"/>
        </w:rPr>
        <w:t>(</w:t>
      </w:r>
      <w:r>
        <w:rPr>
          <w:rFonts w:ascii="微软雅黑" w:eastAsia="微软雅黑" w:hAnsi="微软雅黑" w:cs="微软雅黑"/>
          <w:b/>
          <w:sz w:val="19"/>
        </w:rPr>
        <w:t>中断的直接证据</w:t>
      </w:r>
      <w:r>
        <w:rPr>
          <w:rFonts w:ascii="微软雅黑" w:eastAsia="微软雅黑" w:hAnsi="微软雅黑" w:cs="微软雅黑"/>
          <w:sz w:val="19"/>
        </w:rPr>
        <w:t>)</w:t>
      </w:r>
      <w:r>
        <w:rPr>
          <w:rFonts w:ascii="微软雅黑" w:eastAsia="微软雅黑" w:hAnsi="微软雅黑" w:cs="微软雅黑"/>
          <w:color w:val="24282E"/>
          <w:sz w:val="19"/>
        </w:rPr>
        <w:t>:正常充电在接近充满时功率衰减⾄涓流(末端功率仅为峰值 24%、末端 SOC 98%),⽽故障序列在功率未衰减(末端功率仍为峰值 98%)状态下即终⽌(末端 SOC 仅 84%)。这⼀对⽐表明:故障的本质是"⾼功率充电被异常终⽌",⽽</w:t>
      </w:r>
    </w:p>
    <w:p w14:paraId="02BBD8A4" w14:textId="77777777" w:rsidR="005E4DC0" w:rsidRDefault="00931588">
      <w:pPr>
        <w:spacing w:after="205" w:line="305" w:lineRule="auto"/>
        <w:ind w:left="6" w:hanging="10"/>
      </w:pPr>
      <w:r>
        <w:rPr>
          <w:rFonts w:ascii="微软雅黑" w:eastAsia="微软雅黑" w:hAnsi="微软雅黑" w:cs="微软雅黑"/>
          <w:color w:val="24282E"/>
          <w:sz w:val="19"/>
        </w:rPr>
        <w:t>⾮"正常充满后的结束"。</w:t>
      </w:r>
    </w:p>
    <w:p w14:paraId="7B72B7A2" w14:textId="77777777" w:rsidR="005E4DC0" w:rsidRDefault="00931588">
      <w:pPr>
        <w:spacing w:after="4" w:line="305" w:lineRule="auto"/>
        <w:ind w:left="6" w:hanging="10"/>
      </w:pPr>
      <w:r>
        <w:rPr>
          <w:rFonts w:ascii="微软雅黑" w:eastAsia="微软雅黑" w:hAnsi="微软雅黑" w:cs="微软雅黑"/>
          <w:b/>
          <w:sz w:val="19"/>
        </w:rPr>
        <w:t>时序因果链</w:t>
      </w:r>
      <w:r>
        <w:rPr>
          <w:rFonts w:ascii="微软雅黑" w:eastAsia="微软雅黑" w:hAnsi="微软雅黑" w:cs="微软雅黑"/>
          <w:sz w:val="19"/>
        </w:rPr>
        <w:t>(</w:t>
      </w:r>
      <w:r>
        <w:rPr>
          <w:rFonts w:ascii="微软雅黑" w:eastAsia="微软雅黑" w:hAnsi="微软雅黑" w:cs="微软雅黑"/>
          <w:b/>
          <w:sz w:val="19"/>
        </w:rPr>
        <w:t>前兆</w:t>
      </w:r>
      <w:r>
        <w:rPr>
          <w:rFonts w:ascii="微软雅黑" w:eastAsia="微软雅黑" w:hAnsi="微软雅黑" w:cs="微软雅黑"/>
          <w:sz w:val="19"/>
        </w:rPr>
        <w:t>→</w:t>
      </w:r>
      <w:r>
        <w:rPr>
          <w:rFonts w:ascii="微软雅黑" w:eastAsia="微软雅黑" w:hAnsi="微软雅黑" w:cs="微软雅黑"/>
          <w:b/>
          <w:sz w:val="19"/>
        </w:rPr>
        <w:t>中断</w:t>
      </w:r>
      <w:r>
        <w:rPr>
          <w:rFonts w:ascii="微软雅黑" w:eastAsia="微软雅黑" w:hAnsi="微软雅黑" w:cs="微软雅黑"/>
          <w:sz w:val="19"/>
        </w:rPr>
        <w:t>→</w:t>
      </w:r>
      <w:r>
        <w:rPr>
          <w:rFonts w:ascii="微软雅黑" w:eastAsia="微软雅黑" w:hAnsi="微软雅黑" w:cs="微软雅黑"/>
          <w:b/>
          <w:sz w:val="19"/>
        </w:rPr>
        <w:t>后果</w:t>
      </w:r>
      <w:r>
        <w:rPr>
          <w:rFonts w:ascii="微软雅黑" w:eastAsia="微软雅黑" w:hAnsi="微软雅黑" w:cs="微软雅黑"/>
          <w:sz w:val="19"/>
        </w:rPr>
        <w:t>,</w:t>
      </w:r>
      <w:r>
        <w:rPr>
          <w:rFonts w:ascii="微软雅黑" w:eastAsia="微软雅黑" w:hAnsi="微软雅黑" w:cs="微软雅黑"/>
          <w:b/>
          <w:sz w:val="19"/>
        </w:rPr>
        <w:t>数值为中位数</w:t>
      </w:r>
      <w:r>
        <w:rPr>
          <w:rFonts w:ascii="微软雅黑" w:eastAsia="微软雅黑" w:hAnsi="微软雅黑" w:cs="微软雅黑"/>
          <w:sz w:val="19"/>
        </w:rPr>
        <w:t>)</w:t>
      </w:r>
      <w:r>
        <w:rPr>
          <w:rFonts w:ascii="微软雅黑" w:eastAsia="微软雅黑" w:hAnsi="微软雅黑" w:cs="微软雅黑"/>
          <w:color w:val="24282E"/>
          <w:sz w:val="19"/>
        </w:rPr>
        <w:t>:对每条序列的终⽌阶段(最后 20% 步⻓)做信号模式对⽐,将故障在时间上的展开建⽴为如下因果链:</w:t>
      </w:r>
    </w:p>
    <w:tbl>
      <w:tblPr>
        <w:tblStyle w:val="TableGrid"/>
        <w:tblW w:w="10908" w:type="dxa"/>
        <w:tblInd w:w="8" w:type="dxa"/>
        <w:tblCellMar>
          <w:left w:w="151" w:type="dxa"/>
          <w:right w:w="115" w:type="dxa"/>
        </w:tblCellMar>
        <w:tblLook w:val="04A0" w:firstRow="1" w:lastRow="0" w:firstColumn="1" w:lastColumn="0" w:noHBand="0" w:noVBand="1"/>
      </w:tblPr>
      <w:tblGrid>
        <w:gridCol w:w="497"/>
        <w:gridCol w:w="3444"/>
        <w:gridCol w:w="3764"/>
        <w:gridCol w:w="3203"/>
      </w:tblGrid>
      <w:tr w:rsidR="005E4DC0" w14:paraId="37A7D55E" w14:textId="77777777">
        <w:trPr>
          <w:trHeight w:val="737"/>
        </w:trPr>
        <w:tc>
          <w:tcPr>
            <w:tcW w:w="497"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7AFBBA8F" w14:textId="77777777" w:rsidR="005E4DC0" w:rsidRDefault="00931588">
            <w:pPr>
              <w:ind w:left="1"/>
            </w:pPr>
            <w:r>
              <w:rPr>
                <w:rFonts w:ascii="微软雅黑" w:eastAsia="微软雅黑" w:hAnsi="微软雅黑" w:cs="微软雅黑"/>
                <w:b/>
                <w:color w:val="24282E"/>
                <w:sz w:val="19"/>
              </w:rPr>
              <w:t>环节</w:t>
            </w:r>
          </w:p>
        </w:tc>
        <w:tc>
          <w:tcPr>
            <w:tcW w:w="3444"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263108B2" w14:textId="77777777" w:rsidR="005E4DC0" w:rsidRDefault="00931588">
            <w:pPr>
              <w:ind w:right="42"/>
              <w:jc w:val="center"/>
            </w:pPr>
            <w:r>
              <w:rPr>
                <w:rFonts w:ascii="微软雅黑" w:eastAsia="微软雅黑" w:hAnsi="微软雅黑" w:cs="微软雅黑"/>
                <w:b/>
                <w:color w:val="24282E"/>
                <w:sz w:val="19"/>
              </w:rPr>
              <w:t>正常充电</w:t>
            </w:r>
          </w:p>
        </w:tc>
        <w:tc>
          <w:tcPr>
            <w:tcW w:w="3764"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42275B2C" w14:textId="77777777" w:rsidR="005E4DC0" w:rsidRDefault="00931588">
            <w:pPr>
              <w:ind w:right="41"/>
              <w:jc w:val="center"/>
            </w:pPr>
            <w:r>
              <w:rPr>
                <w:rFonts w:ascii="微软雅黑" w:eastAsia="微软雅黑" w:hAnsi="微软雅黑" w:cs="微软雅黑"/>
                <w:b/>
                <w:color w:val="24282E"/>
                <w:sz w:val="19"/>
              </w:rPr>
              <w:t>故障充电</w:t>
            </w:r>
          </w:p>
        </w:tc>
        <w:tc>
          <w:tcPr>
            <w:tcW w:w="3203"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7AE17DE6" w14:textId="77777777" w:rsidR="005E4DC0" w:rsidRDefault="00931588">
            <w:pPr>
              <w:ind w:right="40"/>
              <w:jc w:val="center"/>
            </w:pPr>
            <w:r>
              <w:rPr>
                <w:rFonts w:ascii="微软雅黑" w:eastAsia="微软雅黑" w:hAnsi="微软雅黑" w:cs="微软雅黑"/>
                <w:b/>
                <w:color w:val="24282E"/>
                <w:sz w:val="19"/>
              </w:rPr>
              <w:t>物理含义</w:t>
            </w:r>
          </w:p>
        </w:tc>
      </w:tr>
      <w:tr w:rsidR="005E4DC0" w14:paraId="00FA3084" w14:textId="77777777">
        <w:trPr>
          <w:trHeight w:val="737"/>
        </w:trPr>
        <w:tc>
          <w:tcPr>
            <w:tcW w:w="49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CB157E2" w14:textId="77777777" w:rsidR="005E4DC0" w:rsidRDefault="00931588">
            <w:pPr>
              <w:ind w:left="1"/>
            </w:pPr>
            <w:r>
              <w:rPr>
                <w:rFonts w:ascii="微软雅黑" w:eastAsia="微软雅黑" w:hAnsi="微软雅黑" w:cs="微软雅黑"/>
                <w:color w:val="24282E"/>
                <w:sz w:val="19"/>
              </w:rPr>
              <w:t>前兆</w:t>
            </w:r>
          </w:p>
        </w:tc>
        <w:tc>
          <w:tcPr>
            <w:tcW w:w="3444"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A853FAE" w14:textId="77777777" w:rsidR="005E4DC0" w:rsidRDefault="00931588">
            <w:pPr>
              <w:spacing w:after="38"/>
            </w:pPr>
            <w:r>
              <w:rPr>
                <w:rFonts w:ascii="微软雅黑" w:eastAsia="微软雅黑" w:hAnsi="微软雅黑" w:cs="微软雅黑"/>
                <w:color w:val="24282E"/>
                <w:sz w:val="19"/>
              </w:rPr>
              <w:t>功率已开始涓流衰减(归⼀化斜率</w:t>
            </w:r>
          </w:p>
          <w:p w14:paraId="64E8FA75" w14:textId="77777777" w:rsidR="005E4DC0" w:rsidRDefault="00931588">
            <w:r>
              <w:rPr>
                <w:rFonts w:ascii="微软雅黑" w:eastAsia="微软雅黑" w:hAnsi="微软雅黑" w:cs="微软雅黑"/>
                <w:color w:val="24282E"/>
                <w:sz w:val="19"/>
              </w:rPr>
              <w:t>−0.020/步)</w:t>
            </w:r>
          </w:p>
        </w:tc>
        <w:tc>
          <w:tcPr>
            <w:tcW w:w="3764"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58DD4B45" w14:textId="77777777" w:rsidR="005E4DC0" w:rsidRDefault="00931588">
            <w:r>
              <w:rPr>
                <w:rFonts w:ascii="微软雅黑" w:eastAsia="微软雅黑" w:hAnsi="微软雅黑" w:cs="微软雅黑"/>
                <w:color w:val="24282E"/>
                <w:sz w:val="19"/>
              </w:rPr>
              <w:t>功率保持⾼位、未衰减(斜率 ≈0)</w:t>
            </w:r>
          </w:p>
        </w:tc>
        <w:tc>
          <w:tcPr>
            <w:tcW w:w="320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C9D7E11" w14:textId="77777777" w:rsidR="005E4DC0" w:rsidRDefault="00931588">
            <w:pPr>
              <w:ind w:left="1"/>
            </w:pPr>
            <w:r>
              <w:rPr>
                <w:rFonts w:ascii="微软雅黑" w:eastAsia="微软雅黑" w:hAnsi="微软雅黑" w:cs="微软雅黑"/>
                <w:color w:val="24282E"/>
                <w:sz w:val="19"/>
              </w:rPr>
              <w:t>"功率未按充电进程预期衰减"是可检测的预警信号</w:t>
            </w:r>
          </w:p>
        </w:tc>
      </w:tr>
      <w:tr w:rsidR="005E4DC0" w14:paraId="0331D151" w14:textId="77777777">
        <w:trPr>
          <w:trHeight w:val="737"/>
        </w:trPr>
        <w:tc>
          <w:tcPr>
            <w:tcW w:w="49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1923DF5E" w14:textId="77777777" w:rsidR="005E4DC0" w:rsidRDefault="00931588">
            <w:pPr>
              <w:ind w:left="1"/>
            </w:pPr>
            <w:r>
              <w:rPr>
                <w:rFonts w:ascii="微软雅黑" w:eastAsia="微软雅黑" w:hAnsi="微软雅黑" w:cs="微软雅黑"/>
                <w:color w:val="24282E"/>
                <w:sz w:val="19"/>
              </w:rPr>
              <w:t>中断</w:t>
            </w:r>
          </w:p>
        </w:tc>
        <w:tc>
          <w:tcPr>
            <w:tcW w:w="3444"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103CE175" w14:textId="77777777" w:rsidR="005E4DC0" w:rsidRDefault="00931588">
            <w:r>
              <w:rPr>
                <w:rFonts w:ascii="微软雅黑" w:eastAsia="微软雅黑" w:hAnsi="微软雅黑" w:cs="微软雅黑"/>
                <w:color w:val="24282E"/>
                <w:sz w:val="19"/>
              </w:rPr>
              <w:t>功率衰减到峰值 24% 后结束</w:t>
            </w:r>
          </w:p>
        </w:tc>
        <w:tc>
          <w:tcPr>
            <w:tcW w:w="3764"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AA20F59" w14:textId="77777777" w:rsidR="005E4DC0" w:rsidRDefault="00931588">
            <w:r>
              <w:rPr>
                <w:rFonts w:ascii="微软雅黑" w:eastAsia="微软雅黑" w:hAnsi="微软雅黑" w:cs="微软雅黑"/>
                <w:color w:val="24282E"/>
                <w:sz w:val="19"/>
              </w:rPr>
              <w:t>功率仍为峰值 98% 时突然终⽌</w:t>
            </w:r>
          </w:p>
        </w:tc>
        <w:tc>
          <w:tcPr>
            <w:tcW w:w="320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6339041" w14:textId="77777777" w:rsidR="005E4DC0" w:rsidRDefault="00931588">
            <w:pPr>
              <w:ind w:left="1"/>
            </w:pPr>
            <w:r>
              <w:rPr>
                <w:rFonts w:ascii="微软雅黑" w:eastAsia="微软雅黑" w:hAnsi="微软雅黑" w:cs="微软雅黑"/>
                <w:color w:val="24282E"/>
                <w:sz w:val="19"/>
              </w:rPr>
              <w:t>⾼功率段异常终⽌</w:t>
            </w:r>
          </w:p>
        </w:tc>
      </w:tr>
      <w:tr w:rsidR="005E4DC0" w14:paraId="1E18F954" w14:textId="77777777">
        <w:trPr>
          <w:trHeight w:val="737"/>
        </w:trPr>
        <w:tc>
          <w:tcPr>
            <w:tcW w:w="49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937B508" w14:textId="77777777" w:rsidR="005E4DC0" w:rsidRDefault="00931588">
            <w:pPr>
              <w:ind w:left="1"/>
            </w:pPr>
            <w:r>
              <w:rPr>
                <w:rFonts w:ascii="微软雅黑" w:eastAsia="微软雅黑" w:hAnsi="微软雅黑" w:cs="微软雅黑"/>
                <w:color w:val="24282E"/>
                <w:sz w:val="19"/>
              </w:rPr>
              <w:t>后果</w:t>
            </w:r>
          </w:p>
        </w:tc>
        <w:tc>
          <w:tcPr>
            <w:tcW w:w="3444"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5928B043" w14:textId="77777777" w:rsidR="005E4DC0" w:rsidRDefault="00931588">
            <w:pPr>
              <w:spacing w:after="42"/>
            </w:pPr>
            <w:r>
              <w:rPr>
                <w:rFonts w:ascii="微软雅黑" w:eastAsia="微软雅黑" w:hAnsi="微软雅黑" w:cs="微软雅黑"/>
                <w:color w:val="24282E"/>
                <w:sz w:val="19"/>
              </w:rPr>
              <w:t>SOC 充满(98%)、温度进⼊平稳期</w:t>
            </w:r>
          </w:p>
          <w:p w14:paraId="08FEE3F4" w14:textId="77777777" w:rsidR="005E4DC0" w:rsidRDefault="00931588">
            <w:r>
              <w:rPr>
                <w:rFonts w:ascii="微软雅黑" w:eastAsia="微软雅黑" w:hAnsi="微软雅黑" w:cs="微软雅黑"/>
                <w:color w:val="24282E"/>
                <w:sz w:val="19"/>
              </w:rPr>
              <w:t>(速率 −0.06°C/步)</w:t>
            </w:r>
          </w:p>
        </w:tc>
        <w:tc>
          <w:tcPr>
            <w:tcW w:w="3764"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57BCF20" w14:textId="77777777" w:rsidR="005E4DC0" w:rsidRDefault="00931588">
            <w:pPr>
              <w:spacing w:after="44"/>
            </w:pPr>
            <w:r>
              <w:rPr>
                <w:rFonts w:ascii="微软雅黑" w:eastAsia="微软雅黑" w:hAnsi="微软雅黑" w:cs="微软雅黑"/>
                <w:color w:val="24282E"/>
                <w:sz w:val="19"/>
              </w:rPr>
              <w:t>SOC 未满(84%)、温度仍在上升中被掐</w:t>
            </w:r>
          </w:p>
          <w:p w14:paraId="69C5BD0A" w14:textId="77777777" w:rsidR="005E4DC0" w:rsidRDefault="00931588">
            <w:r>
              <w:rPr>
                <w:rFonts w:ascii="微软雅黑" w:eastAsia="微软雅黑" w:hAnsi="微软雅黑" w:cs="微软雅黑"/>
                <w:color w:val="24282E"/>
                <w:sz w:val="19"/>
              </w:rPr>
              <w:t>断(速率 +0.2°C/步)</w:t>
            </w:r>
          </w:p>
        </w:tc>
        <w:tc>
          <w:tcPr>
            <w:tcW w:w="320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61F20E3C" w14:textId="77777777" w:rsidR="005E4DC0" w:rsidRDefault="00931588">
            <w:pPr>
              <w:ind w:left="1"/>
            </w:pPr>
            <w:r>
              <w:rPr>
                <w:rFonts w:ascii="微软雅黑" w:eastAsia="微软雅黑" w:hAnsi="微软雅黑" w:cs="微软雅黑"/>
                <w:color w:val="24282E"/>
                <w:sz w:val="19"/>
              </w:rPr>
              <w:t>提前终⽌导致 SOC 未满、温度未累积</w:t>
            </w:r>
          </w:p>
        </w:tc>
      </w:tr>
    </w:tbl>
    <w:p w14:paraId="3F21C3B6" w14:textId="77777777" w:rsidR="005E4DC0" w:rsidRDefault="00931588">
      <w:pPr>
        <w:spacing w:after="194" w:line="305" w:lineRule="auto"/>
        <w:ind w:left="6" w:hanging="10"/>
      </w:pPr>
      <w:r>
        <w:rPr>
          <w:rFonts w:ascii="微软雅黑" w:eastAsia="微软雅黑" w:hAnsi="微软雅黑" w:cs="微软雅黑"/>
          <w:color w:val="24282E"/>
          <w:sz w:val="19"/>
        </w:rPr>
        <w:t>这⼀因果链把"故障是什么"与"故障何时可预警"统⼀起来:故障的前兆并⾮某个突变,⽽是"功率未按充电进程预期衰减"⸺这为实时监测提供了可操作的预警依据(当 SOC 已较⾼⽽功率仍未衰减时告警)。</w:t>
      </w:r>
    </w:p>
    <w:p w14:paraId="0D5DFFCD" w14:textId="77777777" w:rsidR="005E4DC0" w:rsidRDefault="00931588">
      <w:pPr>
        <w:spacing w:after="51"/>
        <w:ind w:left="6" w:right="46" w:hanging="10"/>
        <w:jc w:val="both"/>
      </w:pPr>
      <w:r>
        <w:rPr>
          <w:rFonts w:ascii="微软雅黑" w:eastAsia="微软雅黑" w:hAnsi="微软雅黑" w:cs="微软雅黑"/>
          <w:b/>
          <w:sz w:val="19"/>
        </w:rPr>
        <w:t>温度的因果⻆⾊</w:t>
      </w:r>
      <w:r>
        <w:rPr>
          <w:rFonts w:ascii="微软雅黑" w:eastAsia="微软雅黑" w:hAnsi="微软雅黑" w:cs="微软雅黑"/>
          <w:color w:val="24282E"/>
          <w:sz w:val="19"/>
        </w:rPr>
        <w:t>:故障样本枪温最⼤值中位数(38°C)反⽽低于正常样本(48°C),且故障时⻓中位数(25min)短于正常(52min)。这说</w:t>
      </w:r>
    </w:p>
    <w:p w14:paraId="6A2B176A" w14:textId="77777777" w:rsidR="005E4DC0" w:rsidRDefault="00931588">
      <w:pPr>
        <w:spacing w:after="4" w:line="305" w:lineRule="auto"/>
        <w:ind w:left="6" w:hanging="10"/>
      </w:pPr>
      <w:r>
        <w:rPr>
          <w:rFonts w:ascii="微软雅黑" w:eastAsia="微软雅黑" w:hAnsi="微软雅黑" w:cs="微软雅黑"/>
          <w:color w:val="24282E"/>
          <w:sz w:val="19"/>
        </w:rPr>
        <w:t>明温度升⾼是"充电时⻓的伴随结果"⽽⾮"故障的原因"⸺故障因提前终⽌⽽未充分累积热量;唯⼀例外是超温型(6 例):枪温达</w:t>
      </w:r>
    </w:p>
    <w:p w14:paraId="122E2357" w14:textId="77777777" w:rsidR="005E4DC0" w:rsidRDefault="00931588">
      <w:pPr>
        <w:spacing w:after="51"/>
        <w:ind w:left="6" w:right="46" w:hanging="10"/>
        <w:jc w:val="both"/>
      </w:pPr>
      <w:r>
        <w:rPr>
          <w:rFonts w:ascii="微软雅黑" w:eastAsia="微软雅黑" w:hAnsi="微软雅黑" w:cs="微软雅黑"/>
          <w:color w:val="24282E"/>
          <w:sz w:val="19"/>
        </w:rPr>
        <w:t>60°C、时⻓ 38min,温度是触发断开的"前兆/原因"。需进⼀步说明:温度与时⻓仅呈弱相关(r≈0.13),故温度并⾮单纯的"时⻓代理",</w:t>
      </w:r>
    </w:p>
    <w:p w14:paraId="0F0E6E51" w14:textId="77777777" w:rsidR="005E4DC0" w:rsidRDefault="00931588">
      <w:pPr>
        <w:spacing w:after="4" w:line="305" w:lineRule="auto"/>
        <w:ind w:left="6" w:hanging="10"/>
      </w:pPr>
      <w:r>
        <w:rPr>
          <w:rFonts w:ascii="微软雅黑" w:eastAsia="微软雅黑" w:hAnsi="微软雅黑" w:cs="微软雅黑"/>
          <w:color w:val="24282E"/>
          <w:sz w:val="19"/>
        </w:rPr>
        <w:t>⽽是编码了充电电流曲线、电池类型等更丰富的充电过程状态⸺这也解释了为何温度特征在归因中居⾸(置换重要性 t2_max</w:t>
      </w:r>
    </w:p>
    <w:p w14:paraId="37AAC542" w14:textId="7FE60D6E" w:rsidR="005E4DC0" w:rsidRDefault="00C1108C">
      <w:pPr>
        <w:spacing w:after="235"/>
        <w:ind w:left="6" w:right="46" w:hanging="10"/>
        <w:jc w:val="both"/>
      </w:pPr>
      <w:r>
        <w:rPr>
          <w:rFonts w:ascii="微软雅黑" w:eastAsia="微软雅黑" w:hAnsi="微软雅黑" w:cs="微软雅黑"/>
          <w:color w:val="24282E"/>
          <w:sz w:val="19"/>
        </w:rPr>
        <w:t>ΔPR-AUC=0.488</w:t>
      </w:r>
      <w:r w:rsidR="00931588">
        <w:rPr>
          <w:rFonts w:ascii="微软雅黑" w:eastAsia="微软雅黑" w:hAnsi="微软雅黑" w:cs="微软雅黑"/>
          <w:color w:val="24282E"/>
          <w:sz w:val="19"/>
        </w:rPr>
        <w:t>):它们浓缩了整个充电过程的判别信息,⽽⾮单⼀的"过热"信号。</w:t>
      </w:r>
    </w:p>
    <w:p w14:paraId="2D5E58C8" w14:textId="77777777" w:rsidR="005E4DC0" w:rsidRDefault="00931588">
      <w:pPr>
        <w:spacing w:after="0"/>
        <w:ind w:left="6" w:right="46" w:hanging="10"/>
        <w:jc w:val="both"/>
      </w:pPr>
      <w:r>
        <w:rPr>
          <w:rFonts w:ascii="微软雅黑" w:eastAsia="微软雅黑" w:hAnsi="微软雅黑" w:cs="微软雅黑"/>
          <w:b/>
          <w:sz w:val="19"/>
        </w:rPr>
        <w:t>机制</w:t>
      </w:r>
      <w:r>
        <w:rPr>
          <w:rFonts w:ascii="微软雅黑" w:eastAsia="微软雅黑" w:hAnsi="微软雅黑" w:cs="微软雅黑"/>
          <w:sz w:val="19"/>
        </w:rPr>
        <w:t>-</w:t>
      </w:r>
      <w:r>
        <w:rPr>
          <w:rFonts w:ascii="微软雅黑" w:eastAsia="微软雅黑" w:hAnsi="微软雅黑" w:cs="微软雅黑"/>
          <w:b/>
          <w:sz w:val="19"/>
        </w:rPr>
        <w:t>特征</w:t>
      </w:r>
      <w:r>
        <w:rPr>
          <w:rFonts w:ascii="微软雅黑" w:eastAsia="微软雅黑" w:hAnsi="微软雅黑" w:cs="微软雅黑"/>
          <w:sz w:val="19"/>
        </w:rPr>
        <w:t>-</w:t>
      </w:r>
      <w:r>
        <w:rPr>
          <w:rFonts w:ascii="微软雅黑" w:eastAsia="微软雅黑" w:hAnsi="微软雅黑" w:cs="微软雅黑"/>
          <w:b/>
          <w:sz w:val="19"/>
        </w:rPr>
        <w:t>运维建议映射</w:t>
      </w:r>
      <w:r>
        <w:rPr>
          <w:rFonts w:ascii="微软雅黑" w:eastAsia="微软雅黑" w:hAnsi="微软雅黑" w:cs="微软雅黑"/>
          <w:color w:val="24282E"/>
          <w:sz w:val="19"/>
        </w:rPr>
        <w:t>(结合 §4.3 三路归因):</w:t>
      </w:r>
    </w:p>
    <w:tbl>
      <w:tblPr>
        <w:tblStyle w:val="TableGrid"/>
        <w:tblW w:w="10908" w:type="dxa"/>
        <w:tblInd w:w="8" w:type="dxa"/>
        <w:tblCellMar>
          <w:left w:w="148" w:type="dxa"/>
          <w:right w:w="115" w:type="dxa"/>
        </w:tblCellMar>
        <w:tblLook w:val="04A0" w:firstRow="1" w:lastRow="0" w:firstColumn="1" w:lastColumn="0" w:noHBand="0" w:noVBand="1"/>
      </w:tblPr>
      <w:tblGrid>
        <w:gridCol w:w="2395"/>
        <w:gridCol w:w="2010"/>
        <w:gridCol w:w="3404"/>
        <w:gridCol w:w="3099"/>
      </w:tblGrid>
      <w:tr w:rsidR="005E4DC0" w14:paraId="5FBB2B0C" w14:textId="77777777">
        <w:trPr>
          <w:trHeight w:val="448"/>
        </w:trPr>
        <w:tc>
          <w:tcPr>
            <w:tcW w:w="2395"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1780C866" w14:textId="77777777" w:rsidR="005E4DC0" w:rsidRDefault="00931588">
            <w:pPr>
              <w:ind w:right="33"/>
              <w:jc w:val="center"/>
            </w:pPr>
            <w:r>
              <w:rPr>
                <w:rFonts w:ascii="微软雅黑" w:eastAsia="微软雅黑" w:hAnsi="微软雅黑" w:cs="微软雅黑"/>
                <w:b/>
                <w:color w:val="24282E"/>
                <w:sz w:val="19"/>
              </w:rPr>
              <w:t>特征</w:t>
            </w:r>
          </w:p>
        </w:tc>
        <w:tc>
          <w:tcPr>
            <w:tcW w:w="2010"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4294BF6E" w14:textId="77777777" w:rsidR="005E4DC0" w:rsidRDefault="00931588">
            <w:pPr>
              <w:ind w:right="34"/>
              <w:jc w:val="center"/>
            </w:pPr>
            <w:r>
              <w:rPr>
                <w:rFonts w:ascii="微软雅黑" w:eastAsia="微软雅黑" w:hAnsi="微软雅黑" w:cs="微软雅黑"/>
                <w:b/>
                <w:color w:val="24282E"/>
                <w:sz w:val="19"/>
              </w:rPr>
              <w:t>机制</w:t>
            </w:r>
          </w:p>
        </w:tc>
        <w:tc>
          <w:tcPr>
            <w:tcW w:w="3404"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5F80B8A6" w14:textId="77777777" w:rsidR="005E4DC0" w:rsidRDefault="00931588">
            <w:pPr>
              <w:ind w:right="42"/>
              <w:jc w:val="center"/>
            </w:pPr>
            <w:r>
              <w:rPr>
                <w:rFonts w:ascii="微软雅黑" w:eastAsia="微软雅黑" w:hAnsi="微软雅黑" w:cs="微软雅黑"/>
                <w:b/>
                <w:color w:val="24282E"/>
                <w:sz w:val="19"/>
              </w:rPr>
              <w:t>因果⻆⾊</w:t>
            </w:r>
          </w:p>
        </w:tc>
        <w:tc>
          <w:tcPr>
            <w:tcW w:w="3099"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6838A267" w14:textId="77777777" w:rsidR="005E4DC0" w:rsidRDefault="00931588">
            <w:pPr>
              <w:ind w:right="40"/>
              <w:jc w:val="center"/>
            </w:pPr>
            <w:r>
              <w:rPr>
                <w:rFonts w:ascii="微软雅黑" w:eastAsia="微软雅黑" w:hAnsi="微软雅黑" w:cs="微软雅黑"/>
                <w:b/>
                <w:color w:val="24282E"/>
                <w:sz w:val="19"/>
              </w:rPr>
              <w:t>运维建议</w:t>
            </w:r>
          </w:p>
        </w:tc>
      </w:tr>
      <w:tr w:rsidR="005E4DC0" w14:paraId="0DE73F61" w14:textId="77777777">
        <w:trPr>
          <w:trHeight w:val="737"/>
        </w:trPr>
        <w:tc>
          <w:tcPr>
            <w:tcW w:w="2395"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A6F5F33" w14:textId="77777777" w:rsidR="005E4DC0" w:rsidRDefault="00931588">
            <w:pPr>
              <w:ind w:left="4"/>
            </w:pPr>
            <w:r>
              <w:rPr>
                <w:rFonts w:ascii="微软雅黑" w:eastAsia="微软雅黑" w:hAnsi="微软雅黑" w:cs="微软雅黑"/>
                <w:color w:val="24282E"/>
                <w:sz w:val="19"/>
              </w:rPr>
              <w:t>t2_max/t1_mean(枪温统计)</w:t>
            </w:r>
          </w:p>
        </w:tc>
        <w:tc>
          <w:tcPr>
            <w:tcW w:w="201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DA3FA54" w14:textId="77777777" w:rsidR="005E4DC0" w:rsidRDefault="00931588">
            <w:pPr>
              <w:ind w:left="8"/>
            </w:pPr>
            <w:r>
              <w:rPr>
                <w:rFonts w:ascii="微软雅黑" w:eastAsia="微软雅黑" w:hAnsi="微软雅黑" w:cs="微软雅黑"/>
                <w:color w:val="24282E"/>
                <w:sz w:val="19"/>
              </w:rPr>
              <w:t>超温/热相关</w:t>
            </w:r>
          </w:p>
        </w:tc>
        <w:tc>
          <w:tcPr>
            <w:tcW w:w="3404"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66C710FA" w14:textId="77777777" w:rsidR="005E4DC0" w:rsidRDefault="00931588">
            <w:pPr>
              <w:ind w:left="3"/>
            </w:pPr>
            <w:r>
              <w:rPr>
                <w:rFonts w:ascii="微软雅黑" w:eastAsia="微软雅黑" w:hAnsi="微软雅黑" w:cs="微软雅黑"/>
                <w:color w:val="24282E"/>
                <w:sz w:val="19"/>
              </w:rPr>
              <w:t>超温型=前兆(因);电⽓中断型=时⻓ 结果(果)</w:t>
            </w:r>
          </w:p>
        </w:tc>
        <w:tc>
          <w:tcPr>
            <w:tcW w:w="309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DE323F4" w14:textId="77777777" w:rsidR="005E4DC0" w:rsidRDefault="00931588">
            <w:r>
              <w:rPr>
                <w:rFonts w:ascii="微软雅黑" w:eastAsia="微软雅黑" w:hAnsi="微软雅黑" w:cs="微软雅黑"/>
                <w:color w:val="24282E"/>
                <w:sz w:val="19"/>
              </w:rPr>
              <w:t>查散热与枪头连接,区分⾼温型与中断型</w:t>
            </w:r>
          </w:p>
        </w:tc>
      </w:tr>
      <w:tr w:rsidR="005E4DC0" w14:paraId="36B71211" w14:textId="77777777">
        <w:trPr>
          <w:trHeight w:val="737"/>
        </w:trPr>
        <w:tc>
          <w:tcPr>
            <w:tcW w:w="2395"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7B7729E7" w14:textId="77777777" w:rsidR="005E4DC0" w:rsidRDefault="00931588">
            <w:pPr>
              <w:ind w:left="4"/>
            </w:pPr>
            <w:r>
              <w:rPr>
                <w:rFonts w:ascii="微软雅黑" w:eastAsia="微软雅黑" w:hAnsi="微软雅黑" w:cs="微软雅黑"/>
                <w:color w:val="24282E"/>
                <w:sz w:val="19"/>
              </w:rPr>
              <w:t>a_min/v_min(电流/电压骤降)</w:t>
            </w:r>
          </w:p>
        </w:tc>
        <w:tc>
          <w:tcPr>
            <w:tcW w:w="201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58F6F91" w14:textId="77777777" w:rsidR="005E4DC0" w:rsidRDefault="00931588">
            <w:pPr>
              <w:ind w:left="8"/>
            </w:pPr>
            <w:r>
              <w:rPr>
                <w:rFonts w:ascii="微软雅黑" w:eastAsia="微软雅黑" w:hAnsi="微软雅黑" w:cs="微软雅黑"/>
                <w:color w:val="24282E"/>
                <w:sz w:val="19"/>
              </w:rPr>
              <w:t>短路/接触不良/电芯异常</w:t>
            </w:r>
          </w:p>
        </w:tc>
        <w:tc>
          <w:tcPr>
            <w:tcW w:w="3404"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AB7CFD7" w14:textId="77777777" w:rsidR="005E4DC0" w:rsidRDefault="00931588">
            <w:pPr>
              <w:ind w:left="3"/>
            </w:pPr>
            <w:r>
              <w:rPr>
                <w:rFonts w:ascii="微软雅黑" w:eastAsia="微软雅黑" w:hAnsi="微软雅黑" w:cs="微软雅黑"/>
                <w:color w:val="24282E"/>
                <w:sz w:val="19"/>
              </w:rPr>
              <w:t>中断的电⽓表现</w:t>
            </w:r>
          </w:p>
        </w:tc>
        <w:tc>
          <w:tcPr>
            <w:tcW w:w="309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8AD2D7E" w14:textId="77777777" w:rsidR="005E4DC0" w:rsidRDefault="00931588">
            <w:r>
              <w:rPr>
                <w:rFonts w:ascii="微软雅黑" w:eastAsia="微软雅黑" w:hAnsi="微软雅黑" w:cs="微软雅黑"/>
                <w:color w:val="24282E"/>
                <w:sz w:val="19"/>
              </w:rPr>
              <w:t>查电路连接与电芯⼀致性</w:t>
            </w:r>
          </w:p>
        </w:tc>
      </w:tr>
      <w:tr w:rsidR="005E4DC0" w14:paraId="3A1E7389" w14:textId="77777777">
        <w:trPr>
          <w:trHeight w:val="448"/>
        </w:trPr>
        <w:tc>
          <w:tcPr>
            <w:tcW w:w="2395"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83CE11B" w14:textId="77777777" w:rsidR="005E4DC0" w:rsidRDefault="00931588">
            <w:pPr>
              <w:ind w:left="4"/>
            </w:pPr>
            <w:r>
              <w:rPr>
                <w:rFonts w:ascii="微软雅黑" w:eastAsia="微软雅黑" w:hAnsi="微软雅黑" w:cs="微软雅黑"/>
                <w:color w:val="24282E"/>
                <w:sz w:val="19"/>
              </w:rPr>
              <w:t>p_end(末端功率未衰减)</w:t>
            </w:r>
          </w:p>
        </w:tc>
        <w:tc>
          <w:tcPr>
            <w:tcW w:w="201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29494DC" w14:textId="77777777" w:rsidR="005E4DC0" w:rsidRDefault="00931588">
            <w:pPr>
              <w:ind w:left="8"/>
            </w:pPr>
            <w:r>
              <w:rPr>
                <w:rFonts w:ascii="微软雅黑" w:eastAsia="微软雅黑" w:hAnsi="微软雅黑" w:cs="微软雅黑"/>
                <w:color w:val="24282E"/>
                <w:sz w:val="19"/>
              </w:rPr>
              <w:t>⾼功率异常终⽌</w:t>
            </w:r>
          </w:p>
        </w:tc>
        <w:tc>
          <w:tcPr>
            <w:tcW w:w="3404"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591FA3C5" w14:textId="77777777" w:rsidR="005E4DC0" w:rsidRDefault="00931588">
            <w:pPr>
              <w:ind w:left="3"/>
            </w:pPr>
            <w:r>
              <w:rPr>
                <w:rFonts w:ascii="微软雅黑" w:eastAsia="微软雅黑" w:hAnsi="微软雅黑" w:cs="微软雅黑"/>
                <w:color w:val="24282E"/>
                <w:sz w:val="19"/>
              </w:rPr>
              <w:t>中断的核⼼证据</w:t>
            </w:r>
          </w:p>
        </w:tc>
        <w:tc>
          <w:tcPr>
            <w:tcW w:w="3099"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DDAB354" w14:textId="77777777" w:rsidR="005E4DC0" w:rsidRDefault="00931588">
            <w:r>
              <w:rPr>
                <w:rFonts w:ascii="微软雅黑" w:eastAsia="微软雅黑" w:hAnsi="微软雅黑" w:cs="微软雅黑"/>
                <w:color w:val="24282E"/>
                <w:sz w:val="19"/>
              </w:rPr>
              <w:t>查充电桩保护动作⽇志</w:t>
            </w:r>
          </w:p>
        </w:tc>
      </w:tr>
      <w:tr w:rsidR="005E4DC0" w14:paraId="59B1F405" w14:textId="77777777">
        <w:trPr>
          <w:trHeight w:val="448"/>
        </w:trPr>
        <w:tc>
          <w:tcPr>
            <w:tcW w:w="2395"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D431654" w14:textId="77777777" w:rsidR="005E4DC0" w:rsidRDefault="00931588">
            <w:pPr>
              <w:ind w:left="4"/>
            </w:pPr>
            <w:r>
              <w:rPr>
                <w:rFonts w:ascii="微软雅黑" w:eastAsia="微软雅黑" w:hAnsi="微软雅黑" w:cs="微软雅黑"/>
                <w:color w:val="24282E"/>
                <w:sz w:val="19"/>
              </w:rPr>
              <w:t>soc_last(末端SOC未满)</w:t>
            </w:r>
          </w:p>
        </w:tc>
        <w:tc>
          <w:tcPr>
            <w:tcW w:w="201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1BC59E6" w14:textId="77777777" w:rsidR="005E4DC0" w:rsidRDefault="00931588">
            <w:pPr>
              <w:ind w:left="8"/>
            </w:pPr>
            <w:r>
              <w:rPr>
                <w:rFonts w:ascii="微软雅黑" w:eastAsia="微软雅黑" w:hAnsi="微软雅黑" w:cs="微软雅黑"/>
                <w:color w:val="24282E"/>
                <w:sz w:val="19"/>
              </w:rPr>
              <w:t>充电提前终⽌</w:t>
            </w:r>
          </w:p>
        </w:tc>
        <w:tc>
          <w:tcPr>
            <w:tcW w:w="3404"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1D1AE09" w14:textId="77777777" w:rsidR="005E4DC0" w:rsidRDefault="00931588">
            <w:pPr>
              <w:ind w:left="3"/>
            </w:pPr>
            <w:r>
              <w:rPr>
                <w:rFonts w:ascii="微软雅黑" w:eastAsia="微软雅黑" w:hAnsi="微软雅黑" w:cs="微软雅黑"/>
                <w:color w:val="24282E"/>
                <w:sz w:val="19"/>
              </w:rPr>
              <w:t>中断的后果</w:t>
            </w:r>
          </w:p>
        </w:tc>
        <w:tc>
          <w:tcPr>
            <w:tcW w:w="3099"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40E752D" w14:textId="77777777" w:rsidR="005E4DC0" w:rsidRDefault="00931588">
            <w:r>
              <w:rPr>
                <w:rFonts w:ascii="微软雅黑" w:eastAsia="微软雅黑" w:hAnsi="微软雅黑" w:cs="微软雅黑"/>
                <w:color w:val="24282E"/>
                <w:sz w:val="19"/>
              </w:rPr>
              <w:t>核查中断原因</w:t>
            </w:r>
          </w:p>
        </w:tc>
      </w:tr>
    </w:tbl>
    <w:p w14:paraId="1AEB5842" w14:textId="77777777" w:rsidR="005E4DC0" w:rsidRDefault="00931588">
      <w:pPr>
        <w:spacing w:after="28" w:line="305" w:lineRule="auto"/>
        <w:ind w:left="6" w:hanging="10"/>
      </w:pPr>
      <w:r>
        <w:rPr>
          <w:rFonts w:ascii="微软雅黑" w:eastAsia="微软雅黑" w:hAnsi="微软雅黑" w:cs="微软雅黑"/>
          <w:b/>
          <w:sz w:val="19"/>
        </w:rPr>
        <w:t>诚实边界</w:t>
      </w:r>
      <w:r>
        <w:rPr>
          <w:rFonts w:ascii="微软雅黑" w:eastAsia="微软雅黑" w:hAnsi="微软雅黑" w:cs="微软雅黑"/>
          <w:color w:val="24282E"/>
          <w:sz w:val="19"/>
        </w:rPr>
        <w:t>:本⽂数据⽆细粒度故障原因标签,上述机制(短路/接触不良等)是基于分型与终⽌⽅式对⽐的"数据⽀撑假设";确切的故障根因需结合充电桩故障报告或现场检修记录确认。</w:t>
      </w:r>
    </w:p>
    <w:p w14:paraId="51A599CB" w14:textId="77777777" w:rsidR="005E4DC0" w:rsidRDefault="00931588">
      <w:pPr>
        <w:spacing w:after="370"/>
        <w:ind w:right="-9"/>
      </w:pPr>
      <w:r>
        <w:rPr>
          <w:noProof/>
        </w:rPr>
        <mc:AlternateContent>
          <mc:Choice Requires="wpg">
            <w:drawing>
              <wp:inline distT="0" distB="0" distL="0" distR="0" wp14:anchorId="7B6D6C74" wp14:editId="2FE6A563">
                <wp:extent cx="6936566" cy="40684"/>
                <wp:effectExtent l="0" t="0" r="0" b="0"/>
                <wp:docPr id="35053" name="Group 35053"/>
                <wp:cNvGraphicFramePr/>
                <a:graphic xmlns:a="http://schemas.openxmlformats.org/drawingml/2006/main">
                  <a:graphicData uri="http://schemas.microsoft.com/office/word/2010/wordprocessingGroup">
                    <wpg:wgp>
                      <wpg:cNvGrpSpPr/>
                      <wpg:grpSpPr>
                        <a:xfrm>
                          <a:off x="0" y="0"/>
                          <a:ext cx="6936566" cy="40684"/>
                          <a:chOff x="0" y="0"/>
                          <a:chExt cx="6936566" cy="40684"/>
                        </a:xfrm>
                      </wpg:grpSpPr>
                      <wps:wsp>
                        <wps:cNvPr id="36651" name="Shape 36651"/>
                        <wps:cNvSpPr/>
                        <wps:spPr>
                          <a:xfrm>
                            <a:off x="0" y="0"/>
                            <a:ext cx="6936566" cy="40684"/>
                          </a:xfrm>
                          <a:custGeom>
                            <a:avLst/>
                            <a:gdLst/>
                            <a:ahLst/>
                            <a:cxnLst/>
                            <a:rect l="0" t="0" r="0" b="0"/>
                            <a:pathLst>
                              <a:path w="6936566" h="40684">
                                <a:moveTo>
                                  <a:pt x="0" y="0"/>
                                </a:moveTo>
                                <a:lnTo>
                                  <a:pt x="6936566" y="0"/>
                                </a:lnTo>
                                <a:lnTo>
                                  <a:pt x="6936566" y="40684"/>
                                </a:lnTo>
                                <a:lnTo>
                                  <a:pt x="0" y="40684"/>
                                </a:lnTo>
                                <a:lnTo>
                                  <a:pt x="0" y="0"/>
                                </a:lnTo>
                              </a:path>
                            </a:pathLst>
                          </a:custGeom>
                          <a:ln w="0" cap="flat">
                            <a:miter lim="127000"/>
                          </a:ln>
                        </wps:spPr>
                        <wps:style>
                          <a:lnRef idx="0">
                            <a:srgbClr val="000000">
                              <a:alpha val="0"/>
                            </a:srgbClr>
                          </a:lnRef>
                          <a:fillRef idx="1">
                            <a:srgbClr val="E0E4E8"/>
                          </a:fillRef>
                          <a:effectRef idx="0">
                            <a:scrgbClr r="0" g="0" b="0"/>
                          </a:effectRef>
                          <a:fontRef idx="none"/>
                        </wps:style>
                        <wps:bodyPr/>
                      </wps:wsp>
                      <wps:wsp>
                        <wps:cNvPr id="36652" name="Shape 36652"/>
                        <wps:cNvSpPr/>
                        <wps:spPr>
                          <a:xfrm>
                            <a:off x="0" y="30512"/>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inline>
            </w:drawing>
          </mc:Choice>
          <mc:Fallback xmlns:a="http://schemas.openxmlformats.org/drawingml/2006/main">
            <w:pict>
              <v:group id="Group 35053" style="width:546.186pt;height:3.20343pt;mso-position-horizontal-relative:char;mso-position-vertical-relative:line" coordsize="69365,406">
                <v:shape id="Shape 36653" style="position:absolute;width:69365;height:406;left:0;top:0;" coordsize="6936566,40684" path="m0,0l6936566,0l6936566,40684l0,40684l0,0">
                  <v:stroke weight="0pt" endcap="flat" joinstyle="miter" miterlimit="10" on="false" color="#000000" opacity="0"/>
                  <v:fill on="true" color="#e0e4e8"/>
                </v:shape>
                <v:shape id="Shape 36654" style="position:absolute;width:69365;height:101;left:0;top:305;" coordsize="6936566,10171" path="m0,0l6936566,0l6936566,10171l0,10171l0,0">
                  <v:stroke weight="0pt" endcap="flat" joinstyle="miter" miterlimit="10" on="false" color="#000000" opacity="0"/>
                  <v:fill on="true" color="#ededed"/>
                </v:shape>
              </v:group>
            </w:pict>
          </mc:Fallback>
        </mc:AlternateContent>
      </w:r>
    </w:p>
    <w:p w14:paraId="5909D4F7" w14:textId="77777777" w:rsidR="005E4DC0" w:rsidRDefault="00931588">
      <w:pPr>
        <w:pStyle w:val="1"/>
        <w:ind w:left="6"/>
        <w:rPr>
          <w:rFonts w:hint="eastAsia"/>
        </w:rPr>
      </w:pPr>
      <w:r>
        <w:t xml:space="preserve">5. </w:t>
      </w:r>
      <w:r>
        <w:rPr>
          <w:b/>
        </w:rPr>
        <w:t>讨论</w:t>
      </w:r>
      <w:r>
        <w:rPr>
          <w:color w:val="0366D6"/>
        </w:rPr>
        <w:t xml:space="preserve"> </w:t>
      </w:r>
    </w:p>
    <w:p w14:paraId="693BE7DC" w14:textId="77777777" w:rsidR="005E4DC0" w:rsidRDefault="00931588">
      <w:pPr>
        <w:spacing w:after="361"/>
        <w:ind w:right="-9"/>
      </w:pPr>
      <w:r>
        <w:rPr>
          <w:noProof/>
        </w:rPr>
        <mc:AlternateContent>
          <mc:Choice Requires="wpg">
            <w:drawing>
              <wp:inline distT="0" distB="0" distL="0" distR="0" wp14:anchorId="3E639B8F" wp14:editId="0E539990">
                <wp:extent cx="6936566" cy="10171"/>
                <wp:effectExtent l="0" t="0" r="0" b="0"/>
                <wp:docPr id="35054" name="Group 35054"/>
                <wp:cNvGraphicFramePr/>
                <a:graphic xmlns:a="http://schemas.openxmlformats.org/drawingml/2006/main">
                  <a:graphicData uri="http://schemas.microsoft.com/office/word/2010/wordprocessingGroup">
                    <wpg:wgp>
                      <wpg:cNvGrpSpPr/>
                      <wpg:grpSpPr>
                        <a:xfrm>
                          <a:off x="0" y="0"/>
                          <a:ext cx="6936566" cy="10171"/>
                          <a:chOff x="0" y="0"/>
                          <a:chExt cx="6936566" cy="10171"/>
                        </a:xfrm>
                      </wpg:grpSpPr>
                      <wps:wsp>
                        <wps:cNvPr id="36655" name="Shape 36655"/>
                        <wps:cNvSpPr/>
                        <wps:spPr>
                          <a:xfrm>
                            <a:off x="0" y="0"/>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35054" style="width:546.186pt;height:0.800903pt;mso-position-horizontal-relative:char;mso-position-vertical-relative:line" coordsize="69365,101">
                <v:shape id="Shape 36656" style="position:absolute;width:69365;height:101;left:0;top:0;" coordsize="6936566,10171" path="m0,0l6936566,0l6936566,10171l0,10171l0,0">
                  <v:stroke weight="0pt" endcap="flat" joinstyle="miter" miterlimit="10" on="false" color="#000000" opacity="0"/>
                  <v:fill on="true" color="#eaecef"/>
                </v:shape>
              </v:group>
            </w:pict>
          </mc:Fallback>
        </mc:AlternateContent>
      </w:r>
    </w:p>
    <w:p w14:paraId="3A3AE4D9" w14:textId="77777777" w:rsidR="005E4DC0" w:rsidRDefault="00931588">
      <w:pPr>
        <w:pStyle w:val="2"/>
        <w:ind w:left="6"/>
        <w:rPr>
          <w:rFonts w:hint="eastAsia"/>
        </w:rPr>
      </w:pPr>
      <w:r>
        <w:rPr>
          <w:b w:val="0"/>
        </w:rPr>
        <w:t xml:space="preserve">5.1 </w:t>
      </w:r>
      <w:r>
        <w:t>深度模型与跨站点泛化</w:t>
      </w:r>
      <w:r>
        <w:rPr>
          <w:b w:val="0"/>
          <w:color w:val="0366D6"/>
        </w:rPr>
        <w:t xml:space="preserve"> </w:t>
      </w:r>
    </w:p>
    <w:p w14:paraId="006A3154" w14:textId="72F67E9F" w:rsidR="005E4DC0" w:rsidRDefault="00931588">
      <w:pPr>
        <w:spacing w:after="235"/>
        <w:ind w:left="6" w:right="46" w:hanging="10"/>
        <w:jc w:val="both"/>
      </w:pPr>
      <w:r>
        <w:rPr>
          <w:rFonts w:ascii="微软雅黑" w:eastAsia="微软雅黑" w:hAnsi="微软雅黑" w:cs="微软雅黑"/>
          <w:color w:val="24282E"/>
          <w:sz w:val="19"/>
        </w:rPr>
        <w:t>本⽂最重要的发现是:</w:t>
      </w:r>
      <w:r>
        <w:rPr>
          <w:rFonts w:ascii="微软雅黑" w:eastAsia="微软雅黑" w:hAnsi="微软雅黑" w:cs="微软雅黑"/>
          <w:b/>
          <w:sz w:val="19"/>
        </w:rPr>
        <w:t>多模态注意⼒融合可让端到端深度模型在跨站点设定下</w:t>
      </w:r>
      <w:r w:rsidR="00FD3946">
        <w:rPr>
          <w:rFonts w:ascii="微软雅黑" w:eastAsia="微软雅黑" w:hAnsi="微软雅黑" w:cs="微软雅黑"/>
          <w:b/>
          <w:sz w:val="19"/>
        </w:rPr>
        <w:t>达到并部分超过 GBDT</w:t>
      </w:r>
      <w:r>
        <w:rPr>
          <w:rFonts w:ascii="微软雅黑" w:eastAsia="微软雅黑" w:hAnsi="微软雅黑" w:cs="微软雅黑"/>
          <w:color w:val="24282E"/>
          <w:sz w:val="19"/>
        </w:rPr>
        <w:t>。Yang 等⼈ [3] 将新站点性能衰退归因于站点间数据分布差异;本⽂则在跨站点设定(owner 1-6 训练 → owner 7-8 测试)下,通过 Token-Attn 的"序列×特征"注意⼒交互融合,达到 PR-AUC=0.918(7-seed 集成),显著超越 LightGBM(0.868,p=0.026),并⾼于 XGBoost(0.887,未达显著 p=0.143)。</w:t>
      </w:r>
    </w:p>
    <w:p w14:paraId="04F3047D" w14:textId="77777777" w:rsidR="005E4DC0" w:rsidRDefault="00931588">
      <w:pPr>
        <w:spacing w:after="52"/>
        <w:ind w:left="6" w:right="46" w:hanging="10"/>
        <w:jc w:val="both"/>
      </w:pPr>
      <w:r>
        <w:rPr>
          <w:rFonts w:ascii="微软雅黑" w:eastAsia="微软雅黑" w:hAnsi="微软雅黑" w:cs="微软雅黑"/>
          <w:color w:val="24282E"/>
          <w:sz w:val="19"/>
        </w:rPr>
        <w:t>⼀个⽅法论洞察:</w:t>
      </w:r>
      <w:r>
        <w:rPr>
          <w:rFonts w:ascii="微软雅黑" w:eastAsia="微软雅黑" w:hAnsi="微软雅黑" w:cs="微软雅黑"/>
          <w:sz w:val="19"/>
        </w:rPr>
        <w:t xml:space="preserve">seed </w:t>
      </w:r>
      <w:r>
        <w:rPr>
          <w:rFonts w:ascii="微软雅黑" w:eastAsia="微软雅黑" w:hAnsi="微软雅黑" w:cs="微软雅黑"/>
          <w:b/>
          <w:sz w:val="19"/>
        </w:rPr>
        <w:t>集成收益与模型⽅差相关</w:t>
      </w:r>
      <w:r>
        <w:rPr>
          <w:rFonts w:ascii="微软雅黑" w:eastAsia="微软雅黑" w:hAnsi="微软雅黑" w:cs="微软雅黑"/>
          <w:color w:val="24282E"/>
          <w:sz w:val="19"/>
        </w:rPr>
        <w:t>。Token-Attn 单 seed ⽅差⼤(0.874±0.033),7-seed 概率集成提升 +0.045 ⾄</w:t>
      </w:r>
    </w:p>
    <w:p w14:paraId="79FFDFE3" w14:textId="77777777" w:rsidR="005E4DC0" w:rsidRDefault="00931588">
      <w:pPr>
        <w:spacing w:after="207" w:line="305" w:lineRule="auto"/>
        <w:ind w:left="6" w:hanging="10"/>
      </w:pPr>
      <w:r>
        <w:rPr>
          <w:rFonts w:ascii="微软雅黑" w:eastAsia="微软雅黑" w:hAnsi="微软雅黑" w:cs="微软雅黑"/>
          <w:color w:val="24282E"/>
          <w:sz w:val="19"/>
        </w:rPr>
        <w:t>0.918。这提示:⼩样本强不平衡下,⾼⽅差的深度模型应通过集成报告稳健性能。</w:t>
      </w:r>
    </w:p>
    <w:p w14:paraId="683D00CE" w14:textId="2E681695" w:rsidR="005E4DC0" w:rsidRDefault="00931588">
      <w:pPr>
        <w:spacing w:after="461" w:line="305" w:lineRule="auto"/>
        <w:ind w:left="6" w:hanging="10"/>
      </w:pPr>
      <w:r>
        <w:rPr>
          <w:rFonts w:ascii="微软雅黑" w:eastAsia="微软雅黑" w:hAnsi="微软雅黑" w:cs="微软雅黑"/>
          <w:color w:val="24282E"/>
          <w:sz w:val="19"/>
        </w:rPr>
        <w:t>这⼀发现的政策含义是:对于充电站这类物理规律驱动的系统,将领域知识以⼿⼯特征形式融⼊深度模型,并采⽤注意⼒交互融合,可在不引⼊复杂参数⾃适应机制的前提下实现跨站点泛化且</w:t>
      </w:r>
      <w:r w:rsidR="00FD3946">
        <w:rPr>
          <w:rFonts w:ascii="微软雅黑" w:eastAsia="微软雅黑" w:hAnsi="微软雅黑" w:cs="微软雅黑"/>
          <w:color w:val="24282E"/>
          <w:sz w:val="19"/>
        </w:rPr>
        <w:t>达到并部分超过 GBDT</w:t>
      </w:r>
      <w:r>
        <w:rPr>
          <w:rFonts w:ascii="微软雅黑" w:eastAsia="微软雅黑" w:hAnsi="微软雅黑" w:cs="微软雅黑"/>
          <w:color w:val="24282E"/>
          <w:sz w:val="19"/>
        </w:rPr>
        <w:t>;⽽多视⻆可解释归因将模型的"判断依据"显式化,既服务运维诊断,也满⾜监管审计要求。</w:t>
      </w:r>
    </w:p>
    <w:p w14:paraId="0754CAA9" w14:textId="77777777" w:rsidR="005E4DC0" w:rsidRDefault="00931588">
      <w:pPr>
        <w:spacing w:after="0"/>
        <w:ind w:left="6" w:right="117" w:hanging="10"/>
        <w:jc w:val="both"/>
      </w:pPr>
      <w:r>
        <w:rPr>
          <w:rFonts w:ascii="微软雅黑" w:eastAsia="微软雅黑" w:hAnsi="微软雅黑" w:cs="微软雅黑"/>
          <w:sz w:val="24"/>
        </w:rPr>
        <w:t xml:space="preserve">5.2 </w:t>
      </w:r>
      <w:r>
        <w:rPr>
          <w:rFonts w:ascii="微软雅黑" w:eastAsia="微软雅黑" w:hAnsi="微软雅黑" w:cs="微软雅黑"/>
          <w:b/>
          <w:sz w:val="24"/>
        </w:rPr>
        <w:t>⾯向</w:t>
      </w:r>
      <w:r>
        <w:rPr>
          <w:rFonts w:ascii="微软雅黑" w:eastAsia="微软雅黑" w:hAnsi="微软雅黑" w:cs="微软雅黑"/>
          <w:sz w:val="24"/>
        </w:rPr>
        <w:t xml:space="preserve"> EU AI Act </w:t>
      </w:r>
      <w:r>
        <w:rPr>
          <w:rFonts w:ascii="微软雅黑" w:eastAsia="微软雅黑" w:hAnsi="微软雅黑" w:cs="微软雅黑"/>
          <w:b/>
          <w:sz w:val="24"/>
        </w:rPr>
        <w:t>合规的</w:t>
      </w:r>
      <w:r>
        <w:rPr>
          <w:rFonts w:ascii="微软雅黑" w:eastAsia="微软雅黑" w:hAnsi="微软雅黑" w:cs="微软雅黑"/>
          <w:sz w:val="24"/>
        </w:rPr>
        <w:t xml:space="preserve"> AI </w:t>
      </w:r>
      <w:r>
        <w:rPr>
          <w:rFonts w:ascii="微软雅黑" w:eastAsia="微软雅黑" w:hAnsi="微软雅黑" w:cs="微软雅黑"/>
          <w:b/>
          <w:sz w:val="24"/>
        </w:rPr>
        <w:t>治理框架</w:t>
      </w:r>
      <w:r>
        <w:rPr>
          <w:rFonts w:ascii="微软雅黑" w:eastAsia="微软雅黑" w:hAnsi="微软雅黑" w:cs="微软雅黑"/>
          <w:color w:val="0366D6"/>
          <w:sz w:val="24"/>
        </w:rPr>
        <w:t xml:space="preserve"> </w:t>
      </w:r>
      <w:r>
        <w:rPr>
          <w:rFonts w:ascii="微软雅黑" w:eastAsia="微软雅黑" w:hAnsi="微软雅黑" w:cs="微软雅黑"/>
          <w:color w:val="24282E"/>
          <w:sz w:val="19"/>
        </w:rPr>
        <w:t>充电站异常检测系统属于 EU AI Act 附录 III 第 2 类"关键基础设施的管理与运⾏",被归类为</w:t>
      </w:r>
      <w:r>
        <w:rPr>
          <w:rFonts w:ascii="微软雅黑" w:eastAsia="微软雅黑" w:hAnsi="微软雅黑" w:cs="微软雅黑"/>
          <w:b/>
          <w:sz w:val="19"/>
        </w:rPr>
        <w:t>⾼⻛险</w:t>
      </w:r>
      <w:r>
        <w:rPr>
          <w:rFonts w:ascii="微软雅黑" w:eastAsia="微软雅黑" w:hAnsi="微软雅黑" w:cs="微软雅黑"/>
          <w:sz w:val="19"/>
        </w:rPr>
        <w:t xml:space="preserve"> AI </w:t>
      </w:r>
      <w:r>
        <w:rPr>
          <w:rFonts w:ascii="微软雅黑" w:eastAsia="微软雅黑" w:hAnsi="微软雅黑" w:cs="微软雅黑"/>
          <w:b/>
          <w:sz w:val="19"/>
        </w:rPr>
        <w:t>系统</w:t>
      </w:r>
      <w:r>
        <w:rPr>
          <w:rFonts w:ascii="微软雅黑" w:eastAsia="微软雅黑" w:hAnsi="微软雅黑" w:cs="微软雅黑"/>
          <w:color w:val="24282E"/>
          <w:sz w:val="19"/>
        </w:rPr>
        <w:t>,需满⾜七项核⼼义务。</w:t>
      </w:r>
      <w:r>
        <w:rPr>
          <w:rFonts w:ascii="微软雅黑" w:eastAsia="微软雅黑" w:hAnsi="微软雅黑" w:cs="微软雅黑"/>
          <w:b/>
          <w:sz w:val="19"/>
        </w:rPr>
        <w:t>表</w:t>
      </w:r>
      <w:r>
        <w:rPr>
          <w:rFonts w:ascii="微软雅黑" w:eastAsia="微软雅黑" w:hAnsi="微软雅黑" w:cs="微软雅黑"/>
          <w:sz w:val="19"/>
        </w:rPr>
        <w:t xml:space="preserve"> 3:EU AI Act </w:t>
      </w:r>
      <w:r>
        <w:rPr>
          <w:rFonts w:ascii="微软雅黑" w:eastAsia="微软雅黑" w:hAnsi="微软雅黑" w:cs="微软雅黑"/>
          <w:b/>
          <w:sz w:val="19"/>
        </w:rPr>
        <w:t>义务</w:t>
      </w:r>
      <w:r>
        <w:rPr>
          <w:rFonts w:ascii="微软雅黑" w:eastAsia="微软雅黑" w:hAnsi="微软雅黑" w:cs="微软雅黑"/>
          <w:sz w:val="19"/>
        </w:rPr>
        <w:t>→</w:t>
      </w:r>
      <w:r>
        <w:rPr>
          <w:rFonts w:ascii="微软雅黑" w:eastAsia="微软雅黑" w:hAnsi="微软雅黑" w:cs="微软雅黑"/>
          <w:b/>
          <w:sz w:val="19"/>
        </w:rPr>
        <w:t>技术对策映射</w:t>
      </w:r>
    </w:p>
    <w:tbl>
      <w:tblPr>
        <w:tblStyle w:val="TableGrid"/>
        <w:tblW w:w="9578" w:type="dxa"/>
        <w:tblInd w:w="8" w:type="dxa"/>
        <w:tblCellMar>
          <w:left w:w="151" w:type="dxa"/>
          <w:right w:w="154" w:type="dxa"/>
        </w:tblCellMar>
        <w:tblLook w:val="04A0" w:firstRow="1" w:lastRow="0" w:firstColumn="1" w:lastColumn="0" w:noHBand="0" w:noVBand="1"/>
      </w:tblPr>
      <w:tblGrid>
        <w:gridCol w:w="1618"/>
        <w:gridCol w:w="1506"/>
        <w:gridCol w:w="5061"/>
        <w:gridCol w:w="1393"/>
      </w:tblGrid>
      <w:tr w:rsidR="005E4DC0" w14:paraId="30DEB2B6" w14:textId="77777777">
        <w:trPr>
          <w:trHeight w:val="448"/>
        </w:trPr>
        <w:tc>
          <w:tcPr>
            <w:tcW w:w="1618"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5AEF777B" w14:textId="77777777" w:rsidR="005E4DC0" w:rsidRDefault="00931588">
            <w:pPr>
              <w:ind w:left="1"/>
            </w:pPr>
            <w:r>
              <w:rPr>
                <w:rFonts w:ascii="微软雅黑" w:eastAsia="微软雅黑" w:hAnsi="微软雅黑" w:cs="微软雅黑"/>
                <w:color w:val="24282E"/>
                <w:sz w:val="19"/>
              </w:rPr>
              <w:t xml:space="preserve">EU AI Act </w:t>
            </w:r>
            <w:r>
              <w:rPr>
                <w:rFonts w:ascii="微软雅黑" w:eastAsia="微软雅黑" w:hAnsi="微软雅黑" w:cs="微软雅黑"/>
                <w:b/>
                <w:color w:val="24282E"/>
                <w:sz w:val="19"/>
              </w:rPr>
              <w:t>条款</w:t>
            </w:r>
          </w:p>
        </w:tc>
        <w:tc>
          <w:tcPr>
            <w:tcW w:w="1506"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2FC78B77" w14:textId="77777777" w:rsidR="005E4DC0" w:rsidRDefault="00931588">
            <w:pPr>
              <w:ind w:left="220"/>
            </w:pPr>
            <w:r>
              <w:rPr>
                <w:rFonts w:ascii="微软雅黑" w:eastAsia="微软雅黑" w:hAnsi="微软雅黑" w:cs="微软雅黑"/>
                <w:b/>
                <w:color w:val="24282E"/>
                <w:sz w:val="19"/>
              </w:rPr>
              <w:t>义务内容</w:t>
            </w:r>
          </w:p>
        </w:tc>
        <w:tc>
          <w:tcPr>
            <w:tcW w:w="5061"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153E2FA5" w14:textId="77777777" w:rsidR="005E4DC0" w:rsidRDefault="00931588">
            <w:pPr>
              <w:ind w:right="1"/>
              <w:jc w:val="center"/>
            </w:pPr>
            <w:r>
              <w:rPr>
                <w:rFonts w:ascii="微软雅黑" w:eastAsia="微软雅黑" w:hAnsi="微软雅黑" w:cs="微软雅黑"/>
                <w:b/>
                <w:color w:val="24282E"/>
                <w:sz w:val="19"/>
              </w:rPr>
              <w:t>本⽂技术对策</w:t>
            </w:r>
          </w:p>
        </w:tc>
        <w:tc>
          <w:tcPr>
            <w:tcW w:w="1393" w:type="dxa"/>
            <w:tcBorders>
              <w:top w:val="single" w:sz="6" w:space="0" w:color="DFE2E5"/>
              <w:left w:val="single" w:sz="6" w:space="0" w:color="DFE2E5"/>
              <w:bottom w:val="single" w:sz="6" w:space="0" w:color="DFE2E5"/>
              <w:right w:val="single" w:sz="6" w:space="0" w:color="DFE2E5"/>
            </w:tcBorders>
            <w:shd w:val="clear" w:color="auto" w:fill="E8E8E8"/>
            <w:vAlign w:val="center"/>
          </w:tcPr>
          <w:p w14:paraId="0DB69780" w14:textId="77777777" w:rsidR="005E4DC0" w:rsidRDefault="00931588">
            <w:pPr>
              <w:ind w:right="4"/>
              <w:jc w:val="center"/>
            </w:pPr>
            <w:r>
              <w:rPr>
                <w:rFonts w:ascii="微软雅黑" w:eastAsia="微软雅黑" w:hAnsi="微软雅黑" w:cs="微软雅黑"/>
                <w:b/>
                <w:color w:val="24282E"/>
                <w:sz w:val="19"/>
              </w:rPr>
              <w:t>状态</w:t>
            </w:r>
          </w:p>
        </w:tc>
      </w:tr>
      <w:tr w:rsidR="005E4DC0" w14:paraId="5B8AC943" w14:textId="77777777">
        <w:trPr>
          <w:trHeight w:val="448"/>
        </w:trPr>
        <w:tc>
          <w:tcPr>
            <w:tcW w:w="1618" w:type="dxa"/>
            <w:tcBorders>
              <w:top w:val="single" w:sz="6" w:space="0" w:color="DFE2E5"/>
              <w:left w:val="single" w:sz="6" w:space="0" w:color="DFE2E5"/>
              <w:bottom w:val="single" w:sz="6" w:space="0" w:color="DFE2E5"/>
              <w:right w:val="single" w:sz="6" w:space="0" w:color="DFE2E5"/>
            </w:tcBorders>
            <w:vAlign w:val="center"/>
          </w:tcPr>
          <w:p w14:paraId="6A7AC635" w14:textId="77777777" w:rsidR="005E4DC0" w:rsidRDefault="00931588">
            <w:pPr>
              <w:ind w:left="1"/>
            </w:pPr>
            <w:r>
              <w:rPr>
                <w:rFonts w:ascii="微软雅黑" w:eastAsia="微软雅黑" w:hAnsi="微软雅黑" w:cs="微软雅黑"/>
                <w:color w:val="24282E"/>
                <w:sz w:val="19"/>
              </w:rPr>
              <w:t>第 9 条</w:t>
            </w:r>
          </w:p>
        </w:tc>
        <w:tc>
          <w:tcPr>
            <w:tcW w:w="1506" w:type="dxa"/>
            <w:tcBorders>
              <w:top w:val="single" w:sz="6" w:space="0" w:color="DFE2E5"/>
              <w:left w:val="single" w:sz="6" w:space="0" w:color="DFE2E5"/>
              <w:bottom w:val="single" w:sz="6" w:space="0" w:color="DFE2E5"/>
              <w:right w:val="single" w:sz="6" w:space="0" w:color="DFE2E5"/>
            </w:tcBorders>
            <w:vAlign w:val="center"/>
          </w:tcPr>
          <w:p w14:paraId="0312D425" w14:textId="77777777" w:rsidR="005E4DC0" w:rsidRDefault="00931588">
            <w:r>
              <w:rPr>
                <w:rFonts w:ascii="微软雅黑" w:eastAsia="微软雅黑" w:hAnsi="微软雅黑" w:cs="微软雅黑"/>
                <w:color w:val="24282E"/>
                <w:sz w:val="19"/>
              </w:rPr>
              <w:t>⻛险管理体系</w:t>
            </w:r>
          </w:p>
        </w:tc>
        <w:tc>
          <w:tcPr>
            <w:tcW w:w="5061" w:type="dxa"/>
            <w:tcBorders>
              <w:top w:val="single" w:sz="6" w:space="0" w:color="DFE2E5"/>
              <w:left w:val="single" w:sz="6" w:space="0" w:color="DFE2E5"/>
              <w:bottom w:val="single" w:sz="6" w:space="0" w:color="DFE2E5"/>
              <w:right w:val="single" w:sz="6" w:space="0" w:color="DFE2E5"/>
            </w:tcBorders>
            <w:vAlign w:val="center"/>
          </w:tcPr>
          <w:p w14:paraId="046150B5" w14:textId="77777777" w:rsidR="005E4DC0" w:rsidRDefault="00931588">
            <w:pPr>
              <w:ind w:left="3"/>
            </w:pPr>
            <w:r>
              <w:rPr>
                <w:rFonts w:ascii="微软雅黑" w:eastAsia="微软雅黑" w:hAnsi="微软雅黑" w:cs="微软雅黑"/>
                <w:color w:val="24282E"/>
                <w:sz w:val="19"/>
              </w:rPr>
              <w:t>阈值可调⼯作点;特征组消融(敏感性)</w:t>
            </w:r>
          </w:p>
        </w:tc>
        <w:tc>
          <w:tcPr>
            <w:tcW w:w="1393" w:type="dxa"/>
            <w:tcBorders>
              <w:top w:val="single" w:sz="6" w:space="0" w:color="DFE2E5"/>
              <w:left w:val="single" w:sz="6" w:space="0" w:color="DFE2E5"/>
              <w:bottom w:val="single" w:sz="6" w:space="0" w:color="DFE2E5"/>
              <w:right w:val="single" w:sz="6" w:space="0" w:color="DFE2E5"/>
            </w:tcBorders>
            <w:vAlign w:val="center"/>
          </w:tcPr>
          <w:p w14:paraId="2461EB40" w14:textId="77777777" w:rsidR="005E4DC0" w:rsidRDefault="00931588">
            <w:pPr>
              <w:ind w:right="175"/>
              <w:jc w:val="center"/>
            </w:pPr>
            <w:r>
              <w:rPr>
                <w:noProof/>
              </w:rPr>
              <w:drawing>
                <wp:inline distT="0" distB="0" distL="0" distR="0" wp14:anchorId="3836F045" wp14:editId="2EAC616E">
                  <wp:extent cx="152400" cy="152400"/>
                  <wp:effectExtent l="0" t="0" r="0" b="0"/>
                  <wp:docPr id="6463" name="Picture 6463"/>
                  <wp:cNvGraphicFramePr/>
                  <a:graphic xmlns:a="http://schemas.openxmlformats.org/drawingml/2006/main">
                    <a:graphicData uri="http://schemas.openxmlformats.org/drawingml/2006/picture">
                      <pic:pic xmlns:pic="http://schemas.openxmlformats.org/drawingml/2006/picture">
                        <pic:nvPicPr>
                          <pic:cNvPr id="6463" name="Picture 6463"/>
                          <pic:cNvPicPr/>
                        </pic:nvPicPr>
                        <pic:blipFill>
                          <a:blip r:embed="rId15"/>
                          <a:stretch>
                            <a:fillRect/>
                          </a:stretch>
                        </pic:blipFill>
                        <pic:spPr>
                          <a:xfrm>
                            <a:off x="0" y="0"/>
                            <a:ext cx="152400" cy="152400"/>
                          </a:xfrm>
                          <a:prstGeom prst="rect">
                            <a:avLst/>
                          </a:prstGeom>
                        </pic:spPr>
                      </pic:pic>
                    </a:graphicData>
                  </a:graphic>
                </wp:inline>
              </w:drawing>
            </w:r>
            <w:r>
              <w:rPr>
                <w:rFonts w:ascii="微软雅黑" w:eastAsia="微软雅黑" w:hAnsi="微软雅黑" w:cs="微软雅黑"/>
                <w:color w:val="24282E"/>
                <w:sz w:val="19"/>
              </w:rPr>
              <w:t xml:space="preserve"> 已实现</w:t>
            </w:r>
          </w:p>
        </w:tc>
      </w:tr>
      <w:tr w:rsidR="005E4DC0" w14:paraId="0E18E045" w14:textId="77777777">
        <w:trPr>
          <w:trHeight w:val="448"/>
        </w:trPr>
        <w:tc>
          <w:tcPr>
            <w:tcW w:w="1618"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7657E3D2" w14:textId="77777777" w:rsidR="005E4DC0" w:rsidRDefault="00931588">
            <w:pPr>
              <w:ind w:left="1"/>
            </w:pPr>
            <w:r>
              <w:rPr>
                <w:rFonts w:ascii="微软雅黑" w:eastAsia="微软雅黑" w:hAnsi="微软雅黑" w:cs="微软雅黑"/>
                <w:color w:val="24282E"/>
                <w:sz w:val="19"/>
              </w:rPr>
              <w:t>第 10 条</w:t>
            </w:r>
          </w:p>
        </w:tc>
        <w:tc>
          <w:tcPr>
            <w:tcW w:w="1506"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4CBD498" w14:textId="77777777" w:rsidR="005E4DC0" w:rsidRDefault="00931588">
            <w:r>
              <w:rPr>
                <w:rFonts w:ascii="微软雅黑" w:eastAsia="微软雅黑" w:hAnsi="微软雅黑" w:cs="微软雅黑"/>
                <w:color w:val="24282E"/>
                <w:sz w:val="19"/>
              </w:rPr>
              <w:t>数据治理</w:t>
            </w:r>
          </w:p>
        </w:tc>
        <w:tc>
          <w:tcPr>
            <w:tcW w:w="5061"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AA794E0" w14:textId="77777777" w:rsidR="005E4DC0" w:rsidRDefault="00931588">
            <w:pPr>
              <w:ind w:left="3"/>
            </w:pPr>
            <w:r>
              <w:rPr>
                <w:rFonts w:ascii="微软雅黑" w:eastAsia="微软雅黑" w:hAnsi="微软雅黑" w:cs="微软雅黑"/>
                <w:color w:val="24282E"/>
                <w:sz w:val="19"/>
              </w:rPr>
              <w:t>8-owner 数据划分;电池类型分布报告</w:t>
            </w:r>
          </w:p>
        </w:tc>
        <w:tc>
          <w:tcPr>
            <w:tcW w:w="139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A071E0E" w14:textId="77777777" w:rsidR="005E4DC0" w:rsidRDefault="00931588">
            <w:pPr>
              <w:ind w:right="175"/>
              <w:jc w:val="center"/>
            </w:pPr>
            <w:r>
              <w:rPr>
                <w:noProof/>
              </w:rPr>
              <w:drawing>
                <wp:inline distT="0" distB="0" distL="0" distR="0" wp14:anchorId="2622950D" wp14:editId="17BCD044">
                  <wp:extent cx="152400" cy="152400"/>
                  <wp:effectExtent l="0" t="0" r="0" b="0"/>
                  <wp:docPr id="6483" name="Picture 6483"/>
                  <wp:cNvGraphicFramePr/>
                  <a:graphic xmlns:a="http://schemas.openxmlformats.org/drawingml/2006/main">
                    <a:graphicData uri="http://schemas.openxmlformats.org/drawingml/2006/picture">
                      <pic:pic xmlns:pic="http://schemas.openxmlformats.org/drawingml/2006/picture">
                        <pic:nvPicPr>
                          <pic:cNvPr id="6483" name="Picture 6483"/>
                          <pic:cNvPicPr/>
                        </pic:nvPicPr>
                        <pic:blipFill>
                          <a:blip r:embed="rId15"/>
                          <a:stretch>
                            <a:fillRect/>
                          </a:stretch>
                        </pic:blipFill>
                        <pic:spPr>
                          <a:xfrm>
                            <a:off x="0" y="0"/>
                            <a:ext cx="152400" cy="152400"/>
                          </a:xfrm>
                          <a:prstGeom prst="rect">
                            <a:avLst/>
                          </a:prstGeom>
                        </pic:spPr>
                      </pic:pic>
                    </a:graphicData>
                  </a:graphic>
                </wp:inline>
              </w:drawing>
            </w:r>
            <w:r>
              <w:rPr>
                <w:rFonts w:ascii="微软雅黑" w:eastAsia="微软雅黑" w:hAnsi="微软雅黑" w:cs="微软雅黑"/>
                <w:color w:val="24282E"/>
                <w:sz w:val="19"/>
              </w:rPr>
              <w:t xml:space="preserve"> 已实现</w:t>
            </w:r>
          </w:p>
        </w:tc>
      </w:tr>
      <w:tr w:rsidR="005E4DC0" w14:paraId="6D2FBB01" w14:textId="77777777">
        <w:trPr>
          <w:trHeight w:val="448"/>
        </w:trPr>
        <w:tc>
          <w:tcPr>
            <w:tcW w:w="1618"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6B608118" w14:textId="77777777" w:rsidR="005E4DC0" w:rsidRDefault="00931588">
            <w:pPr>
              <w:ind w:left="1"/>
            </w:pPr>
            <w:r>
              <w:rPr>
                <w:rFonts w:ascii="微软雅黑" w:eastAsia="微软雅黑" w:hAnsi="微软雅黑" w:cs="微软雅黑"/>
                <w:color w:val="24282E"/>
                <w:sz w:val="19"/>
              </w:rPr>
              <w:t>第 11 条</w:t>
            </w:r>
          </w:p>
        </w:tc>
        <w:tc>
          <w:tcPr>
            <w:tcW w:w="1506"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045613D" w14:textId="77777777" w:rsidR="005E4DC0" w:rsidRDefault="00931588">
            <w:r>
              <w:rPr>
                <w:rFonts w:ascii="微软雅黑" w:eastAsia="微软雅黑" w:hAnsi="微软雅黑" w:cs="微软雅黑"/>
                <w:color w:val="24282E"/>
                <w:sz w:val="19"/>
              </w:rPr>
              <w:t>技术⽂档</w:t>
            </w:r>
          </w:p>
        </w:tc>
        <w:tc>
          <w:tcPr>
            <w:tcW w:w="5061"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0B0542D" w14:textId="77777777" w:rsidR="005E4DC0" w:rsidRDefault="00931588">
            <w:pPr>
              <w:ind w:left="3"/>
            </w:pPr>
            <w:r>
              <w:rPr>
                <w:rFonts w:ascii="微软雅黑" w:eastAsia="微软雅黑" w:hAnsi="微软雅黑" w:cs="微软雅黑"/>
                <w:color w:val="24282E"/>
                <w:sz w:val="19"/>
              </w:rPr>
              <w:t>Model Card(⻅下)</w:t>
            </w:r>
          </w:p>
        </w:tc>
        <w:tc>
          <w:tcPr>
            <w:tcW w:w="139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79A154A" w14:textId="77777777" w:rsidR="005E4DC0" w:rsidRDefault="00931588">
            <w:pPr>
              <w:ind w:right="175"/>
              <w:jc w:val="center"/>
            </w:pPr>
            <w:r>
              <w:rPr>
                <w:noProof/>
              </w:rPr>
              <w:drawing>
                <wp:inline distT="0" distB="0" distL="0" distR="0" wp14:anchorId="418E918D" wp14:editId="1572A7B1">
                  <wp:extent cx="152400" cy="152400"/>
                  <wp:effectExtent l="0" t="0" r="0" b="0"/>
                  <wp:docPr id="6497" name="Picture 6497"/>
                  <wp:cNvGraphicFramePr/>
                  <a:graphic xmlns:a="http://schemas.openxmlformats.org/drawingml/2006/main">
                    <a:graphicData uri="http://schemas.openxmlformats.org/drawingml/2006/picture">
                      <pic:pic xmlns:pic="http://schemas.openxmlformats.org/drawingml/2006/picture">
                        <pic:nvPicPr>
                          <pic:cNvPr id="6497" name="Picture 6497"/>
                          <pic:cNvPicPr/>
                        </pic:nvPicPr>
                        <pic:blipFill>
                          <a:blip r:embed="rId15"/>
                          <a:stretch>
                            <a:fillRect/>
                          </a:stretch>
                        </pic:blipFill>
                        <pic:spPr>
                          <a:xfrm>
                            <a:off x="0" y="0"/>
                            <a:ext cx="152400" cy="152400"/>
                          </a:xfrm>
                          <a:prstGeom prst="rect">
                            <a:avLst/>
                          </a:prstGeom>
                        </pic:spPr>
                      </pic:pic>
                    </a:graphicData>
                  </a:graphic>
                </wp:inline>
              </w:drawing>
            </w:r>
            <w:r>
              <w:rPr>
                <w:rFonts w:ascii="微软雅黑" w:eastAsia="微软雅黑" w:hAnsi="微软雅黑" w:cs="微软雅黑"/>
                <w:color w:val="24282E"/>
                <w:sz w:val="19"/>
              </w:rPr>
              <w:t xml:space="preserve"> 已实现</w:t>
            </w:r>
          </w:p>
        </w:tc>
      </w:tr>
      <w:tr w:rsidR="005E4DC0" w14:paraId="4ACFB9AA" w14:textId="77777777">
        <w:trPr>
          <w:trHeight w:val="448"/>
        </w:trPr>
        <w:tc>
          <w:tcPr>
            <w:tcW w:w="1618"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B2610C5" w14:textId="77777777" w:rsidR="005E4DC0" w:rsidRDefault="00931588">
            <w:pPr>
              <w:ind w:left="1"/>
            </w:pPr>
            <w:r>
              <w:rPr>
                <w:rFonts w:ascii="微软雅黑" w:eastAsia="微软雅黑" w:hAnsi="微软雅黑" w:cs="微软雅黑"/>
                <w:color w:val="24282E"/>
                <w:sz w:val="19"/>
              </w:rPr>
              <w:t>第 12 条</w:t>
            </w:r>
          </w:p>
        </w:tc>
        <w:tc>
          <w:tcPr>
            <w:tcW w:w="1506"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E5E35B3" w14:textId="77777777" w:rsidR="005E4DC0" w:rsidRDefault="00931588">
            <w:r>
              <w:rPr>
                <w:rFonts w:ascii="微软雅黑" w:eastAsia="微软雅黑" w:hAnsi="微软雅黑" w:cs="微软雅黑"/>
                <w:color w:val="24282E"/>
                <w:sz w:val="19"/>
              </w:rPr>
              <w:t>⽇志记录</w:t>
            </w:r>
          </w:p>
        </w:tc>
        <w:tc>
          <w:tcPr>
            <w:tcW w:w="5061"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F3EEF97" w14:textId="77777777" w:rsidR="005E4DC0" w:rsidRDefault="00931588">
            <w:pPr>
              <w:ind w:left="3"/>
            </w:pPr>
            <w:r>
              <w:rPr>
                <w:rFonts w:ascii="微软雅黑" w:eastAsia="微软雅黑" w:hAnsi="微软雅黑" w:cs="微软雅黑"/>
                <w:color w:val="24282E"/>
                <w:sz w:val="19"/>
              </w:rPr>
              <w:t>审计⽇志表:预测+归因+置信度+⼈⼯处置结果</w:t>
            </w:r>
          </w:p>
        </w:tc>
        <w:tc>
          <w:tcPr>
            <w:tcW w:w="139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C7A4C59" w14:textId="77777777" w:rsidR="005E4DC0" w:rsidRDefault="00931588">
            <w:pPr>
              <w:ind w:right="175"/>
              <w:jc w:val="center"/>
            </w:pPr>
            <w:r>
              <w:rPr>
                <w:noProof/>
              </w:rPr>
              <w:drawing>
                <wp:inline distT="0" distB="0" distL="0" distR="0" wp14:anchorId="6A97E021" wp14:editId="5F7E3FFB">
                  <wp:extent cx="152400" cy="152400"/>
                  <wp:effectExtent l="0" t="0" r="0" b="0"/>
                  <wp:docPr id="6523" name="Picture 6523"/>
                  <wp:cNvGraphicFramePr/>
                  <a:graphic xmlns:a="http://schemas.openxmlformats.org/drawingml/2006/main">
                    <a:graphicData uri="http://schemas.openxmlformats.org/drawingml/2006/picture">
                      <pic:pic xmlns:pic="http://schemas.openxmlformats.org/drawingml/2006/picture">
                        <pic:nvPicPr>
                          <pic:cNvPr id="6523" name="Picture 6523"/>
                          <pic:cNvPicPr/>
                        </pic:nvPicPr>
                        <pic:blipFill>
                          <a:blip r:embed="rId16"/>
                          <a:stretch>
                            <a:fillRect/>
                          </a:stretch>
                        </pic:blipFill>
                        <pic:spPr>
                          <a:xfrm>
                            <a:off x="0" y="0"/>
                            <a:ext cx="152400" cy="152400"/>
                          </a:xfrm>
                          <a:prstGeom prst="rect">
                            <a:avLst/>
                          </a:prstGeom>
                        </pic:spPr>
                      </pic:pic>
                    </a:graphicData>
                  </a:graphic>
                </wp:inline>
              </w:drawing>
            </w:r>
            <w:r>
              <w:rPr>
                <w:rFonts w:ascii="微软雅黑" w:eastAsia="微软雅黑" w:hAnsi="微软雅黑" w:cs="微软雅黑"/>
                <w:color w:val="24282E"/>
                <w:sz w:val="19"/>
              </w:rPr>
              <w:t xml:space="preserve"> 需落地</w:t>
            </w:r>
          </w:p>
        </w:tc>
      </w:tr>
      <w:tr w:rsidR="005E4DC0" w14:paraId="50E9BBD9" w14:textId="77777777">
        <w:trPr>
          <w:trHeight w:val="448"/>
        </w:trPr>
        <w:tc>
          <w:tcPr>
            <w:tcW w:w="1618"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E12859A" w14:textId="77777777" w:rsidR="005E4DC0" w:rsidRDefault="00931588">
            <w:pPr>
              <w:ind w:left="1"/>
            </w:pPr>
            <w:r>
              <w:rPr>
                <w:rFonts w:ascii="微软雅黑" w:eastAsia="微软雅黑" w:hAnsi="微软雅黑" w:cs="微软雅黑"/>
                <w:color w:val="24282E"/>
                <w:sz w:val="19"/>
              </w:rPr>
              <w:t>第 13 条</w:t>
            </w:r>
          </w:p>
        </w:tc>
        <w:tc>
          <w:tcPr>
            <w:tcW w:w="1506"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79C2C6D" w14:textId="77777777" w:rsidR="005E4DC0" w:rsidRDefault="00931588">
            <w:r>
              <w:rPr>
                <w:rFonts w:ascii="微软雅黑" w:eastAsia="微软雅黑" w:hAnsi="微软雅黑" w:cs="微软雅黑"/>
                <w:color w:val="24282E"/>
                <w:sz w:val="19"/>
              </w:rPr>
              <w:t>透明度</w:t>
            </w:r>
          </w:p>
        </w:tc>
        <w:tc>
          <w:tcPr>
            <w:tcW w:w="5061"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D613660" w14:textId="77777777" w:rsidR="005E4DC0" w:rsidRDefault="00931588">
            <w:pPr>
              <w:ind w:left="3"/>
            </w:pPr>
            <w:r>
              <w:rPr>
                <w:rFonts w:ascii="微软雅黑" w:eastAsia="微软雅黑" w:hAnsi="微软雅黑" w:cs="微软雅黑"/>
                <w:color w:val="24282E"/>
                <w:sz w:val="19"/>
              </w:rPr>
              <w:t>多视⻆归因(注意⼒ + 置换重要性 + 消融)("为什么报警")</w:t>
            </w:r>
          </w:p>
        </w:tc>
        <w:tc>
          <w:tcPr>
            <w:tcW w:w="139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56FE67B" w14:textId="77777777" w:rsidR="005E4DC0" w:rsidRDefault="00931588">
            <w:pPr>
              <w:ind w:right="175"/>
              <w:jc w:val="center"/>
            </w:pPr>
            <w:r>
              <w:rPr>
                <w:noProof/>
              </w:rPr>
              <w:drawing>
                <wp:inline distT="0" distB="0" distL="0" distR="0" wp14:anchorId="096972E7" wp14:editId="2D69BEEB">
                  <wp:extent cx="152400" cy="152400"/>
                  <wp:effectExtent l="0" t="0" r="0" b="0"/>
                  <wp:docPr id="6545" name="Picture 6545"/>
                  <wp:cNvGraphicFramePr/>
                  <a:graphic xmlns:a="http://schemas.openxmlformats.org/drawingml/2006/main">
                    <a:graphicData uri="http://schemas.openxmlformats.org/drawingml/2006/picture">
                      <pic:pic xmlns:pic="http://schemas.openxmlformats.org/drawingml/2006/picture">
                        <pic:nvPicPr>
                          <pic:cNvPr id="6545" name="Picture 6545"/>
                          <pic:cNvPicPr/>
                        </pic:nvPicPr>
                        <pic:blipFill>
                          <a:blip r:embed="rId15"/>
                          <a:stretch>
                            <a:fillRect/>
                          </a:stretch>
                        </pic:blipFill>
                        <pic:spPr>
                          <a:xfrm>
                            <a:off x="0" y="0"/>
                            <a:ext cx="152400" cy="152400"/>
                          </a:xfrm>
                          <a:prstGeom prst="rect">
                            <a:avLst/>
                          </a:prstGeom>
                        </pic:spPr>
                      </pic:pic>
                    </a:graphicData>
                  </a:graphic>
                </wp:inline>
              </w:drawing>
            </w:r>
            <w:r>
              <w:rPr>
                <w:rFonts w:ascii="微软雅黑" w:eastAsia="微软雅黑" w:hAnsi="微软雅黑" w:cs="微软雅黑"/>
                <w:color w:val="24282E"/>
                <w:sz w:val="19"/>
              </w:rPr>
              <w:t xml:space="preserve"> 已实现</w:t>
            </w:r>
          </w:p>
        </w:tc>
      </w:tr>
      <w:tr w:rsidR="005E4DC0" w14:paraId="2640EC5E" w14:textId="77777777">
        <w:trPr>
          <w:trHeight w:val="448"/>
        </w:trPr>
        <w:tc>
          <w:tcPr>
            <w:tcW w:w="1618"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1D85265" w14:textId="77777777" w:rsidR="005E4DC0" w:rsidRDefault="00931588">
            <w:pPr>
              <w:ind w:left="1"/>
            </w:pPr>
            <w:r>
              <w:rPr>
                <w:rFonts w:ascii="微软雅黑" w:eastAsia="微软雅黑" w:hAnsi="微软雅黑" w:cs="微软雅黑"/>
                <w:color w:val="24282E"/>
                <w:sz w:val="19"/>
              </w:rPr>
              <w:t>第 14 条</w:t>
            </w:r>
          </w:p>
        </w:tc>
        <w:tc>
          <w:tcPr>
            <w:tcW w:w="1506"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2DDA902" w14:textId="77777777" w:rsidR="005E4DC0" w:rsidRDefault="00931588">
            <w:r>
              <w:rPr>
                <w:rFonts w:ascii="微软雅黑" w:eastAsia="微软雅黑" w:hAnsi="微软雅黑" w:cs="微软雅黑"/>
                <w:color w:val="24282E"/>
                <w:sz w:val="19"/>
              </w:rPr>
              <w:t>⼈类监督</w:t>
            </w:r>
          </w:p>
        </w:tc>
        <w:tc>
          <w:tcPr>
            <w:tcW w:w="5061"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1CA99409" w14:textId="77777777" w:rsidR="005E4DC0" w:rsidRDefault="00931588">
            <w:pPr>
              <w:ind w:left="3"/>
            </w:pPr>
            <w:r>
              <w:rPr>
                <w:rFonts w:ascii="微软雅黑" w:eastAsia="微软雅黑" w:hAnsi="微软雅黑" w:cs="微软雅黑"/>
                <w:color w:val="24282E"/>
                <w:sz w:val="19"/>
              </w:rPr>
              <w:t>运维⼈员基于归因确认+处置;⼈⼯反馈回流训练</w:t>
            </w:r>
          </w:p>
        </w:tc>
        <w:tc>
          <w:tcPr>
            <w:tcW w:w="139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0A0DCBC" w14:textId="77777777" w:rsidR="005E4DC0" w:rsidRDefault="00931588">
            <w:pPr>
              <w:ind w:right="3"/>
              <w:jc w:val="right"/>
            </w:pPr>
            <w:r>
              <w:rPr>
                <w:noProof/>
              </w:rPr>
              <w:drawing>
                <wp:inline distT="0" distB="0" distL="0" distR="0" wp14:anchorId="4CCDFD49" wp14:editId="157AB10A">
                  <wp:extent cx="152400" cy="152400"/>
                  <wp:effectExtent l="0" t="0" r="0" b="0"/>
                  <wp:docPr id="6570" name="Picture 6570"/>
                  <wp:cNvGraphicFramePr/>
                  <a:graphic xmlns:a="http://schemas.openxmlformats.org/drawingml/2006/main">
                    <a:graphicData uri="http://schemas.openxmlformats.org/drawingml/2006/picture">
                      <pic:pic xmlns:pic="http://schemas.openxmlformats.org/drawingml/2006/picture">
                        <pic:nvPicPr>
                          <pic:cNvPr id="6570" name="Picture 6570"/>
                          <pic:cNvPicPr/>
                        </pic:nvPicPr>
                        <pic:blipFill>
                          <a:blip r:embed="rId15"/>
                          <a:stretch>
                            <a:fillRect/>
                          </a:stretch>
                        </pic:blipFill>
                        <pic:spPr>
                          <a:xfrm>
                            <a:off x="0" y="0"/>
                            <a:ext cx="152400" cy="152400"/>
                          </a:xfrm>
                          <a:prstGeom prst="rect">
                            <a:avLst/>
                          </a:prstGeom>
                        </pic:spPr>
                      </pic:pic>
                    </a:graphicData>
                  </a:graphic>
                </wp:inline>
              </w:drawing>
            </w:r>
            <w:r>
              <w:rPr>
                <w:rFonts w:ascii="微软雅黑" w:eastAsia="微软雅黑" w:hAnsi="微软雅黑" w:cs="微软雅黑"/>
                <w:color w:val="24282E"/>
                <w:sz w:val="19"/>
              </w:rPr>
              <w:t xml:space="preserve"> 流程设计</w:t>
            </w:r>
          </w:p>
        </w:tc>
      </w:tr>
      <w:tr w:rsidR="005E4DC0" w14:paraId="2958937C" w14:textId="77777777">
        <w:trPr>
          <w:trHeight w:val="448"/>
        </w:trPr>
        <w:tc>
          <w:tcPr>
            <w:tcW w:w="1618"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23B8A459" w14:textId="77777777" w:rsidR="005E4DC0" w:rsidRDefault="00931588">
            <w:pPr>
              <w:ind w:left="1"/>
            </w:pPr>
            <w:r>
              <w:rPr>
                <w:rFonts w:ascii="微软雅黑" w:eastAsia="微软雅黑" w:hAnsi="微软雅黑" w:cs="微软雅黑"/>
                <w:color w:val="24282E"/>
                <w:sz w:val="19"/>
              </w:rPr>
              <w:t>第 15 条</w:t>
            </w:r>
          </w:p>
        </w:tc>
        <w:tc>
          <w:tcPr>
            <w:tcW w:w="1506"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D85A7C5" w14:textId="77777777" w:rsidR="005E4DC0" w:rsidRDefault="00931588">
            <w:pPr>
              <w:jc w:val="both"/>
            </w:pPr>
            <w:r>
              <w:rPr>
                <w:rFonts w:ascii="微软雅黑" w:eastAsia="微软雅黑" w:hAnsi="微软雅黑" w:cs="微软雅黑"/>
                <w:color w:val="24282E"/>
                <w:sz w:val="19"/>
              </w:rPr>
              <w:t>准确性/鲁棒性</w:t>
            </w:r>
          </w:p>
        </w:tc>
        <w:tc>
          <w:tcPr>
            <w:tcW w:w="5061"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B822EAD" w14:textId="77777777" w:rsidR="005E4DC0" w:rsidRDefault="00931588">
            <w:pPr>
              <w:ind w:left="3"/>
            </w:pPr>
            <w:r>
              <w:rPr>
                <w:rFonts w:ascii="微软雅黑" w:eastAsia="微软雅黑" w:hAnsi="微软雅黑" w:cs="微软雅黑"/>
                <w:color w:val="24282E"/>
                <w:sz w:val="19"/>
              </w:rPr>
              <w:t>跨站点 PR-AUC=0.918 F1=0.795 AUC=0.990</w:t>
            </w:r>
          </w:p>
        </w:tc>
        <w:tc>
          <w:tcPr>
            <w:tcW w:w="139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C454AF0" w14:textId="77777777" w:rsidR="005E4DC0" w:rsidRDefault="00931588">
            <w:pPr>
              <w:ind w:right="175"/>
              <w:jc w:val="center"/>
            </w:pPr>
            <w:r>
              <w:rPr>
                <w:noProof/>
              </w:rPr>
              <w:drawing>
                <wp:inline distT="0" distB="0" distL="0" distR="0" wp14:anchorId="1EE6861B" wp14:editId="0CB37980">
                  <wp:extent cx="152400" cy="152400"/>
                  <wp:effectExtent l="0" t="0" r="0" b="0"/>
                  <wp:docPr id="6585" name="Picture 6585"/>
                  <wp:cNvGraphicFramePr/>
                  <a:graphic xmlns:a="http://schemas.openxmlformats.org/drawingml/2006/main">
                    <a:graphicData uri="http://schemas.openxmlformats.org/drawingml/2006/picture">
                      <pic:pic xmlns:pic="http://schemas.openxmlformats.org/drawingml/2006/picture">
                        <pic:nvPicPr>
                          <pic:cNvPr id="6585" name="Picture 6585"/>
                          <pic:cNvPicPr/>
                        </pic:nvPicPr>
                        <pic:blipFill>
                          <a:blip r:embed="rId15"/>
                          <a:stretch>
                            <a:fillRect/>
                          </a:stretch>
                        </pic:blipFill>
                        <pic:spPr>
                          <a:xfrm>
                            <a:off x="0" y="0"/>
                            <a:ext cx="152400" cy="152400"/>
                          </a:xfrm>
                          <a:prstGeom prst="rect">
                            <a:avLst/>
                          </a:prstGeom>
                        </pic:spPr>
                      </pic:pic>
                    </a:graphicData>
                  </a:graphic>
                </wp:inline>
              </w:drawing>
            </w:r>
            <w:r>
              <w:rPr>
                <w:rFonts w:ascii="微软雅黑" w:eastAsia="微软雅黑" w:hAnsi="微软雅黑" w:cs="微软雅黑"/>
                <w:color w:val="24282E"/>
                <w:sz w:val="19"/>
              </w:rPr>
              <w:t xml:space="preserve"> 已实现</w:t>
            </w:r>
          </w:p>
        </w:tc>
      </w:tr>
    </w:tbl>
    <w:p w14:paraId="461EBBA9" w14:textId="77777777" w:rsidR="005E4DC0" w:rsidRDefault="00931588">
      <w:pPr>
        <w:spacing w:after="191" w:line="307" w:lineRule="auto"/>
        <w:ind w:left="6" w:right="75" w:hanging="10"/>
        <w:jc w:val="both"/>
      </w:pPr>
      <w:r>
        <w:rPr>
          <w:rFonts w:ascii="微软雅黑" w:eastAsia="微软雅黑" w:hAnsi="微软雅黑" w:cs="微软雅黑"/>
          <w:b/>
          <w:sz w:val="19"/>
        </w:rPr>
        <w:t>审计⽇志模板</w:t>
      </w:r>
      <w:r>
        <w:rPr>
          <w:rFonts w:ascii="微软雅黑" w:eastAsia="微软雅黑" w:hAnsi="微软雅黑" w:cs="微软雅黑"/>
          <w:sz w:val="19"/>
        </w:rPr>
        <w:t xml:space="preserve">(EU AI Act </w:t>
      </w:r>
      <w:r>
        <w:rPr>
          <w:rFonts w:ascii="微软雅黑" w:eastAsia="微软雅黑" w:hAnsi="微软雅黑" w:cs="微软雅黑"/>
          <w:b/>
          <w:sz w:val="19"/>
        </w:rPr>
        <w:t>第</w:t>
      </w:r>
      <w:r>
        <w:rPr>
          <w:rFonts w:ascii="微软雅黑" w:eastAsia="微软雅黑" w:hAnsi="微软雅黑" w:cs="微软雅黑"/>
          <w:sz w:val="19"/>
        </w:rPr>
        <w:t xml:space="preserve"> 12 </w:t>
      </w:r>
      <w:r>
        <w:rPr>
          <w:rFonts w:ascii="微软雅黑" w:eastAsia="微软雅黑" w:hAnsi="微软雅黑" w:cs="微软雅黑"/>
          <w:b/>
          <w:sz w:val="19"/>
        </w:rPr>
        <w:t>条</w:t>
      </w:r>
      <w:r>
        <w:rPr>
          <w:rFonts w:ascii="微软雅黑" w:eastAsia="微软雅黑" w:hAnsi="微软雅黑" w:cs="微软雅黑"/>
          <w:sz w:val="19"/>
        </w:rPr>
        <w:t>)</w:t>
      </w:r>
      <w:r>
        <w:rPr>
          <w:rFonts w:ascii="微软雅黑" w:eastAsia="微软雅黑" w:hAnsi="微软雅黑" w:cs="微软雅黑"/>
          <w:color w:val="24282E"/>
          <w:sz w:val="19"/>
        </w:rPr>
        <w:t>:每次预测⾃动⽣成⼀条不可篡改记录,含时间戳、设备编号、特征哈希、预测类别、置信度、</w:t>
      </w:r>
      <w:r>
        <w:rPr>
          <w:rFonts w:ascii="微软雅黑" w:eastAsia="微软雅黑" w:hAnsi="微软雅黑" w:cs="微软雅黑"/>
          <w:b/>
          <w:sz w:val="19"/>
        </w:rPr>
        <w:t>归因值</w:t>
      </w:r>
      <w:r>
        <w:rPr>
          <w:rFonts w:ascii="微软雅黑" w:eastAsia="微软雅黑" w:hAnsi="微软雅黑" w:cs="微软雅黑"/>
          <w:sz w:val="19"/>
        </w:rPr>
        <w:t>(</w:t>
      </w:r>
      <w:r>
        <w:rPr>
          <w:rFonts w:ascii="微软雅黑" w:eastAsia="微软雅黑" w:hAnsi="微软雅黑" w:cs="微软雅黑"/>
          <w:b/>
          <w:sz w:val="19"/>
        </w:rPr>
        <w:t>注意⼒</w:t>
      </w:r>
      <w:r>
        <w:rPr>
          <w:rFonts w:ascii="微软雅黑" w:eastAsia="微软雅黑" w:hAnsi="微软雅黑" w:cs="微软雅黑"/>
          <w:sz w:val="19"/>
        </w:rPr>
        <w:t xml:space="preserve"> + </w:t>
      </w:r>
      <w:r>
        <w:rPr>
          <w:rFonts w:ascii="微软雅黑" w:eastAsia="微软雅黑" w:hAnsi="微软雅黑" w:cs="微软雅黑"/>
          <w:b/>
          <w:sz w:val="19"/>
        </w:rPr>
        <w:t>置换重要性</w:t>
      </w:r>
      <w:r>
        <w:rPr>
          <w:rFonts w:ascii="微软雅黑" w:eastAsia="微软雅黑" w:hAnsi="微软雅黑" w:cs="微软雅黑"/>
          <w:sz w:val="19"/>
        </w:rPr>
        <w:t>)</w:t>
      </w:r>
      <w:r>
        <w:rPr>
          <w:rFonts w:ascii="微软雅黑" w:eastAsia="微软雅黑" w:hAnsi="微软雅黑" w:cs="微软雅黑"/>
          <w:color w:val="24282E"/>
          <w:sz w:val="19"/>
        </w:rPr>
        <w:t>、阈值、⼈⼯处置结果与责任⼈。归因随预测⼀起存档,使事后监管审查可回答"为什么当时判定故障", ⼈⼯确认结果回流训练形成持续学习闭环。</w:t>
      </w:r>
    </w:p>
    <w:p w14:paraId="24122467" w14:textId="77777777" w:rsidR="005E4DC0" w:rsidRDefault="00931588">
      <w:pPr>
        <w:spacing w:after="339" w:line="265" w:lineRule="auto"/>
        <w:ind w:left="6" w:hanging="10"/>
      </w:pPr>
      <w:r>
        <w:rPr>
          <w:rFonts w:ascii="微软雅黑" w:eastAsia="微软雅黑" w:hAnsi="微软雅黑" w:cs="微软雅黑"/>
          <w:b/>
          <w:sz w:val="19"/>
        </w:rPr>
        <w:t>模型卡⽚</w:t>
      </w:r>
      <w:r>
        <w:rPr>
          <w:rFonts w:ascii="微软雅黑" w:eastAsia="微软雅黑" w:hAnsi="微软雅黑" w:cs="微软雅黑"/>
          <w:sz w:val="19"/>
        </w:rPr>
        <w:t>(Model Card)</w:t>
      </w:r>
      <w:r>
        <w:rPr>
          <w:rFonts w:ascii="微软雅黑" w:eastAsia="微软雅黑" w:hAnsi="微软雅黑" w:cs="微软雅黑"/>
          <w:color w:val="24282E"/>
          <w:sz w:val="19"/>
        </w:rPr>
        <w:t xml:space="preserve"> [16]:</w:t>
      </w:r>
    </w:p>
    <w:p w14:paraId="670B4D5F" w14:textId="77777777" w:rsidR="005E4DC0" w:rsidRDefault="00931588">
      <w:pPr>
        <w:spacing w:after="11"/>
        <w:ind w:left="158" w:hanging="10"/>
      </w:pPr>
      <w:r>
        <w:rPr>
          <w:rFonts w:ascii="微软雅黑" w:eastAsia="微软雅黑" w:hAnsi="微软雅黑" w:cs="微软雅黑"/>
          <w:color w:val="545454"/>
          <w:sz w:val="16"/>
        </w:rPr>
        <w:t>!""""""""""""""""""""""""""""""""""""""""""""""""""""""#</w:t>
      </w:r>
    </w:p>
    <w:p w14:paraId="37A41A11" w14:textId="77777777" w:rsidR="005E4DC0" w:rsidRDefault="00931588">
      <w:pPr>
        <w:spacing w:after="11"/>
        <w:ind w:left="158" w:hanging="10"/>
      </w:pPr>
      <w:r>
        <w:rPr>
          <w:rFonts w:ascii="微软雅黑" w:eastAsia="微软雅黑" w:hAnsi="微软雅黑" w:cs="微软雅黑"/>
          <w:color w:val="545454"/>
          <w:sz w:val="16"/>
        </w:rPr>
        <w:t>$ Model Card: 充电站异常检测器 v5 (Token-Attn)          $</w:t>
      </w:r>
    </w:p>
    <w:p w14:paraId="2D88CEE0" w14:textId="77777777" w:rsidR="005E4DC0" w:rsidRDefault="00931588">
      <w:pPr>
        <w:spacing w:after="11"/>
        <w:ind w:left="158" w:hanging="10"/>
      </w:pPr>
      <w:r>
        <w:rPr>
          <w:rFonts w:ascii="微软雅黑" w:eastAsia="微软雅黑" w:hAnsi="微软雅黑" w:cs="微软雅黑"/>
          <w:color w:val="545454"/>
          <w:sz w:val="16"/>
        </w:rPr>
        <w:t>%""""""""""""""""""""""""""""""""""""""""""""""""""""""&amp;</w:t>
      </w:r>
    </w:p>
    <w:p w14:paraId="747532E6" w14:textId="77777777" w:rsidR="005E4DC0" w:rsidRDefault="00931588">
      <w:pPr>
        <w:spacing w:after="11"/>
        <w:ind w:left="158" w:hanging="10"/>
      </w:pPr>
      <w:r>
        <w:rPr>
          <w:rFonts w:ascii="微软雅黑" w:eastAsia="微软雅黑" w:hAnsi="微软雅黑" w:cs="微软雅黑"/>
          <w:color w:val="545454"/>
          <w:sz w:val="16"/>
        </w:rPr>
        <w:t>$ 模型类型     : 多模态注意⼒融合(双向LSTM+特征token)     $</w:t>
      </w:r>
    </w:p>
    <w:p w14:paraId="4F2EA55A" w14:textId="77777777" w:rsidR="005E4DC0" w:rsidRDefault="00931588">
      <w:pPr>
        <w:spacing w:after="11"/>
        <w:ind w:left="158" w:hanging="10"/>
      </w:pPr>
      <w:r>
        <w:rPr>
          <w:rFonts w:ascii="微软雅黑" w:eastAsia="微软雅黑" w:hAnsi="微软雅黑" w:cs="微软雅黑"/>
          <w:color w:val="545454"/>
          <w:sz w:val="16"/>
        </w:rPr>
        <w:t>$ 训练数据     : 深圳 30 座充电站真实数据(2020-2024),   $</w:t>
      </w:r>
    </w:p>
    <w:p w14:paraId="4B8A5B04" w14:textId="77777777" w:rsidR="005E4DC0" w:rsidRDefault="00931588">
      <w:pPr>
        <w:spacing w:after="11"/>
        <w:ind w:left="158" w:hanging="10"/>
      </w:pPr>
      <w:r>
        <w:rPr>
          <w:rFonts w:ascii="微软雅黑" w:eastAsia="微软雅黑" w:hAnsi="微软雅黑" w:cs="微软雅黑"/>
          <w:color w:val="545454"/>
          <w:sz w:val="16"/>
        </w:rPr>
        <w:t>$               13,505 训练序列(owner 1-6 的 80% 切分),642 故障 $</w:t>
      </w:r>
    </w:p>
    <w:p w14:paraId="15D282D2" w14:textId="77777777" w:rsidR="005E4DC0" w:rsidRDefault="00931588">
      <w:pPr>
        <w:spacing w:after="11"/>
        <w:ind w:left="158" w:hanging="10"/>
      </w:pPr>
      <w:r>
        <w:rPr>
          <w:rFonts w:ascii="微软雅黑" w:eastAsia="微软雅黑" w:hAnsi="微软雅黑" w:cs="微软雅黑"/>
          <w:color w:val="545454"/>
          <w:sz w:val="16"/>
        </w:rPr>
        <w:t>$ 测试数据     : 新站点 owner 7-8,2,776 序列,129 故障    $</w:t>
      </w:r>
    </w:p>
    <w:p w14:paraId="47F16803" w14:textId="77777777" w:rsidR="005E4DC0" w:rsidRDefault="00931588">
      <w:pPr>
        <w:spacing w:after="11"/>
        <w:ind w:left="158" w:hanging="10"/>
      </w:pPr>
      <w:r>
        <w:rPr>
          <w:rFonts w:ascii="微软雅黑" w:eastAsia="微软雅黑" w:hAnsi="微软雅黑" w:cs="微软雅黑"/>
          <w:color w:val="545454"/>
          <w:sz w:val="16"/>
        </w:rPr>
        <w:t>$ 性能         : PR-AUC=0.918 AUC=0.990                  $</w:t>
      </w:r>
    </w:p>
    <w:p w14:paraId="13301E00" w14:textId="77777777" w:rsidR="005E4DC0" w:rsidRDefault="00931588">
      <w:pPr>
        <w:spacing w:after="11"/>
        <w:ind w:left="158" w:hanging="10"/>
      </w:pPr>
      <w:r>
        <w:rPr>
          <w:rFonts w:ascii="微软雅黑" w:eastAsia="微软雅黑" w:hAnsi="微软雅黑" w:cs="微软雅黑"/>
          <w:color w:val="545454"/>
          <w:sz w:val="16"/>
        </w:rPr>
        <w:t>$               Recall=68.99% Prec=93.68% F1=0.795      $</w:t>
      </w:r>
    </w:p>
    <w:p w14:paraId="37FB907C" w14:textId="77777777" w:rsidR="005E4DC0" w:rsidRDefault="00931588">
      <w:pPr>
        <w:spacing w:after="5" w:line="267" w:lineRule="auto"/>
        <w:ind w:left="158" w:right="5327" w:hanging="10"/>
      </w:pPr>
      <w:r>
        <w:rPr>
          <w:rFonts w:ascii="微软雅黑" w:eastAsia="微软雅黑" w:hAnsi="微软雅黑" w:cs="微软雅黑"/>
          <w:color w:val="545454"/>
          <w:sz w:val="16"/>
        </w:rPr>
        <w:t>$ 可解释性     : 多视⻆归因(⾃注意⼒ + 置换重要性 + 消融)   $ $ 主要特征     : 枪温统计量, 电压/电流极值, 末端 SOC      $</w:t>
      </w:r>
    </w:p>
    <w:p w14:paraId="48E2BE83" w14:textId="77777777" w:rsidR="005E4DC0" w:rsidRDefault="00931588">
      <w:pPr>
        <w:spacing w:after="11"/>
        <w:ind w:left="158" w:hanging="10"/>
      </w:pPr>
      <w:r>
        <w:rPr>
          <w:rFonts w:ascii="微软雅黑" w:eastAsia="微软雅黑" w:hAnsi="微软雅黑" w:cs="微软雅黑"/>
          <w:color w:val="545454"/>
          <w:sz w:val="16"/>
        </w:rPr>
        <w:t>$ 已知局限     : 1 极端类别不平衡(序列级 4.65%)           $</w:t>
      </w:r>
    </w:p>
    <w:p w14:paraId="3DB37CC9" w14:textId="77777777" w:rsidR="005E4DC0" w:rsidRDefault="00931588">
      <w:pPr>
        <w:spacing w:after="11"/>
        <w:ind w:left="158" w:hanging="10"/>
      </w:pPr>
      <w:r>
        <w:rPr>
          <w:rFonts w:ascii="微软雅黑" w:eastAsia="微软雅黑" w:hAnsi="微软雅黑" w:cs="微软雅黑"/>
          <w:color w:val="545454"/>
          <w:sz w:val="16"/>
        </w:rPr>
        <w:t>$               2 新站点冷启动需重校准阈值                $</w:t>
      </w:r>
    </w:p>
    <w:p w14:paraId="29C6F2A7" w14:textId="77777777" w:rsidR="005E4DC0" w:rsidRDefault="00931588">
      <w:pPr>
        <w:spacing w:after="5" w:line="267" w:lineRule="auto"/>
        <w:ind w:left="158" w:right="5327" w:hanging="10"/>
      </w:pPr>
      <w:r>
        <w:rPr>
          <w:noProof/>
        </w:rPr>
        <mc:AlternateContent>
          <mc:Choice Requires="wpg">
            <w:drawing>
              <wp:anchor distT="0" distB="0" distL="114300" distR="114300" simplePos="0" relativeHeight="251668480" behindDoc="1" locked="0" layoutInCell="1" allowOverlap="1" wp14:anchorId="5C48E61C" wp14:editId="73B0AC5E">
                <wp:simplePos x="0" y="0"/>
                <wp:positionH relativeFrom="column">
                  <wp:posOffset>0</wp:posOffset>
                </wp:positionH>
                <wp:positionV relativeFrom="paragraph">
                  <wp:posOffset>-1952295</wp:posOffset>
                </wp:positionV>
                <wp:extent cx="6936564" cy="2629182"/>
                <wp:effectExtent l="0" t="0" r="0" b="0"/>
                <wp:wrapNone/>
                <wp:docPr id="33837" name="Group 33837"/>
                <wp:cNvGraphicFramePr/>
                <a:graphic xmlns:a="http://schemas.openxmlformats.org/drawingml/2006/main">
                  <a:graphicData uri="http://schemas.microsoft.com/office/word/2010/wordprocessingGroup">
                    <wpg:wgp>
                      <wpg:cNvGrpSpPr/>
                      <wpg:grpSpPr>
                        <a:xfrm>
                          <a:off x="0" y="0"/>
                          <a:ext cx="6936564" cy="2629182"/>
                          <a:chOff x="0" y="0"/>
                          <a:chExt cx="6936564" cy="2629182"/>
                        </a:xfrm>
                      </wpg:grpSpPr>
                      <wps:wsp>
                        <wps:cNvPr id="6911" name="Shape 6911"/>
                        <wps:cNvSpPr/>
                        <wps:spPr>
                          <a:xfrm>
                            <a:off x="0" y="0"/>
                            <a:ext cx="6936564" cy="2629182"/>
                          </a:xfrm>
                          <a:custGeom>
                            <a:avLst/>
                            <a:gdLst/>
                            <a:ahLst/>
                            <a:cxnLst/>
                            <a:rect l="0" t="0" r="0" b="0"/>
                            <a:pathLst>
                              <a:path w="6936564" h="2629182">
                                <a:moveTo>
                                  <a:pt x="22885" y="0"/>
                                </a:moveTo>
                                <a:lnTo>
                                  <a:pt x="6913681" y="0"/>
                                </a:lnTo>
                                <a:cubicBezTo>
                                  <a:pt x="6926320" y="0"/>
                                  <a:pt x="6936564" y="10250"/>
                                  <a:pt x="6936564" y="22896"/>
                                </a:cubicBezTo>
                                <a:lnTo>
                                  <a:pt x="6936564" y="2606286"/>
                                </a:lnTo>
                                <a:cubicBezTo>
                                  <a:pt x="6936564" y="2618930"/>
                                  <a:pt x="6926320" y="2629182"/>
                                  <a:pt x="6913681" y="2629182"/>
                                </a:cubicBezTo>
                                <a:lnTo>
                                  <a:pt x="22885" y="2629182"/>
                                </a:lnTo>
                                <a:cubicBezTo>
                                  <a:pt x="10246" y="2629182"/>
                                  <a:pt x="0" y="2618930"/>
                                  <a:pt x="0" y="2606286"/>
                                </a:cubicBezTo>
                                <a:lnTo>
                                  <a:pt x="0" y="22896"/>
                                </a:lnTo>
                                <a:cubicBezTo>
                                  <a:pt x="0" y="10250"/>
                                  <a:pt x="10246" y="0"/>
                                  <a:pt x="22885" y="0"/>
                                </a:cubicBezTo>
                                <a:close/>
                              </a:path>
                            </a:pathLst>
                          </a:custGeom>
                          <a:ln w="0" cap="flat">
                            <a:miter lim="127000"/>
                          </a:ln>
                        </wps:spPr>
                        <wps:style>
                          <a:lnRef idx="0">
                            <a:srgbClr val="000000">
                              <a:alpha val="0"/>
                            </a:srgbClr>
                          </a:lnRef>
                          <a:fillRef idx="1">
                            <a:srgbClr val="F6F8FA"/>
                          </a:fillRef>
                          <a:effectRef idx="0">
                            <a:scrgbClr r="0" g="0" b="0"/>
                          </a:effectRef>
                          <a:fontRef idx="none"/>
                        </wps:style>
                        <wps:bodyPr/>
                      </wps:wsp>
                    </wpg:wgp>
                  </a:graphicData>
                </a:graphic>
              </wp:anchor>
            </w:drawing>
          </mc:Choice>
          <mc:Fallback xmlns:a="http://schemas.openxmlformats.org/drawingml/2006/main">
            <w:pict>
              <v:group id="Group 33837" style="width:546.186pt;height:207.022pt;position:absolute;z-index:-2147482951;mso-position-horizontal-relative:text;mso-position-horizontal:absolute;margin-left:0pt;mso-position-vertical-relative:text;margin-top:-153.724pt;" coordsize="69365,26291">
                <v:shape id="Shape 6911" style="position:absolute;width:69365;height:26291;left:0;top:0;" coordsize="6936564,2629182" path="m22885,0l6913681,0c6926320,0,6936564,10250,6936564,22896l6936564,2606286c6936564,2618930,6926320,2629182,6913681,2629182l22885,2629182c10246,2629182,0,2618930,0,2606286l0,22896c0,10250,10246,0,22885,0x">
                  <v:stroke weight="0pt" endcap="flat" joinstyle="miter" miterlimit="10" on="false" color="#000000" opacity="0"/>
                  <v:fill on="true" color="#f6f8fa"/>
                </v:shape>
              </v:group>
            </w:pict>
          </mc:Fallback>
        </mc:AlternateContent>
      </w:r>
      <w:r>
        <w:rPr>
          <w:rFonts w:ascii="微软雅黑" w:eastAsia="微软雅黑" w:hAnsi="微软雅黑" w:cs="微软雅黑"/>
          <w:color w:val="545454"/>
          <w:sz w:val="16"/>
        </w:rPr>
        <w:t>$ 预期⽤途     : 实时告警筛选 + ⼈⼯确认后派单             $ $ 超出范围     : ⾃主停机决策(必须⼈⼯)                  $</w:t>
      </w:r>
    </w:p>
    <w:p w14:paraId="5057BD05" w14:textId="77777777" w:rsidR="005E4DC0" w:rsidRDefault="00931588">
      <w:pPr>
        <w:spacing w:after="5" w:line="267" w:lineRule="auto"/>
        <w:ind w:left="158" w:right="5327" w:hanging="10"/>
      </w:pPr>
      <w:r>
        <w:rPr>
          <w:rFonts w:ascii="微软雅黑" w:eastAsia="微软雅黑" w:hAnsi="微软雅黑" w:cs="微软雅黑"/>
          <w:color w:val="545454"/>
          <w:sz w:val="16"/>
        </w:rPr>
        <w:t>$ ⼈类监督     : 运维⼈员审查 Top-N 告警及其归因后再处置    $</w:t>
      </w:r>
    </w:p>
    <w:p w14:paraId="50FB462D" w14:textId="77777777" w:rsidR="005E4DC0" w:rsidRDefault="00931588">
      <w:pPr>
        <w:spacing w:after="316"/>
        <w:ind w:left="158" w:hanging="10"/>
      </w:pPr>
      <w:r>
        <w:rPr>
          <w:rFonts w:ascii="微软雅黑" w:eastAsia="微软雅黑" w:hAnsi="微软雅黑" w:cs="微软雅黑"/>
          <w:color w:val="545454"/>
          <w:sz w:val="16"/>
        </w:rPr>
        <w:t>'""""""""""""""""""""""""""""""""""""""""""""""""""""""(</w:t>
      </w:r>
    </w:p>
    <w:p w14:paraId="52C012A0" w14:textId="77777777" w:rsidR="005E4DC0" w:rsidRDefault="00931588">
      <w:pPr>
        <w:spacing w:after="406" w:line="305" w:lineRule="auto"/>
        <w:ind w:left="6" w:hanging="10"/>
      </w:pPr>
      <w:r>
        <w:rPr>
          <w:rFonts w:ascii="微软雅黑" w:eastAsia="微软雅黑" w:hAnsi="微软雅黑" w:cs="微软雅黑"/>
          <w:color w:val="24282E"/>
          <w:sz w:val="19"/>
        </w:rPr>
        <w:t>本⽂框架直接回应了 TAIG(Technologies for AI Governance)会议的核⼼关切⸺将⾼性能检测、可解释归因与监管合规三者整合为从传感器到审计记录的完整链路,为关键基础设施 AI 系统提供了技术-治理双维度的贡献。</w:t>
      </w:r>
    </w:p>
    <w:p w14:paraId="2D975BA5" w14:textId="77777777" w:rsidR="005E4DC0" w:rsidRDefault="00931588">
      <w:pPr>
        <w:pStyle w:val="2"/>
        <w:ind w:left="6"/>
        <w:rPr>
          <w:rFonts w:hint="eastAsia"/>
        </w:rPr>
      </w:pPr>
      <w:r>
        <w:rPr>
          <w:b w:val="0"/>
        </w:rPr>
        <w:t xml:space="preserve">5.3 </w:t>
      </w:r>
      <w:r>
        <w:t>局限性</w:t>
      </w:r>
      <w:r>
        <w:rPr>
          <w:b w:val="0"/>
          <w:color w:val="0366D6"/>
        </w:rPr>
        <w:t xml:space="preserve"> </w:t>
      </w:r>
    </w:p>
    <w:p w14:paraId="22A3826A" w14:textId="77777777" w:rsidR="005E4DC0" w:rsidRDefault="00931588">
      <w:pPr>
        <w:numPr>
          <w:ilvl w:val="0"/>
          <w:numId w:val="4"/>
        </w:numPr>
        <w:spacing w:after="88"/>
        <w:ind w:hanging="296"/>
      </w:pPr>
      <w:r>
        <w:rPr>
          <w:rFonts w:ascii="微软雅黑" w:eastAsia="微软雅黑" w:hAnsi="微软雅黑" w:cs="微软雅黑"/>
          <w:b/>
          <w:sz w:val="19"/>
        </w:rPr>
        <w:t>数据时间跨度</w:t>
      </w:r>
      <w:r>
        <w:rPr>
          <w:rFonts w:ascii="微软雅黑" w:eastAsia="微软雅黑" w:hAnsi="微软雅黑" w:cs="微软雅黑"/>
          <w:color w:val="24282E"/>
          <w:sz w:val="19"/>
        </w:rPr>
        <w:t>:训练数据(2020-2024)尚未覆盖设备⽼化周期,未来⼯作需纳⼊ 3-5 年跨年数据以评估模型在设备退化场景下的鲁棒性;</w:t>
      </w:r>
    </w:p>
    <w:p w14:paraId="75CEDC32" w14:textId="77777777" w:rsidR="005E4DC0" w:rsidRDefault="00931588">
      <w:pPr>
        <w:numPr>
          <w:ilvl w:val="0"/>
          <w:numId w:val="4"/>
        </w:numPr>
        <w:spacing w:after="46" w:line="305" w:lineRule="auto"/>
        <w:ind w:hanging="296"/>
      </w:pPr>
      <w:r>
        <w:rPr>
          <w:rFonts w:ascii="微软雅黑" w:eastAsia="微软雅黑" w:hAnsi="微软雅黑" w:cs="微软雅黑"/>
          <w:b/>
          <w:sz w:val="19"/>
        </w:rPr>
        <w:t>极端类别不平衡</w:t>
      </w:r>
      <w:r>
        <w:rPr>
          <w:rFonts w:ascii="微软雅黑" w:eastAsia="微软雅黑" w:hAnsi="微软雅黑" w:cs="微软雅黑"/>
          <w:sz w:val="19"/>
        </w:rPr>
        <w:t>(</w:t>
      </w:r>
      <w:r>
        <w:rPr>
          <w:rFonts w:ascii="微软雅黑" w:eastAsia="微软雅黑" w:hAnsi="微软雅黑" w:cs="微软雅黑"/>
          <w:b/>
          <w:sz w:val="19"/>
        </w:rPr>
        <w:t>序列级</w:t>
      </w:r>
      <w:r>
        <w:rPr>
          <w:rFonts w:ascii="微软雅黑" w:eastAsia="微软雅黑" w:hAnsi="微软雅黑" w:cs="微软雅黑"/>
          <w:sz w:val="19"/>
        </w:rPr>
        <w:t xml:space="preserve"> 4.65%)</w:t>
      </w:r>
      <w:r>
        <w:rPr>
          <w:rFonts w:ascii="微软雅黑" w:eastAsia="微软雅黑" w:hAnsi="微软雅黑" w:cs="微软雅黑"/>
          <w:color w:val="24282E"/>
          <w:sz w:val="19"/>
        </w:rPr>
        <w:t>:数据增强(单纯时域增强、残差化、以及本⽂实现的"去趋势残差化 + 时域增强"组合)三条路本⽂均实测⽆增益(完整实验记录⻅项⽬⽂档),需进⼀步研究更针对性的少样本⽅法;</w:t>
      </w:r>
    </w:p>
    <w:p w14:paraId="1BE25324" w14:textId="77777777" w:rsidR="005E4DC0" w:rsidRDefault="00931588">
      <w:pPr>
        <w:numPr>
          <w:ilvl w:val="0"/>
          <w:numId w:val="4"/>
        </w:numPr>
        <w:spacing w:after="99"/>
        <w:ind w:hanging="296"/>
      </w:pPr>
      <w:r>
        <w:rPr>
          <w:rFonts w:ascii="微软雅黑" w:eastAsia="微软雅黑" w:hAnsi="微软雅黑" w:cs="微软雅黑"/>
          <w:sz w:val="19"/>
        </w:rPr>
        <w:t xml:space="preserve">seed </w:t>
      </w:r>
      <w:r>
        <w:rPr>
          <w:rFonts w:ascii="微软雅黑" w:eastAsia="微软雅黑" w:hAnsi="微软雅黑" w:cs="微软雅黑"/>
          <w:b/>
          <w:sz w:val="19"/>
        </w:rPr>
        <w:t>⽅差</w:t>
      </w:r>
      <w:r>
        <w:rPr>
          <w:rFonts w:ascii="微软雅黑" w:eastAsia="微软雅黑" w:hAnsi="微软雅黑" w:cs="微软雅黑"/>
          <w:color w:val="24282E"/>
          <w:sz w:val="19"/>
        </w:rPr>
        <w:t>:Token-Attn 单 seed ⽅差较⼤(±0.033),需 7-seed 集成才能稳定报告,增加了部署成本;</w:t>
      </w:r>
    </w:p>
    <w:p w14:paraId="549C51FC" w14:textId="77777777" w:rsidR="005E4DC0" w:rsidRDefault="00931588">
      <w:pPr>
        <w:numPr>
          <w:ilvl w:val="0"/>
          <w:numId w:val="4"/>
        </w:numPr>
        <w:spacing w:after="62" w:line="305" w:lineRule="auto"/>
        <w:ind w:hanging="296"/>
      </w:pPr>
      <w:r>
        <w:rPr>
          <w:rFonts w:ascii="微软雅黑" w:eastAsia="微软雅黑" w:hAnsi="微软雅黑" w:cs="微软雅黑"/>
          <w:b/>
          <w:sz w:val="19"/>
        </w:rPr>
        <w:t>⼈因验证</w:t>
      </w:r>
      <w:r>
        <w:rPr>
          <w:rFonts w:ascii="微软雅黑" w:eastAsia="微软雅黑" w:hAnsi="微软雅黑" w:cs="微软雅黑"/>
          <w:color w:val="24282E"/>
          <w:sz w:val="19"/>
        </w:rPr>
        <w:t>:本⽂尚未实验评估运维⼈员基于归因的决策质量⸺这是未来 AI 治理研究的关键⽅向;</w:t>
      </w:r>
    </w:p>
    <w:p w14:paraId="0C021C72" w14:textId="77777777" w:rsidR="005E4DC0" w:rsidRDefault="00931588">
      <w:pPr>
        <w:numPr>
          <w:ilvl w:val="0"/>
          <w:numId w:val="4"/>
        </w:numPr>
        <w:spacing w:after="4" w:line="305" w:lineRule="auto"/>
        <w:ind w:hanging="296"/>
      </w:pPr>
      <w:r>
        <w:rPr>
          <w:rFonts w:ascii="微软雅黑" w:eastAsia="微软雅黑" w:hAnsi="微软雅黑" w:cs="微软雅黑"/>
          <w:b/>
          <w:sz w:val="19"/>
        </w:rPr>
        <w:t>注意⼒归因的因果性争议</w:t>
      </w:r>
      <w:r>
        <w:rPr>
          <w:rFonts w:ascii="微软雅黑" w:eastAsia="微软雅黑" w:hAnsi="微软雅黑" w:cs="微软雅黑"/>
          <w:color w:val="24282E"/>
          <w:sz w:val="19"/>
        </w:rPr>
        <w:t>:⾃注意⼒权重作为解释仍存在"注意⼒≠解释"的争议 [15],本⽂通过置换重要性与消融的交叉印证缓解了这⼀担忧,但未做严格的因果验证。</w:t>
      </w:r>
    </w:p>
    <w:p w14:paraId="480A0A78" w14:textId="77777777" w:rsidR="005E4DC0" w:rsidRDefault="00931588">
      <w:pPr>
        <w:spacing w:after="0"/>
        <w:ind w:right="-9"/>
      </w:pPr>
      <w:r>
        <w:rPr>
          <w:noProof/>
        </w:rPr>
        <mc:AlternateContent>
          <mc:Choice Requires="wpg">
            <w:drawing>
              <wp:inline distT="0" distB="0" distL="0" distR="0" wp14:anchorId="5BD17713" wp14:editId="0DD20785">
                <wp:extent cx="6936566" cy="40684"/>
                <wp:effectExtent l="0" t="0" r="0" b="0"/>
                <wp:docPr id="33836" name="Group 33836"/>
                <wp:cNvGraphicFramePr/>
                <a:graphic xmlns:a="http://schemas.openxmlformats.org/drawingml/2006/main">
                  <a:graphicData uri="http://schemas.microsoft.com/office/word/2010/wordprocessingGroup">
                    <wpg:wgp>
                      <wpg:cNvGrpSpPr/>
                      <wpg:grpSpPr>
                        <a:xfrm>
                          <a:off x="0" y="0"/>
                          <a:ext cx="6936566" cy="40684"/>
                          <a:chOff x="0" y="0"/>
                          <a:chExt cx="6936566" cy="40684"/>
                        </a:xfrm>
                      </wpg:grpSpPr>
                      <wps:wsp>
                        <wps:cNvPr id="36657" name="Shape 36657"/>
                        <wps:cNvSpPr/>
                        <wps:spPr>
                          <a:xfrm>
                            <a:off x="0" y="0"/>
                            <a:ext cx="6936566" cy="40684"/>
                          </a:xfrm>
                          <a:custGeom>
                            <a:avLst/>
                            <a:gdLst/>
                            <a:ahLst/>
                            <a:cxnLst/>
                            <a:rect l="0" t="0" r="0" b="0"/>
                            <a:pathLst>
                              <a:path w="6936566" h="40684">
                                <a:moveTo>
                                  <a:pt x="0" y="0"/>
                                </a:moveTo>
                                <a:lnTo>
                                  <a:pt x="6936566" y="0"/>
                                </a:lnTo>
                                <a:lnTo>
                                  <a:pt x="6936566" y="40684"/>
                                </a:lnTo>
                                <a:lnTo>
                                  <a:pt x="0" y="40684"/>
                                </a:lnTo>
                                <a:lnTo>
                                  <a:pt x="0" y="0"/>
                                </a:lnTo>
                              </a:path>
                            </a:pathLst>
                          </a:custGeom>
                          <a:ln w="0" cap="flat">
                            <a:miter lim="127000"/>
                          </a:ln>
                        </wps:spPr>
                        <wps:style>
                          <a:lnRef idx="0">
                            <a:srgbClr val="000000">
                              <a:alpha val="0"/>
                            </a:srgbClr>
                          </a:lnRef>
                          <a:fillRef idx="1">
                            <a:srgbClr val="E0E4E8"/>
                          </a:fillRef>
                          <a:effectRef idx="0">
                            <a:scrgbClr r="0" g="0" b="0"/>
                          </a:effectRef>
                          <a:fontRef idx="none"/>
                        </wps:style>
                        <wps:bodyPr/>
                      </wps:wsp>
                      <wps:wsp>
                        <wps:cNvPr id="36658" name="Shape 36658"/>
                        <wps:cNvSpPr/>
                        <wps:spPr>
                          <a:xfrm>
                            <a:off x="0" y="30513"/>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inline>
            </w:drawing>
          </mc:Choice>
          <mc:Fallback xmlns:a="http://schemas.openxmlformats.org/drawingml/2006/main">
            <w:pict>
              <v:group id="Group 33836" style="width:546.186pt;height:3.20349pt;mso-position-horizontal-relative:char;mso-position-vertical-relative:line" coordsize="69365,406">
                <v:shape id="Shape 36659" style="position:absolute;width:69365;height:406;left:0;top:0;" coordsize="6936566,40684" path="m0,0l6936566,0l6936566,40684l0,40684l0,0">
                  <v:stroke weight="0pt" endcap="flat" joinstyle="miter" miterlimit="10" on="false" color="#000000" opacity="0"/>
                  <v:fill on="true" color="#e0e4e8"/>
                </v:shape>
                <v:shape id="Shape 36660" style="position:absolute;width:69365;height:101;left:0;top:305;" coordsize="6936566,10171" path="m0,0l6936566,0l6936566,10171l0,10171l0,0">
                  <v:stroke weight="0pt" endcap="flat" joinstyle="miter" miterlimit="10" on="false" color="#000000" opacity="0"/>
                  <v:fill on="true" color="#ededed"/>
                </v:shape>
              </v:group>
            </w:pict>
          </mc:Fallback>
        </mc:AlternateContent>
      </w:r>
    </w:p>
    <w:p w14:paraId="44407B41" w14:textId="77777777" w:rsidR="005E4DC0" w:rsidRDefault="00931588">
      <w:pPr>
        <w:pStyle w:val="1"/>
        <w:ind w:left="6"/>
        <w:rPr>
          <w:rFonts w:hint="eastAsia"/>
        </w:rPr>
      </w:pPr>
      <w:r>
        <w:t xml:space="preserve">6. </w:t>
      </w:r>
      <w:r>
        <w:rPr>
          <w:b/>
        </w:rPr>
        <w:t>结论</w:t>
      </w:r>
      <w:r>
        <w:rPr>
          <w:color w:val="0366D6"/>
        </w:rPr>
        <w:t xml:space="preserve"> </w:t>
      </w:r>
    </w:p>
    <w:p w14:paraId="78C54866" w14:textId="77777777" w:rsidR="005E4DC0" w:rsidRDefault="00931588">
      <w:pPr>
        <w:spacing w:after="231"/>
        <w:ind w:right="-9"/>
      </w:pPr>
      <w:r>
        <w:rPr>
          <w:noProof/>
        </w:rPr>
        <mc:AlternateContent>
          <mc:Choice Requires="wpg">
            <w:drawing>
              <wp:inline distT="0" distB="0" distL="0" distR="0" wp14:anchorId="4D773735" wp14:editId="718DC770">
                <wp:extent cx="6936566" cy="10170"/>
                <wp:effectExtent l="0" t="0" r="0" b="0"/>
                <wp:docPr id="30487" name="Group 30487"/>
                <wp:cNvGraphicFramePr/>
                <a:graphic xmlns:a="http://schemas.openxmlformats.org/drawingml/2006/main">
                  <a:graphicData uri="http://schemas.microsoft.com/office/word/2010/wordprocessingGroup">
                    <wpg:wgp>
                      <wpg:cNvGrpSpPr/>
                      <wpg:grpSpPr>
                        <a:xfrm>
                          <a:off x="0" y="0"/>
                          <a:ext cx="6936566" cy="10170"/>
                          <a:chOff x="0" y="0"/>
                          <a:chExt cx="6936566" cy="10170"/>
                        </a:xfrm>
                      </wpg:grpSpPr>
                      <wps:wsp>
                        <wps:cNvPr id="36661" name="Shape 36661"/>
                        <wps:cNvSpPr/>
                        <wps:spPr>
                          <a:xfrm>
                            <a:off x="0" y="0"/>
                            <a:ext cx="6936566" cy="10170"/>
                          </a:xfrm>
                          <a:custGeom>
                            <a:avLst/>
                            <a:gdLst/>
                            <a:ahLst/>
                            <a:cxnLst/>
                            <a:rect l="0" t="0" r="0" b="0"/>
                            <a:pathLst>
                              <a:path w="6936566" h="10170">
                                <a:moveTo>
                                  <a:pt x="0" y="0"/>
                                </a:moveTo>
                                <a:lnTo>
                                  <a:pt x="6936566" y="0"/>
                                </a:lnTo>
                                <a:lnTo>
                                  <a:pt x="6936566" y="10170"/>
                                </a:lnTo>
                                <a:lnTo>
                                  <a:pt x="0" y="10170"/>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30487" style="width:546.186pt;height:0.800781pt;mso-position-horizontal-relative:char;mso-position-vertical-relative:line" coordsize="69365,101">
                <v:shape id="Shape 36662" style="position:absolute;width:69365;height:101;left:0;top:0;" coordsize="6936566,10170" path="m0,0l6936566,0l6936566,10170l0,10170l0,0">
                  <v:stroke weight="0pt" endcap="flat" joinstyle="miter" miterlimit="10" on="false" color="#000000" opacity="0"/>
                  <v:fill on="true" color="#eaecef"/>
                </v:shape>
              </v:group>
            </w:pict>
          </mc:Fallback>
        </mc:AlternateContent>
      </w:r>
    </w:p>
    <w:p w14:paraId="43775E73" w14:textId="77777777" w:rsidR="005E4DC0" w:rsidRDefault="00931588">
      <w:pPr>
        <w:spacing w:after="202" w:line="305" w:lineRule="auto"/>
        <w:ind w:left="6" w:hanging="10"/>
      </w:pPr>
      <w:r>
        <w:rPr>
          <w:rFonts w:ascii="微软雅黑" w:eastAsia="微软雅黑" w:hAnsi="微软雅黑" w:cs="微软雅黑"/>
          <w:color w:val="24282E"/>
          <w:sz w:val="19"/>
        </w:rPr>
        <w:t>本⽂提出⼀个⾯向充电站⽹络的可解释异常检测框架,主要贡献如下:</w:t>
      </w:r>
    </w:p>
    <w:p w14:paraId="556F431C" w14:textId="77777777" w:rsidR="005E4DC0" w:rsidRDefault="00931588">
      <w:pPr>
        <w:numPr>
          <w:ilvl w:val="0"/>
          <w:numId w:val="5"/>
        </w:numPr>
        <w:spacing w:after="4" w:line="305" w:lineRule="auto"/>
        <w:ind w:right="23" w:hanging="296"/>
      </w:pPr>
      <w:r>
        <w:rPr>
          <w:rFonts w:ascii="微软雅黑" w:eastAsia="微软雅黑" w:hAnsi="微软雅黑" w:cs="微软雅黑"/>
          <w:color w:val="24282E"/>
          <w:sz w:val="19"/>
        </w:rPr>
        <w:t>基于 155.6 万采样点(30 座充电站,2020-2024)揭示了物理可解释的"故障指纹"⸺⼤电流⾼功率充电段突然中断(末端 SOC</w:t>
      </w:r>
    </w:p>
    <w:p w14:paraId="286E6124" w14:textId="77777777" w:rsidR="005E4DC0" w:rsidRDefault="00931588">
      <w:pPr>
        <w:spacing w:after="93"/>
        <w:ind w:left="394" w:right="46" w:hanging="10"/>
        <w:jc w:val="both"/>
      </w:pPr>
      <w:r>
        <w:rPr>
          <w:rFonts w:ascii="微软雅黑" w:eastAsia="微软雅黑" w:hAnsi="微软雅黑" w:cs="微软雅黑"/>
          <w:color w:val="24282E"/>
          <w:sz w:val="19"/>
        </w:rPr>
        <w:t>78.7% vs 94.3%);</w:t>
      </w:r>
    </w:p>
    <w:p w14:paraId="2D915EFF" w14:textId="77777777" w:rsidR="005E4DC0" w:rsidRDefault="00931588">
      <w:pPr>
        <w:numPr>
          <w:ilvl w:val="0"/>
          <w:numId w:val="5"/>
        </w:numPr>
        <w:spacing w:after="92"/>
        <w:ind w:right="23" w:hanging="296"/>
      </w:pPr>
      <w:r>
        <w:rPr>
          <w:rFonts w:ascii="微软雅黑" w:eastAsia="微软雅黑" w:hAnsi="微软雅黑" w:cs="微软雅黑"/>
          <w:color w:val="24282E"/>
          <w:sz w:val="19"/>
        </w:rPr>
        <w:t>构建</w:t>
      </w:r>
      <w:r>
        <w:rPr>
          <w:rFonts w:ascii="微软雅黑" w:eastAsia="微软雅黑" w:hAnsi="微软雅黑" w:cs="微软雅黑"/>
          <w:b/>
          <w:sz w:val="19"/>
        </w:rPr>
        <w:t>多模态注意⼒融合模型</w:t>
      </w:r>
      <w:r>
        <w:rPr>
          <w:rFonts w:ascii="微软雅黑" w:eastAsia="微软雅黑" w:hAnsi="微软雅黑" w:cs="微软雅黑"/>
          <w:sz w:val="19"/>
        </w:rPr>
        <w:t xml:space="preserve"> Token-Attn</w:t>
      </w:r>
      <w:r>
        <w:rPr>
          <w:rFonts w:ascii="微软雅黑" w:eastAsia="微软雅黑" w:hAnsi="微软雅黑" w:cs="微软雅黑"/>
          <w:color w:val="24282E"/>
          <w:sz w:val="19"/>
        </w:rPr>
        <w:t>(双向 LSTM 时序 token + 62 维⼿⼯特征 token + [CLS] 联合⾃注意⼒),在跨站点设定(owner 1-6 训练 → owner 7-8 测试)下经 7-seed 概率集成达到 PR-AUC=0.918、AUC=0.990、F1=0.795,显著超越 LightGBM(0.868,bootstrap p=0.026,边际显著),⾼于 XGBoost(0.887,未达显著),为端到端纯 Bi-LSTM 的约 2.6 倍;</w:t>
      </w:r>
    </w:p>
    <w:p w14:paraId="3CF629F7" w14:textId="77777777" w:rsidR="005E4DC0" w:rsidRDefault="00931588">
      <w:pPr>
        <w:numPr>
          <w:ilvl w:val="0"/>
          <w:numId w:val="5"/>
        </w:numPr>
        <w:spacing w:after="50" w:line="305" w:lineRule="auto"/>
        <w:ind w:right="23" w:hanging="296"/>
      </w:pPr>
      <w:r>
        <w:rPr>
          <w:rFonts w:ascii="微软雅黑" w:eastAsia="微软雅黑" w:hAnsi="微软雅黑" w:cs="微软雅黑"/>
          <w:color w:val="24282E"/>
          <w:sz w:val="19"/>
        </w:rPr>
        <w:t>引⼊</w:t>
      </w:r>
      <w:r>
        <w:rPr>
          <w:rFonts w:ascii="微软雅黑" w:eastAsia="微软雅黑" w:hAnsi="微软雅黑" w:cs="微软雅黑"/>
          <w:b/>
          <w:sz w:val="19"/>
        </w:rPr>
        <w:t>多视⻆可解释归因</w:t>
      </w:r>
      <w:r>
        <w:rPr>
          <w:rFonts w:ascii="微软雅黑" w:eastAsia="微软雅黑" w:hAnsi="微软雅黑" w:cs="微软雅黑"/>
          <w:sz w:val="19"/>
        </w:rPr>
        <w:t xml:space="preserve"> + </w:t>
      </w:r>
      <w:r>
        <w:rPr>
          <w:rFonts w:ascii="微软雅黑" w:eastAsia="微软雅黑" w:hAnsi="微软雅黑" w:cs="微软雅黑"/>
          <w:b/>
          <w:sz w:val="19"/>
        </w:rPr>
        <w:t>成因机制分析</w:t>
      </w:r>
      <w:r>
        <w:rPr>
          <w:rFonts w:ascii="微软雅黑" w:eastAsia="微软雅黑" w:hAnsi="微软雅黑" w:cs="微软雅黑"/>
          <w:color w:val="24282E"/>
          <w:sz w:val="19"/>
        </w:rPr>
        <w:t>(⾃注意⼒序列×特征归因 + 置换特征重要性 + 特征组消融,并通过故障分型与终⽌⽅式对⽐揭示"⾼功率未衰减异常终⽌、温度是时⻓结果⽽⾮原因"的成因机制),为运维诊断提供物理可解释依据;</w:t>
      </w:r>
    </w:p>
    <w:p w14:paraId="4AB4AD97" w14:textId="77777777" w:rsidR="005E4DC0" w:rsidRDefault="00931588">
      <w:pPr>
        <w:numPr>
          <w:ilvl w:val="0"/>
          <w:numId w:val="5"/>
        </w:numPr>
        <w:spacing w:after="235"/>
        <w:ind w:right="23" w:hanging="296"/>
      </w:pPr>
      <w:r>
        <w:rPr>
          <w:rFonts w:ascii="微软雅黑" w:eastAsia="微软雅黑" w:hAnsi="微软雅黑" w:cs="微软雅黑"/>
          <w:color w:val="24282E"/>
          <w:sz w:val="19"/>
        </w:rPr>
        <w:t>提出⾯向 EU AI Act 的完整合规⽅案(义务映射、审计⽇志、Model Card),为关键基础设施 AI 系统的合规落地提供可操作⽅案。</w:t>
      </w:r>
    </w:p>
    <w:p w14:paraId="107450ED" w14:textId="77777777" w:rsidR="005E4DC0" w:rsidRDefault="00931588">
      <w:pPr>
        <w:spacing w:after="28" w:line="305" w:lineRule="auto"/>
        <w:ind w:left="6" w:hanging="10"/>
      </w:pPr>
      <w:r>
        <w:rPr>
          <w:rFonts w:ascii="微软雅黑" w:eastAsia="微软雅黑" w:hAnsi="微软雅黑" w:cs="微软雅黑"/>
          <w:b/>
          <w:sz w:val="19"/>
        </w:rPr>
        <w:t>未来⼯作⽅向</w:t>
      </w:r>
      <w:r>
        <w:rPr>
          <w:rFonts w:ascii="微软雅黑" w:eastAsia="微软雅黑" w:hAnsi="微软雅黑" w:cs="微软雅黑"/>
          <w:color w:val="24282E"/>
          <w:sz w:val="19"/>
        </w:rPr>
        <w:t>:(1)在⾃站部署数据上验证框架;(2)纳⼊设备⽼化周期的跨年数据;(3)针对少样本类不平衡的更针对性⽅法;(4)⼈因实验评估归因对运维决策质量的实际影响。</w:t>
      </w:r>
    </w:p>
    <w:p w14:paraId="59514A1F" w14:textId="77777777" w:rsidR="005E4DC0" w:rsidRDefault="00931588">
      <w:pPr>
        <w:spacing w:after="381"/>
        <w:ind w:right="-9"/>
      </w:pPr>
      <w:r>
        <w:rPr>
          <w:noProof/>
        </w:rPr>
        <mc:AlternateContent>
          <mc:Choice Requires="wpg">
            <w:drawing>
              <wp:inline distT="0" distB="0" distL="0" distR="0" wp14:anchorId="67291610" wp14:editId="2E403FC0">
                <wp:extent cx="6936566" cy="40684"/>
                <wp:effectExtent l="0" t="0" r="0" b="0"/>
                <wp:docPr id="30488" name="Group 30488"/>
                <wp:cNvGraphicFramePr/>
                <a:graphic xmlns:a="http://schemas.openxmlformats.org/drawingml/2006/main">
                  <a:graphicData uri="http://schemas.microsoft.com/office/word/2010/wordprocessingGroup">
                    <wpg:wgp>
                      <wpg:cNvGrpSpPr/>
                      <wpg:grpSpPr>
                        <a:xfrm>
                          <a:off x="0" y="0"/>
                          <a:ext cx="6936566" cy="40684"/>
                          <a:chOff x="0" y="0"/>
                          <a:chExt cx="6936566" cy="40684"/>
                        </a:xfrm>
                      </wpg:grpSpPr>
                      <wps:wsp>
                        <wps:cNvPr id="36663" name="Shape 36663"/>
                        <wps:cNvSpPr/>
                        <wps:spPr>
                          <a:xfrm>
                            <a:off x="0" y="0"/>
                            <a:ext cx="6936566" cy="40684"/>
                          </a:xfrm>
                          <a:custGeom>
                            <a:avLst/>
                            <a:gdLst/>
                            <a:ahLst/>
                            <a:cxnLst/>
                            <a:rect l="0" t="0" r="0" b="0"/>
                            <a:pathLst>
                              <a:path w="6936566" h="40684">
                                <a:moveTo>
                                  <a:pt x="0" y="0"/>
                                </a:moveTo>
                                <a:lnTo>
                                  <a:pt x="6936566" y="0"/>
                                </a:lnTo>
                                <a:lnTo>
                                  <a:pt x="6936566" y="40684"/>
                                </a:lnTo>
                                <a:lnTo>
                                  <a:pt x="0" y="40684"/>
                                </a:lnTo>
                                <a:lnTo>
                                  <a:pt x="0" y="0"/>
                                </a:lnTo>
                              </a:path>
                            </a:pathLst>
                          </a:custGeom>
                          <a:ln w="0" cap="flat">
                            <a:miter lim="127000"/>
                          </a:ln>
                        </wps:spPr>
                        <wps:style>
                          <a:lnRef idx="0">
                            <a:srgbClr val="000000">
                              <a:alpha val="0"/>
                            </a:srgbClr>
                          </a:lnRef>
                          <a:fillRef idx="1">
                            <a:srgbClr val="E0E4E8"/>
                          </a:fillRef>
                          <a:effectRef idx="0">
                            <a:scrgbClr r="0" g="0" b="0"/>
                          </a:effectRef>
                          <a:fontRef idx="none"/>
                        </wps:style>
                        <wps:bodyPr/>
                      </wps:wsp>
                      <wps:wsp>
                        <wps:cNvPr id="36664" name="Shape 36664"/>
                        <wps:cNvSpPr/>
                        <wps:spPr>
                          <a:xfrm>
                            <a:off x="0" y="30512"/>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inline>
            </w:drawing>
          </mc:Choice>
          <mc:Fallback xmlns:a="http://schemas.openxmlformats.org/drawingml/2006/main">
            <w:pict>
              <v:group id="Group 30488" style="width:546.186pt;height:3.20343pt;mso-position-horizontal-relative:char;mso-position-vertical-relative:line" coordsize="69365,406">
                <v:shape id="Shape 36665" style="position:absolute;width:69365;height:406;left:0;top:0;" coordsize="6936566,40684" path="m0,0l6936566,0l6936566,40684l0,40684l0,0">
                  <v:stroke weight="0pt" endcap="flat" joinstyle="miter" miterlimit="10" on="false" color="#000000" opacity="0"/>
                  <v:fill on="true" color="#e0e4e8"/>
                </v:shape>
                <v:shape id="Shape 36666" style="position:absolute;width:69365;height:101;left:0;top:305;" coordsize="6936566,10171" path="m0,0l6936566,0l6936566,10171l0,10171l0,0">
                  <v:stroke weight="0pt" endcap="flat" joinstyle="miter" miterlimit="10" on="false" color="#000000" opacity="0"/>
                  <v:fill on="true" color="#ededed"/>
                </v:shape>
              </v:group>
            </w:pict>
          </mc:Fallback>
        </mc:AlternateContent>
      </w:r>
    </w:p>
    <w:p w14:paraId="1E955FAE" w14:textId="77777777" w:rsidR="005E4DC0" w:rsidRDefault="00931588">
      <w:pPr>
        <w:pStyle w:val="1"/>
        <w:ind w:left="6"/>
        <w:rPr>
          <w:rFonts w:hint="eastAsia"/>
        </w:rPr>
      </w:pPr>
      <w:r>
        <w:rPr>
          <w:b/>
        </w:rPr>
        <w:t>参考⽂献</w:t>
      </w:r>
      <w:r>
        <w:rPr>
          <w:color w:val="0366D6"/>
        </w:rPr>
        <w:t xml:space="preserve"> </w:t>
      </w:r>
    </w:p>
    <w:p w14:paraId="63845693" w14:textId="77777777" w:rsidR="005E4DC0" w:rsidRDefault="00931588">
      <w:pPr>
        <w:spacing w:after="215"/>
        <w:ind w:right="-9"/>
      </w:pPr>
      <w:r>
        <w:rPr>
          <w:noProof/>
        </w:rPr>
        <mc:AlternateContent>
          <mc:Choice Requires="wpg">
            <w:drawing>
              <wp:inline distT="0" distB="0" distL="0" distR="0" wp14:anchorId="71DA7DB7" wp14:editId="6615D4EE">
                <wp:extent cx="6936566" cy="10171"/>
                <wp:effectExtent l="0" t="0" r="0" b="0"/>
                <wp:docPr id="30489" name="Group 30489"/>
                <wp:cNvGraphicFramePr/>
                <a:graphic xmlns:a="http://schemas.openxmlformats.org/drawingml/2006/main">
                  <a:graphicData uri="http://schemas.microsoft.com/office/word/2010/wordprocessingGroup">
                    <wpg:wgp>
                      <wpg:cNvGrpSpPr/>
                      <wpg:grpSpPr>
                        <a:xfrm>
                          <a:off x="0" y="0"/>
                          <a:ext cx="6936566" cy="10171"/>
                          <a:chOff x="0" y="0"/>
                          <a:chExt cx="6936566" cy="10171"/>
                        </a:xfrm>
                      </wpg:grpSpPr>
                      <wps:wsp>
                        <wps:cNvPr id="36667" name="Shape 36667"/>
                        <wps:cNvSpPr/>
                        <wps:spPr>
                          <a:xfrm>
                            <a:off x="0" y="0"/>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AECEF"/>
                          </a:fillRef>
                          <a:effectRef idx="0">
                            <a:scrgbClr r="0" g="0" b="0"/>
                          </a:effectRef>
                          <a:fontRef idx="none"/>
                        </wps:style>
                        <wps:bodyPr/>
                      </wps:wsp>
                    </wpg:wgp>
                  </a:graphicData>
                </a:graphic>
              </wp:inline>
            </w:drawing>
          </mc:Choice>
          <mc:Fallback xmlns:a="http://schemas.openxmlformats.org/drawingml/2006/main">
            <w:pict>
              <v:group id="Group 30489" style="width:546.186pt;height:0.800903pt;mso-position-horizontal-relative:char;mso-position-vertical-relative:line" coordsize="69365,101">
                <v:shape id="Shape 36668" style="position:absolute;width:69365;height:101;left:0;top:0;" coordsize="6936566,10171" path="m0,0l6936566,0l6936566,10171l0,10171l0,0">
                  <v:stroke weight="0pt" endcap="flat" joinstyle="miter" miterlimit="10" on="false" color="#000000" opacity="0"/>
                  <v:fill on="true" color="#eaecef"/>
                </v:shape>
              </v:group>
            </w:pict>
          </mc:Fallback>
        </mc:AlternateContent>
      </w:r>
    </w:p>
    <w:p w14:paraId="66FA205D"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Zhao H, et al. MTAD-GAT: Multivariate Time Series Anomaly Detection via Graph Attention Networks. ICDM 2020.</w:t>
      </w:r>
    </w:p>
    <w:p w14:paraId="24B87D42"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Deng A, Hooi B. Graph Neural Network-based Anomaly Detection in Multivariate Time Series. AAAI 2021.</w:t>
      </w:r>
    </w:p>
    <w:p w14:paraId="54AA0EEA" w14:textId="5DA261D6" w:rsidR="005E4DC0" w:rsidRDefault="00931588">
      <w:pPr>
        <w:numPr>
          <w:ilvl w:val="0"/>
          <w:numId w:val="6"/>
        </w:numPr>
        <w:spacing w:after="184" w:line="305" w:lineRule="auto"/>
        <w:ind w:right="46" w:hanging="394"/>
        <w:jc w:val="both"/>
      </w:pPr>
      <w:r>
        <w:rPr>
          <w:rFonts w:ascii="微软雅黑" w:eastAsia="微软雅黑" w:hAnsi="微软雅黑" w:cs="微软雅黑"/>
          <w:color w:val="24282E"/>
          <w:sz w:val="19"/>
        </w:rPr>
        <w:t xml:space="preserve">Yang H, Tian J, Mai W, et al. Privacy-preserving collaborative battery fault warning for massive electric vehicles byheterogeneous data from charging stations. Nature Communications, </w:t>
      </w:r>
      <w:r w:rsidR="00DB166C">
        <w:rPr>
          <w:rFonts w:ascii="微软雅黑" w:eastAsia="微软雅黑" w:hAnsi="微软雅黑" w:cs="微软雅黑"/>
          <w:color w:val="24282E"/>
          <w:sz w:val="19"/>
        </w:rPr>
        <w:t>2026, 17: 974</w:t>
      </w:r>
      <w:r>
        <w:rPr>
          <w:rFonts w:ascii="微软雅黑" w:eastAsia="微软雅黑" w:hAnsi="微软雅黑" w:cs="微软雅黑"/>
          <w:color w:val="24282E"/>
          <w:sz w:val="19"/>
        </w:rPr>
        <w:t xml:space="preserve">. DOI: </w:t>
      </w:r>
      <w:r w:rsidR="00DB166C">
        <w:rPr>
          <w:rFonts w:ascii="微软雅黑" w:eastAsia="微软雅黑" w:hAnsi="微软雅黑" w:cs="微软雅黑"/>
          <w:color w:val="24282E"/>
          <w:sz w:val="19"/>
        </w:rPr>
        <w:t>10.1038/s41467-025-67703-7</w:t>
      </w:r>
      <w:r>
        <w:rPr>
          <w:rFonts w:ascii="微软雅黑" w:eastAsia="微软雅黑" w:hAnsi="微软雅黑" w:cs="微软雅黑"/>
          <w:color w:val="24282E"/>
          <w:sz w:val="19"/>
        </w:rPr>
        <w:t>.</w:t>
      </w:r>
    </w:p>
    <w:p w14:paraId="1B0AFADB"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Regulation (EU) 2024/1689 - EU AI Act. Official Journal of the European Union, 2024.</w:t>
      </w:r>
    </w:p>
    <w:p w14:paraId="0F4660DA"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Liu FT, Ting KM, Zhou ZH. Isolation-based Anomaly Detection. ACM Transactions on Knowledge Discovery fromData, 2012, 6(1): 1-39.</w:t>
      </w:r>
    </w:p>
    <w:p w14:paraId="19FE5501"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Su Y, et al. OmniAnomaly: Robust Anomaly Detection for Multivariate Time Series via Stochastic Recurrent NeuralNetwork. KDD 2019.</w:t>
      </w:r>
    </w:p>
    <w:p w14:paraId="4D0FB79E"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Audibert J, et al. USAD: UnSupervised Anomaly Detection on Multivariate Time Series. KDD 2020.</w:t>
      </w:r>
    </w:p>
    <w:p w14:paraId="6F040156"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Ismail Fawaz H, et al. Deep learning for time series classification: A review. Data Mining and Knowledge Discovery,2019, 33(4): 917-963.</w:t>
      </w:r>
    </w:p>
    <w:p w14:paraId="07B43163"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Xu J, et al. Anomaly Transformer: Time Series Anomaly Detection with Association Discrepancy. ICLR 2022.</w:t>
      </w:r>
    </w:p>
    <w:p w14:paraId="26D7613B"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Lee D, Malacarne S, Aune E. Explainable time series anomaly detection using masked latent generative modeling.Pattern Recognition, 2024, 156: 110826.</w:t>
      </w:r>
    </w:p>
    <w:p w14:paraId="2FB9EC1A"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Selvaraju RR, et al. Grad-CAM: Visual Explanations from Deep Networks via Gradient-based Localization. ICCV 2017.</w:t>
      </w:r>
    </w:p>
    <w:p w14:paraId="0AA368DB"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Sundararajan M, et al. Axiomatic Attribution for Deep Networks. ICML 2017.</w:t>
      </w:r>
    </w:p>
    <w:p w14:paraId="39FA5102"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Lundberg SM, Lee SI. A Unified Approach to Interpreting Model Predictions. NeurIPS 2017.</w:t>
      </w:r>
    </w:p>
    <w:p w14:paraId="53027D16"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Lundberg SM, et al. From Local Explanations to Global Understanding with Explainable AI for Trees. Nature MachineIntelligence, 2020.</w:t>
      </w:r>
    </w:p>
    <w:p w14:paraId="21859A26" w14:textId="77777777" w:rsidR="005E4DC0" w:rsidRDefault="00931588">
      <w:pPr>
        <w:numPr>
          <w:ilvl w:val="0"/>
          <w:numId w:val="6"/>
        </w:numPr>
        <w:spacing w:after="235"/>
        <w:ind w:right="46" w:hanging="394"/>
        <w:jc w:val="both"/>
      </w:pPr>
      <w:r>
        <w:rPr>
          <w:rFonts w:ascii="微软雅黑" w:eastAsia="微软雅黑" w:hAnsi="微软雅黑" w:cs="微软雅黑"/>
          <w:color w:val="24282E"/>
          <w:sz w:val="19"/>
        </w:rPr>
        <w:t>Jain S, Wallace BC. Attention is not Explanation. NAACL 2019.</w:t>
      </w:r>
    </w:p>
    <w:p w14:paraId="1D775F86" w14:textId="77777777" w:rsidR="005E4DC0" w:rsidRDefault="00931588">
      <w:pPr>
        <w:numPr>
          <w:ilvl w:val="0"/>
          <w:numId w:val="6"/>
        </w:numPr>
        <w:spacing w:after="74"/>
        <w:ind w:right="46" w:hanging="394"/>
        <w:jc w:val="both"/>
      </w:pPr>
      <w:r>
        <w:rPr>
          <w:rFonts w:ascii="微软雅黑" w:eastAsia="微软雅黑" w:hAnsi="微软雅黑" w:cs="微软雅黑"/>
          <w:color w:val="24282E"/>
          <w:sz w:val="19"/>
        </w:rPr>
        <w:t>Mitchell M, et al. Model Cards for Model Reporting. FAccT 2019.</w:t>
      </w:r>
    </w:p>
    <w:p w14:paraId="0798689B" w14:textId="77777777" w:rsidR="005E4DC0" w:rsidRDefault="00931588">
      <w:pPr>
        <w:spacing w:after="0"/>
        <w:ind w:right="-9"/>
      </w:pPr>
      <w:r>
        <w:rPr>
          <w:noProof/>
        </w:rPr>
        <mc:AlternateContent>
          <mc:Choice Requires="wpg">
            <w:drawing>
              <wp:inline distT="0" distB="0" distL="0" distR="0" wp14:anchorId="6E96AD9D" wp14:editId="258F433E">
                <wp:extent cx="6936566" cy="40684"/>
                <wp:effectExtent l="0" t="0" r="0" b="0"/>
                <wp:docPr id="30490" name="Group 30490"/>
                <wp:cNvGraphicFramePr/>
                <a:graphic xmlns:a="http://schemas.openxmlformats.org/drawingml/2006/main">
                  <a:graphicData uri="http://schemas.microsoft.com/office/word/2010/wordprocessingGroup">
                    <wpg:wgp>
                      <wpg:cNvGrpSpPr/>
                      <wpg:grpSpPr>
                        <a:xfrm>
                          <a:off x="0" y="0"/>
                          <a:ext cx="6936566" cy="40684"/>
                          <a:chOff x="0" y="0"/>
                          <a:chExt cx="6936566" cy="40684"/>
                        </a:xfrm>
                      </wpg:grpSpPr>
                      <wps:wsp>
                        <wps:cNvPr id="36701" name="Shape 36701"/>
                        <wps:cNvSpPr/>
                        <wps:spPr>
                          <a:xfrm>
                            <a:off x="0" y="0"/>
                            <a:ext cx="6936566" cy="40684"/>
                          </a:xfrm>
                          <a:custGeom>
                            <a:avLst/>
                            <a:gdLst/>
                            <a:ahLst/>
                            <a:cxnLst/>
                            <a:rect l="0" t="0" r="0" b="0"/>
                            <a:pathLst>
                              <a:path w="6936566" h="40684">
                                <a:moveTo>
                                  <a:pt x="0" y="0"/>
                                </a:moveTo>
                                <a:lnTo>
                                  <a:pt x="6936566" y="0"/>
                                </a:lnTo>
                                <a:lnTo>
                                  <a:pt x="6936566" y="40684"/>
                                </a:lnTo>
                                <a:lnTo>
                                  <a:pt x="0" y="40684"/>
                                </a:lnTo>
                                <a:lnTo>
                                  <a:pt x="0" y="0"/>
                                </a:lnTo>
                              </a:path>
                            </a:pathLst>
                          </a:custGeom>
                          <a:ln w="0" cap="flat">
                            <a:miter lim="127000"/>
                          </a:ln>
                        </wps:spPr>
                        <wps:style>
                          <a:lnRef idx="0">
                            <a:srgbClr val="000000">
                              <a:alpha val="0"/>
                            </a:srgbClr>
                          </a:lnRef>
                          <a:fillRef idx="1">
                            <a:srgbClr val="E0E4E8"/>
                          </a:fillRef>
                          <a:effectRef idx="0">
                            <a:scrgbClr r="0" g="0" b="0"/>
                          </a:effectRef>
                          <a:fontRef idx="none"/>
                        </wps:style>
                        <wps:bodyPr/>
                      </wps:wsp>
                      <wps:wsp>
                        <wps:cNvPr id="36702" name="Shape 36702"/>
                        <wps:cNvSpPr/>
                        <wps:spPr>
                          <a:xfrm>
                            <a:off x="0" y="30513"/>
                            <a:ext cx="6936566" cy="10171"/>
                          </a:xfrm>
                          <a:custGeom>
                            <a:avLst/>
                            <a:gdLst/>
                            <a:ahLst/>
                            <a:cxnLst/>
                            <a:rect l="0" t="0" r="0" b="0"/>
                            <a:pathLst>
                              <a:path w="6936566" h="10171">
                                <a:moveTo>
                                  <a:pt x="0" y="0"/>
                                </a:moveTo>
                                <a:lnTo>
                                  <a:pt x="6936566" y="0"/>
                                </a:lnTo>
                                <a:lnTo>
                                  <a:pt x="6936566" y="10171"/>
                                </a:lnTo>
                                <a:lnTo>
                                  <a:pt x="0" y="10171"/>
                                </a:lnTo>
                                <a:lnTo>
                                  <a:pt x="0" y="0"/>
                                </a:lnTo>
                              </a:path>
                            </a:pathLst>
                          </a:custGeom>
                          <a:ln w="0" cap="flat">
                            <a:miter lim="127000"/>
                          </a:ln>
                        </wps:spPr>
                        <wps:style>
                          <a:lnRef idx="0">
                            <a:srgbClr val="000000">
                              <a:alpha val="0"/>
                            </a:srgbClr>
                          </a:lnRef>
                          <a:fillRef idx="1">
                            <a:srgbClr val="EDEDED"/>
                          </a:fillRef>
                          <a:effectRef idx="0">
                            <a:scrgbClr r="0" g="0" b="0"/>
                          </a:effectRef>
                          <a:fontRef idx="none"/>
                        </wps:style>
                        <wps:bodyPr/>
                      </wps:wsp>
                    </wpg:wgp>
                  </a:graphicData>
                </a:graphic>
              </wp:inline>
            </w:drawing>
          </mc:Choice>
          <mc:Fallback xmlns:a="http://schemas.openxmlformats.org/drawingml/2006/main">
            <w:pict>
              <v:group id="Group 30490" style="width:546.186pt;height:3.20349pt;mso-position-horizontal-relative:char;mso-position-vertical-relative:line" coordsize="69365,406">
                <v:shape id="Shape 36703" style="position:absolute;width:69365;height:406;left:0;top:0;" coordsize="6936566,40684" path="m0,0l6936566,0l6936566,40684l0,40684l0,0">
                  <v:stroke weight="0pt" endcap="flat" joinstyle="miter" miterlimit="10" on="false" color="#000000" opacity="0"/>
                  <v:fill on="true" color="#e0e4e8"/>
                </v:shape>
                <v:shape id="Shape 36704" style="position:absolute;width:69365;height:101;left:0;top:305;" coordsize="6936566,10171" path="m0,0l6936566,0l6936566,10171l0,10171l0,0">
                  <v:stroke weight="0pt" endcap="flat" joinstyle="miter" miterlimit="10" on="false" color="#000000" opacity="0"/>
                  <v:fill on="true" color="#ededed"/>
                </v:shape>
              </v:group>
            </w:pict>
          </mc:Fallback>
        </mc:AlternateContent>
      </w:r>
    </w:p>
    <w:p w14:paraId="7CF1BC60" w14:textId="77777777" w:rsidR="005E4DC0" w:rsidRDefault="00931588">
      <w:pPr>
        <w:spacing w:after="80"/>
        <w:ind w:left="-5" w:right="94" w:hanging="10"/>
        <w:jc w:val="both"/>
      </w:pPr>
      <w:r>
        <w:rPr>
          <w:rFonts w:ascii="微软雅黑" w:eastAsia="微软雅黑" w:hAnsi="微软雅黑" w:cs="微软雅黑"/>
          <w:i/>
          <w:sz w:val="19"/>
        </w:rPr>
        <w:t>Manuscript prepared for TAIG 2026 - Technologies for AI Governance</w:t>
      </w:r>
    </w:p>
    <w:sectPr w:rsidR="005E4DC0">
      <w:pgSz w:w="11900" w:h="16840"/>
      <w:pgMar w:top="133" w:right="497" w:bottom="754" w:left="4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E82BB" w14:textId="77777777" w:rsidR="00A67019" w:rsidRDefault="00A67019" w:rsidP="00DB166C">
      <w:pPr>
        <w:spacing w:after="0" w:line="240" w:lineRule="auto"/>
      </w:pPr>
      <w:r>
        <w:separator/>
      </w:r>
    </w:p>
  </w:endnote>
  <w:endnote w:type="continuationSeparator" w:id="0">
    <w:p w14:paraId="22BDCED6" w14:textId="77777777" w:rsidR="00A67019" w:rsidRDefault="00A67019" w:rsidP="00DB1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99576" w14:textId="77777777" w:rsidR="00A67019" w:rsidRDefault="00A67019" w:rsidP="00DB166C">
      <w:pPr>
        <w:spacing w:after="0" w:line="240" w:lineRule="auto"/>
      </w:pPr>
      <w:r>
        <w:separator/>
      </w:r>
    </w:p>
  </w:footnote>
  <w:footnote w:type="continuationSeparator" w:id="0">
    <w:p w14:paraId="1EB54D1E" w14:textId="77777777" w:rsidR="00A67019" w:rsidRDefault="00A67019" w:rsidP="00DB16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6800"/>
    <w:multiLevelType w:val="hybridMultilevel"/>
    <w:tmpl w:val="4AF04270"/>
    <w:lvl w:ilvl="0" w:tplc="44A6F5BE">
      <w:start w:val="1"/>
      <w:numFmt w:val="decimal"/>
      <w:lvlText w:val="[%1]"/>
      <w:lvlJc w:val="left"/>
      <w:pPr>
        <w:ind w:left="394"/>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1" w:tplc="2AC051AA">
      <w:start w:val="1"/>
      <w:numFmt w:val="lowerLetter"/>
      <w:lvlText w:val="%2"/>
      <w:lvlJc w:val="left"/>
      <w:pPr>
        <w:ind w:left="1080"/>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2" w:tplc="6EF63AB4">
      <w:start w:val="1"/>
      <w:numFmt w:val="lowerRoman"/>
      <w:lvlText w:val="%3"/>
      <w:lvlJc w:val="left"/>
      <w:pPr>
        <w:ind w:left="1800"/>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3" w:tplc="73029892">
      <w:start w:val="1"/>
      <w:numFmt w:val="decimal"/>
      <w:lvlText w:val="%4"/>
      <w:lvlJc w:val="left"/>
      <w:pPr>
        <w:ind w:left="2520"/>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4" w:tplc="90F815DC">
      <w:start w:val="1"/>
      <w:numFmt w:val="lowerLetter"/>
      <w:lvlText w:val="%5"/>
      <w:lvlJc w:val="left"/>
      <w:pPr>
        <w:ind w:left="3240"/>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5" w:tplc="DF763D94">
      <w:start w:val="1"/>
      <w:numFmt w:val="lowerRoman"/>
      <w:lvlText w:val="%6"/>
      <w:lvlJc w:val="left"/>
      <w:pPr>
        <w:ind w:left="3960"/>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6" w:tplc="DEC8398A">
      <w:start w:val="1"/>
      <w:numFmt w:val="decimal"/>
      <w:lvlText w:val="%7"/>
      <w:lvlJc w:val="left"/>
      <w:pPr>
        <w:ind w:left="4680"/>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7" w:tplc="D570AFEA">
      <w:start w:val="1"/>
      <w:numFmt w:val="lowerLetter"/>
      <w:lvlText w:val="%8"/>
      <w:lvlJc w:val="left"/>
      <w:pPr>
        <w:ind w:left="5400"/>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8" w:tplc="3D1AA0D4">
      <w:start w:val="1"/>
      <w:numFmt w:val="lowerRoman"/>
      <w:lvlText w:val="%9"/>
      <w:lvlJc w:val="left"/>
      <w:pPr>
        <w:ind w:left="6120"/>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abstractNum>
  <w:abstractNum w:abstractNumId="1" w15:restartNumberingAfterBreak="0">
    <w:nsid w:val="28A62F33"/>
    <w:multiLevelType w:val="hybridMultilevel"/>
    <w:tmpl w:val="E5962BC6"/>
    <w:lvl w:ilvl="0" w:tplc="DA1286CC">
      <w:start w:val="1"/>
      <w:numFmt w:val="decimal"/>
      <w:lvlText w:val="%1."/>
      <w:lvlJc w:val="left"/>
      <w:pPr>
        <w:ind w:left="384"/>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1" w:tplc="C3C8443A">
      <w:start w:val="1"/>
      <w:numFmt w:val="lowerLetter"/>
      <w:lvlText w:val="%2"/>
      <w:lvlJc w:val="left"/>
      <w:pPr>
        <w:ind w:left="116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2" w:tplc="B2306AA4">
      <w:start w:val="1"/>
      <w:numFmt w:val="lowerRoman"/>
      <w:lvlText w:val="%3"/>
      <w:lvlJc w:val="left"/>
      <w:pPr>
        <w:ind w:left="188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3" w:tplc="9E3E18CC">
      <w:start w:val="1"/>
      <w:numFmt w:val="decimal"/>
      <w:lvlText w:val="%4"/>
      <w:lvlJc w:val="left"/>
      <w:pPr>
        <w:ind w:left="260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4" w:tplc="8CEC9EA0">
      <w:start w:val="1"/>
      <w:numFmt w:val="lowerLetter"/>
      <w:lvlText w:val="%5"/>
      <w:lvlJc w:val="left"/>
      <w:pPr>
        <w:ind w:left="332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5" w:tplc="EBD4ACAC">
      <w:start w:val="1"/>
      <w:numFmt w:val="lowerRoman"/>
      <w:lvlText w:val="%6"/>
      <w:lvlJc w:val="left"/>
      <w:pPr>
        <w:ind w:left="404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6" w:tplc="ED92A44E">
      <w:start w:val="1"/>
      <w:numFmt w:val="decimal"/>
      <w:lvlText w:val="%7"/>
      <w:lvlJc w:val="left"/>
      <w:pPr>
        <w:ind w:left="476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7" w:tplc="C2FEFC5A">
      <w:start w:val="1"/>
      <w:numFmt w:val="lowerLetter"/>
      <w:lvlText w:val="%8"/>
      <w:lvlJc w:val="left"/>
      <w:pPr>
        <w:ind w:left="548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8" w:tplc="ADA877D0">
      <w:start w:val="1"/>
      <w:numFmt w:val="lowerRoman"/>
      <w:lvlText w:val="%9"/>
      <w:lvlJc w:val="left"/>
      <w:pPr>
        <w:ind w:left="620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abstractNum>
  <w:abstractNum w:abstractNumId="2" w15:restartNumberingAfterBreak="0">
    <w:nsid w:val="4873190E"/>
    <w:multiLevelType w:val="hybridMultilevel"/>
    <w:tmpl w:val="AA505DD6"/>
    <w:lvl w:ilvl="0" w:tplc="66CE7C9A">
      <w:start w:val="1"/>
      <w:numFmt w:val="decimal"/>
      <w:lvlText w:val="%1."/>
      <w:lvlJc w:val="left"/>
      <w:pPr>
        <w:ind w:left="395"/>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1" w:tplc="A0682A8C">
      <w:start w:val="1"/>
      <w:numFmt w:val="lowerLetter"/>
      <w:lvlText w:val="%2"/>
      <w:lvlJc w:val="left"/>
      <w:pPr>
        <w:ind w:left="116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2" w:tplc="93EC70D0">
      <w:start w:val="1"/>
      <w:numFmt w:val="lowerRoman"/>
      <w:lvlText w:val="%3"/>
      <w:lvlJc w:val="left"/>
      <w:pPr>
        <w:ind w:left="188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3" w:tplc="5D32DFB8">
      <w:start w:val="1"/>
      <w:numFmt w:val="decimal"/>
      <w:lvlText w:val="%4"/>
      <w:lvlJc w:val="left"/>
      <w:pPr>
        <w:ind w:left="260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4" w:tplc="29F2A28A">
      <w:start w:val="1"/>
      <w:numFmt w:val="lowerLetter"/>
      <w:lvlText w:val="%5"/>
      <w:lvlJc w:val="left"/>
      <w:pPr>
        <w:ind w:left="332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5" w:tplc="2B0E0BE8">
      <w:start w:val="1"/>
      <w:numFmt w:val="lowerRoman"/>
      <w:lvlText w:val="%6"/>
      <w:lvlJc w:val="left"/>
      <w:pPr>
        <w:ind w:left="404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6" w:tplc="073CDAE6">
      <w:start w:val="1"/>
      <w:numFmt w:val="decimal"/>
      <w:lvlText w:val="%7"/>
      <w:lvlJc w:val="left"/>
      <w:pPr>
        <w:ind w:left="476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7" w:tplc="3946BF30">
      <w:start w:val="1"/>
      <w:numFmt w:val="lowerLetter"/>
      <w:lvlText w:val="%8"/>
      <w:lvlJc w:val="left"/>
      <w:pPr>
        <w:ind w:left="548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8" w:tplc="0F56A548">
      <w:start w:val="1"/>
      <w:numFmt w:val="lowerRoman"/>
      <w:lvlText w:val="%9"/>
      <w:lvlJc w:val="left"/>
      <w:pPr>
        <w:ind w:left="620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abstractNum>
  <w:abstractNum w:abstractNumId="3" w15:restartNumberingAfterBreak="0">
    <w:nsid w:val="53331F2C"/>
    <w:multiLevelType w:val="hybridMultilevel"/>
    <w:tmpl w:val="FF6A21D6"/>
    <w:lvl w:ilvl="0" w:tplc="57EEAE38">
      <w:start w:val="1"/>
      <w:numFmt w:val="decimal"/>
      <w:lvlText w:val="%1."/>
      <w:lvlJc w:val="left"/>
      <w:pPr>
        <w:ind w:left="384"/>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1" w:tplc="12F0D514">
      <w:start w:val="1"/>
      <w:numFmt w:val="lowerLetter"/>
      <w:lvlText w:val="%2"/>
      <w:lvlJc w:val="left"/>
      <w:pPr>
        <w:ind w:left="116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2" w:tplc="1C5A189C">
      <w:start w:val="1"/>
      <w:numFmt w:val="lowerRoman"/>
      <w:lvlText w:val="%3"/>
      <w:lvlJc w:val="left"/>
      <w:pPr>
        <w:ind w:left="188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3" w:tplc="9AECB86C">
      <w:start w:val="1"/>
      <w:numFmt w:val="decimal"/>
      <w:lvlText w:val="%4"/>
      <w:lvlJc w:val="left"/>
      <w:pPr>
        <w:ind w:left="260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4" w:tplc="AC746DE2">
      <w:start w:val="1"/>
      <w:numFmt w:val="lowerLetter"/>
      <w:lvlText w:val="%5"/>
      <w:lvlJc w:val="left"/>
      <w:pPr>
        <w:ind w:left="332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5" w:tplc="E7E04038">
      <w:start w:val="1"/>
      <w:numFmt w:val="lowerRoman"/>
      <w:lvlText w:val="%6"/>
      <w:lvlJc w:val="left"/>
      <w:pPr>
        <w:ind w:left="404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6" w:tplc="2348E688">
      <w:start w:val="1"/>
      <w:numFmt w:val="decimal"/>
      <w:lvlText w:val="%7"/>
      <w:lvlJc w:val="left"/>
      <w:pPr>
        <w:ind w:left="476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7" w:tplc="9FDE8984">
      <w:start w:val="1"/>
      <w:numFmt w:val="lowerLetter"/>
      <w:lvlText w:val="%8"/>
      <w:lvlJc w:val="left"/>
      <w:pPr>
        <w:ind w:left="548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8" w:tplc="F29E4780">
      <w:start w:val="1"/>
      <w:numFmt w:val="lowerRoman"/>
      <w:lvlText w:val="%9"/>
      <w:lvlJc w:val="left"/>
      <w:pPr>
        <w:ind w:left="620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abstractNum>
  <w:abstractNum w:abstractNumId="4" w15:restartNumberingAfterBreak="0">
    <w:nsid w:val="566516FA"/>
    <w:multiLevelType w:val="hybridMultilevel"/>
    <w:tmpl w:val="2E167D32"/>
    <w:lvl w:ilvl="0" w:tplc="6A70A32C">
      <w:start w:val="1"/>
      <w:numFmt w:val="decimal"/>
      <w:lvlText w:val="%1."/>
      <w:lvlJc w:val="left"/>
      <w:pPr>
        <w:ind w:left="395"/>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1" w:tplc="5824B106">
      <w:start w:val="1"/>
      <w:numFmt w:val="lowerLetter"/>
      <w:lvlText w:val="%2"/>
      <w:lvlJc w:val="left"/>
      <w:pPr>
        <w:ind w:left="116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2" w:tplc="C9F44940">
      <w:start w:val="1"/>
      <w:numFmt w:val="lowerRoman"/>
      <w:lvlText w:val="%3"/>
      <w:lvlJc w:val="left"/>
      <w:pPr>
        <w:ind w:left="188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3" w:tplc="74C06A96">
      <w:start w:val="1"/>
      <w:numFmt w:val="decimal"/>
      <w:lvlText w:val="%4"/>
      <w:lvlJc w:val="left"/>
      <w:pPr>
        <w:ind w:left="260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4" w:tplc="926EE8FE">
      <w:start w:val="1"/>
      <w:numFmt w:val="lowerLetter"/>
      <w:lvlText w:val="%5"/>
      <w:lvlJc w:val="left"/>
      <w:pPr>
        <w:ind w:left="332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5" w:tplc="FD08D276">
      <w:start w:val="1"/>
      <w:numFmt w:val="lowerRoman"/>
      <w:lvlText w:val="%6"/>
      <w:lvlJc w:val="left"/>
      <w:pPr>
        <w:ind w:left="404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6" w:tplc="836434C0">
      <w:start w:val="1"/>
      <w:numFmt w:val="decimal"/>
      <w:lvlText w:val="%7"/>
      <w:lvlJc w:val="left"/>
      <w:pPr>
        <w:ind w:left="476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7" w:tplc="33B86B10">
      <w:start w:val="1"/>
      <w:numFmt w:val="lowerLetter"/>
      <w:lvlText w:val="%8"/>
      <w:lvlJc w:val="left"/>
      <w:pPr>
        <w:ind w:left="548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lvl w:ilvl="8" w:tplc="D6700972">
      <w:start w:val="1"/>
      <w:numFmt w:val="lowerRoman"/>
      <w:lvlText w:val="%9"/>
      <w:lvlJc w:val="left"/>
      <w:pPr>
        <w:ind w:left="6208"/>
      </w:pPr>
      <w:rPr>
        <w:rFonts w:ascii="微软雅黑" w:eastAsia="微软雅黑" w:hAnsi="微软雅黑" w:cs="微软雅黑"/>
        <w:b w:val="0"/>
        <w:i w:val="0"/>
        <w:strike w:val="0"/>
        <w:dstrike w:val="0"/>
        <w:color w:val="24282E"/>
        <w:sz w:val="19"/>
        <w:szCs w:val="19"/>
        <w:u w:val="none" w:color="000000"/>
        <w:bdr w:val="none" w:sz="0" w:space="0" w:color="auto"/>
        <w:shd w:val="clear" w:color="auto" w:fill="auto"/>
        <w:vertAlign w:val="baseline"/>
      </w:rPr>
    </w:lvl>
  </w:abstractNum>
  <w:abstractNum w:abstractNumId="5" w15:restartNumberingAfterBreak="0">
    <w:nsid w:val="75B02FFB"/>
    <w:multiLevelType w:val="hybridMultilevel"/>
    <w:tmpl w:val="C4E8AB52"/>
    <w:lvl w:ilvl="0" w:tplc="0A022B6E">
      <w:start w:val="1"/>
      <w:numFmt w:val="decimal"/>
      <w:lvlText w:val="%1"/>
      <w:lvlJc w:val="left"/>
      <w:pPr>
        <w:ind w:left="153"/>
      </w:pPr>
      <w:rPr>
        <w:rFonts w:ascii="微软雅黑" w:eastAsia="微软雅黑" w:hAnsi="微软雅黑" w:cs="微软雅黑"/>
        <w:b w:val="0"/>
        <w:i w:val="0"/>
        <w:strike w:val="0"/>
        <w:dstrike w:val="0"/>
        <w:color w:val="24282E"/>
        <w:sz w:val="25"/>
        <w:szCs w:val="25"/>
        <w:u w:val="none" w:color="000000"/>
        <w:bdr w:val="none" w:sz="0" w:space="0" w:color="auto"/>
        <w:shd w:val="clear" w:color="auto" w:fill="auto"/>
        <w:vertAlign w:val="superscript"/>
      </w:rPr>
    </w:lvl>
    <w:lvl w:ilvl="1" w:tplc="9B48AD66">
      <w:start w:val="1"/>
      <w:numFmt w:val="lowerLetter"/>
      <w:lvlText w:val="%2"/>
      <w:lvlJc w:val="left"/>
      <w:pPr>
        <w:ind w:left="1080"/>
      </w:pPr>
      <w:rPr>
        <w:rFonts w:ascii="微软雅黑" w:eastAsia="微软雅黑" w:hAnsi="微软雅黑" w:cs="微软雅黑"/>
        <w:b w:val="0"/>
        <w:i w:val="0"/>
        <w:strike w:val="0"/>
        <w:dstrike w:val="0"/>
        <w:color w:val="24282E"/>
        <w:sz w:val="25"/>
        <w:szCs w:val="25"/>
        <w:u w:val="none" w:color="000000"/>
        <w:bdr w:val="none" w:sz="0" w:space="0" w:color="auto"/>
        <w:shd w:val="clear" w:color="auto" w:fill="auto"/>
        <w:vertAlign w:val="superscript"/>
      </w:rPr>
    </w:lvl>
    <w:lvl w:ilvl="2" w:tplc="9E50FC34">
      <w:start w:val="1"/>
      <w:numFmt w:val="lowerRoman"/>
      <w:lvlText w:val="%3"/>
      <w:lvlJc w:val="left"/>
      <w:pPr>
        <w:ind w:left="1800"/>
      </w:pPr>
      <w:rPr>
        <w:rFonts w:ascii="微软雅黑" w:eastAsia="微软雅黑" w:hAnsi="微软雅黑" w:cs="微软雅黑"/>
        <w:b w:val="0"/>
        <w:i w:val="0"/>
        <w:strike w:val="0"/>
        <w:dstrike w:val="0"/>
        <w:color w:val="24282E"/>
        <w:sz w:val="25"/>
        <w:szCs w:val="25"/>
        <w:u w:val="none" w:color="000000"/>
        <w:bdr w:val="none" w:sz="0" w:space="0" w:color="auto"/>
        <w:shd w:val="clear" w:color="auto" w:fill="auto"/>
        <w:vertAlign w:val="superscript"/>
      </w:rPr>
    </w:lvl>
    <w:lvl w:ilvl="3" w:tplc="DF3815EC">
      <w:start w:val="1"/>
      <w:numFmt w:val="decimal"/>
      <w:lvlText w:val="%4"/>
      <w:lvlJc w:val="left"/>
      <w:pPr>
        <w:ind w:left="2520"/>
      </w:pPr>
      <w:rPr>
        <w:rFonts w:ascii="微软雅黑" w:eastAsia="微软雅黑" w:hAnsi="微软雅黑" w:cs="微软雅黑"/>
        <w:b w:val="0"/>
        <w:i w:val="0"/>
        <w:strike w:val="0"/>
        <w:dstrike w:val="0"/>
        <w:color w:val="24282E"/>
        <w:sz w:val="25"/>
        <w:szCs w:val="25"/>
        <w:u w:val="none" w:color="000000"/>
        <w:bdr w:val="none" w:sz="0" w:space="0" w:color="auto"/>
        <w:shd w:val="clear" w:color="auto" w:fill="auto"/>
        <w:vertAlign w:val="superscript"/>
      </w:rPr>
    </w:lvl>
    <w:lvl w:ilvl="4" w:tplc="68C4A022">
      <w:start w:val="1"/>
      <w:numFmt w:val="lowerLetter"/>
      <w:lvlText w:val="%5"/>
      <w:lvlJc w:val="left"/>
      <w:pPr>
        <w:ind w:left="3240"/>
      </w:pPr>
      <w:rPr>
        <w:rFonts w:ascii="微软雅黑" w:eastAsia="微软雅黑" w:hAnsi="微软雅黑" w:cs="微软雅黑"/>
        <w:b w:val="0"/>
        <w:i w:val="0"/>
        <w:strike w:val="0"/>
        <w:dstrike w:val="0"/>
        <w:color w:val="24282E"/>
        <w:sz w:val="25"/>
        <w:szCs w:val="25"/>
        <w:u w:val="none" w:color="000000"/>
        <w:bdr w:val="none" w:sz="0" w:space="0" w:color="auto"/>
        <w:shd w:val="clear" w:color="auto" w:fill="auto"/>
        <w:vertAlign w:val="superscript"/>
      </w:rPr>
    </w:lvl>
    <w:lvl w:ilvl="5" w:tplc="B4EC43AE">
      <w:start w:val="1"/>
      <w:numFmt w:val="lowerRoman"/>
      <w:lvlText w:val="%6"/>
      <w:lvlJc w:val="left"/>
      <w:pPr>
        <w:ind w:left="3960"/>
      </w:pPr>
      <w:rPr>
        <w:rFonts w:ascii="微软雅黑" w:eastAsia="微软雅黑" w:hAnsi="微软雅黑" w:cs="微软雅黑"/>
        <w:b w:val="0"/>
        <w:i w:val="0"/>
        <w:strike w:val="0"/>
        <w:dstrike w:val="0"/>
        <w:color w:val="24282E"/>
        <w:sz w:val="25"/>
        <w:szCs w:val="25"/>
        <w:u w:val="none" w:color="000000"/>
        <w:bdr w:val="none" w:sz="0" w:space="0" w:color="auto"/>
        <w:shd w:val="clear" w:color="auto" w:fill="auto"/>
        <w:vertAlign w:val="superscript"/>
      </w:rPr>
    </w:lvl>
    <w:lvl w:ilvl="6" w:tplc="D4649E48">
      <w:start w:val="1"/>
      <w:numFmt w:val="decimal"/>
      <w:lvlText w:val="%7"/>
      <w:lvlJc w:val="left"/>
      <w:pPr>
        <w:ind w:left="4680"/>
      </w:pPr>
      <w:rPr>
        <w:rFonts w:ascii="微软雅黑" w:eastAsia="微软雅黑" w:hAnsi="微软雅黑" w:cs="微软雅黑"/>
        <w:b w:val="0"/>
        <w:i w:val="0"/>
        <w:strike w:val="0"/>
        <w:dstrike w:val="0"/>
        <w:color w:val="24282E"/>
        <w:sz w:val="25"/>
        <w:szCs w:val="25"/>
        <w:u w:val="none" w:color="000000"/>
        <w:bdr w:val="none" w:sz="0" w:space="0" w:color="auto"/>
        <w:shd w:val="clear" w:color="auto" w:fill="auto"/>
        <w:vertAlign w:val="superscript"/>
      </w:rPr>
    </w:lvl>
    <w:lvl w:ilvl="7" w:tplc="A300CA5A">
      <w:start w:val="1"/>
      <w:numFmt w:val="lowerLetter"/>
      <w:lvlText w:val="%8"/>
      <w:lvlJc w:val="left"/>
      <w:pPr>
        <w:ind w:left="5400"/>
      </w:pPr>
      <w:rPr>
        <w:rFonts w:ascii="微软雅黑" w:eastAsia="微软雅黑" w:hAnsi="微软雅黑" w:cs="微软雅黑"/>
        <w:b w:val="0"/>
        <w:i w:val="0"/>
        <w:strike w:val="0"/>
        <w:dstrike w:val="0"/>
        <w:color w:val="24282E"/>
        <w:sz w:val="25"/>
        <w:szCs w:val="25"/>
        <w:u w:val="none" w:color="000000"/>
        <w:bdr w:val="none" w:sz="0" w:space="0" w:color="auto"/>
        <w:shd w:val="clear" w:color="auto" w:fill="auto"/>
        <w:vertAlign w:val="superscript"/>
      </w:rPr>
    </w:lvl>
    <w:lvl w:ilvl="8" w:tplc="937EB152">
      <w:start w:val="1"/>
      <w:numFmt w:val="lowerRoman"/>
      <w:lvlText w:val="%9"/>
      <w:lvlJc w:val="left"/>
      <w:pPr>
        <w:ind w:left="6120"/>
      </w:pPr>
      <w:rPr>
        <w:rFonts w:ascii="微软雅黑" w:eastAsia="微软雅黑" w:hAnsi="微软雅黑" w:cs="微软雅黑"/>
        <w:b w:val="0"/>
        <w:i w:val="0"/>
        <w:strike w:val="0"/>
        <w:dstrike w:val="0"/>
        <w:color w:val="24282E"/>
        <w:sz w:val="25"/>
        <w:szCs w:val="25"/>
        <w:u w:val="none" w:color="000000"/>
        <w:bdr w:val="none" w:sz="0" w:space="0" w:color="auto"/>
        <w:shd w:val="clear" w:color="auto" w:fill="auto"/>
        <w:vertAlign w:val="superscript"/>
      </w:rPr>
    </w:lvl>
  </w:abstractNum>
  <w:num w:numId="1" w16cid:durableId="1399942724">
    <w:abstractNumId w:val="5"/>
  </w:num>
  <w:num w:numId="2" w16cid:durableId="1046100827">
    <w:abstractNumId w:val="2"/>
  </w:num>
  <w:num w:numId="3" w16cid:durableId="300772095">
    <w:abstractNumId w:val="4"/>
  </w:num>
  <w:num w:numId="4" w16cid:durableId="1303347035">
    <w:abstractNumId w:val="3"/>
  </w:num>
  <w:num w:numId="5" w16cid:durableId="1023019927">
    <w:abstractNumId w:val="1"/>
  </w:num>
  <w:num w:numId="6" w16cid:durableId="119021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DC0"/>
    <w:rsid w:val="00071758"/>
    <w:rsid w:val="000E183D"/>
    <w:rsid w:val="00132002"/>
    <w:rsid w:val="002773B4"/>
    <w:rsid w:val="0048265A"/>
    <w:rsid w:val="00483B85"/>
    <w:rsid w:val="0051756A"/>
    <w:rsid w:val="005D03F3"/>
    <w:rsid w:val="005E4DC0"/>
    <w:rsid w:val="007F077F"/>
    <w:rsid w:val="00931588"/>
    <w:rsid w:val="009E2561"/>
    <w:rsid w:val="00A042F1"/>
    <w:rsid w:val="00A62CD8"/>
    <w:rsid w:val="00A67019"/>
    <w:rsid w:val="00C1108C"/>
    <w:rsid w:val="00DB166C"/>
    <w:rsid w:val="00FD3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DEC51"/>
  <w15:docId w15:val="{63CB3421-AA89-4F7E-84A6-D83468780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0" w:line="259" w:lineRule="auto"/>
      <w:ind w:left="21" w:hanging="10"/>
      <w:outlineLvl w:val="0"/>
    </w:pPr>
    <w:rPr>
      <w:rFonts w:ascii="微软雅黑" w:eastAsia="微软雅黑" w:hAnsi="微软雅黑" w:cs="微软雅黑"/>
      <w:color w:val="000000"/>
      <w:sz w:val="29"/>
    </w:rPr>
  </w:style>
  <w:style w:type="paragraph" w:styleId="2">
    <w:name w:val="heading 2"/>
    <w:next w:val="a"/>
    <w:link w:val="20"/>
    <w:uiPriority w:val="9"/>
    <w:unhideWhenUsed/>
    <w:qFormat/>
    <w:pPr>
      <w:keepNext/>
      <w:keepLines/>
      <w:spacing w:after="155" w:line="259" w:lineRule="auto"/>
      <w:ind w:left="21" w:hanging="10"/>
      <w:outlineLvl w:val="1"/>
    </w:pPr>
    <w:rPr>
      <w:rFonts w:ascii="微软雅黑" w:eastAsia="微软雅黑" w:hAnsi="微软雅黑" w:cs="微软雅黑"/>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微软雅黑" w:eastAsia="微软雅黑" w:hAnsi="微软雅黑" w:cs="微软雅黑"/>
      <w:b/>
      <w:color w:val="000000"/>
      <w:sz w:val="24"/>
    </w:rPr>
  </w:style>
  <w:style w:type="character" w:customStyle="1" w:styleId="10">
    <w:name w:val="标题 1 字符"/>
    <w:link w:val="1"/>
    <w:rPr>
      <w:rFonts w:ascii="微软雅黑" w:eastAsia="微软雅黑" w:hAnsi="微软雅黑" w:cs="微软雅黑"/>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DB166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B166C"/>
    <w:rPr>
      <w:rFonts w:ascii="Calibri" w:eastAsia="Calibri" w:hAnsi="Calibri" w:cs="Calibri"/>
      <w:color w:val="000000"/>
      <w:sz w:val="18"/>
      <w:szCs w:val="18"/>
    </w:rPr>
  </w:style>
  <w:style w:type="paragraph" w:styleId="a5">
    <w:name w:val="footer"/>
    <w:basedOn w:val="a"/>
    <w:link w:val="a6"/>
    <w:uiPriority w:val="99"/>
    <w:unhideWhenUsed/>
    <w:rsid w:val="00DB166C"/>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DB166C"/>
    <w:rPr>
      <w:rFonts w:ascii="Calibri" w:eastAsia="Calibri" w:hAnsi="Calibri" w:cs="Calibr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2644</Words>
  <Characters>15073</Characters>
  <Application>Microsoft Office Word</Application>
  <DocSecurity>0</DocSecurity>
  <Lines>125</Lines>
  <Paragraphs>35</Paragraphs>
  <ScaleCrop>false</ScaleCrop>
  <Company/>
  <LinksUpToDate>false</LinksUpToDate>
  <CharactersWithSpaces>17682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dc:title>
  <dc:subject/>
  <dc:creator>ROG</dc:creator>
  <cp:keywords/>
  <cp:lastModifiedBy>ROG</cp:lastModifiedBy>
  <cp:revision>7</cp:revision>
  <dcterms:created xsi:type="dcterms:W3CDTF">2026-09-03T07:28:00Z</dcterms:created>
  <dcterms:modified xsi:type="dcterms:W3CDTF">2026-09-03T08:44:00Z</dcterms:modified>
</cp:coreProperties>
</file>