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580E5" w14:textId="77777777" w:rsidR="00F81EC0" w:rsidRDefault="00F81EC0">
      <w:pPr>
        <w:pStyle w:val="1"/>
        <w:rPr>
          <w:rFonts w:ascii="Times New Roman" w:hAnsi="Times New Roman" w:cs="Times New Roman"/>
          <w:color w:val="000000"/>
        </w:rPr>
      </w:pPr>
      <w:r>
        <w:rPr>
          <w:rFonts w:ascii="Times New Roman" w:hAnsi="Times New Roman" w:cs="Times New Roman"/>
          <w:color w:val="000000"/>
        </w:rPr>
        <w:t>基于可解释人工智能的充电站网络异常检测</w:t>
      </w:r>
      <w:r>
        <w:rPr>
          <w:rFonts w:ascii="Times New Roman" w:hAnsi="Times New Roman" w:cs="Times New Roman"/>
          <w:color w:val="000000"/>
        </w:rPr>
        <w:t>:</w:t>
      </w:r>
      <w:r>
        <w:rPr>
          <w:rFonts w:ascii="Times New Roman" w:hAnsi="Times New Roman" w:cs="Times New Roman"/>
          <w:color w:val="000000"/>
        </w:rPr>
        <w:t>面向欧盟《人工智能法案》合规方案</w:t>
      </w:r>
    </w:p>
    <w:p w14:paraId="400E98C0" w14:textId="77777777" w:rsidR="00F81EC0" w:rsidRDefault="00F81EC0">
      <w:pPr>
        <w:jc w:val="center"/>
        <w:divId w:val="744768816"/>
        <w:rPr>
          <w:rFonts w:ascii="Times New Roman" w:hAnsi="Times New Roman" w:cs="Times New Roman"/>
          <w:color w:val="000000"/>
          <w:sz w:val="22"/>
          <w:szCs w:val="22"/>
        </w:rPr>
      </w:pPr>
      <w:r>
        <w:rPr>
          <w:rFonts w:ascii="Times New Roman" w:hAnsi="Times New Roman" w:cs="Times New Roman"/>
          <w:color w:val="000000"/>
          <w:sz w:val="22"/>
          <w:szCs w:val="22"/>
        </w:rPr>
        <w:t>傅坚</w:t>
      </w:r>
      <w:r>
        <w:rPr>
          <w:rFonts w:ascii="Times New Roman" w:hAnsi="Times New Roman" w:cs="Times New Roman"/>
          <w:color w:val="000000"/>
          <w:sz w:val="22"/>
          <w:szCs w:val="22"/>
          <w:vertAlign w:val="superscript"/>
        </w:rPr>
        <w:t>1</w:t>
      </w:r>
      <w:r>
        <w:rPr>
          <w:rFonts w:ascii="Times New Roman" w:hAnsi="Times New Roman" w:cs="Times New Roman"/>
          <w:color w:val="000000"/>
          <w:sz w:val="22"/>
          <w:szCs w:val="22"/>
        </w:rPr>
        <w:t>,</w:t>
      </w:r>
      <w:r>
        <w:rPr>
          <w:rFonts w:ascii="Times New Roman" w:hAnsi="Times New Roman" w:cs="Times New Roman"/>
          <w:color w:val="000000"/>
          <w:sz w:val="22"/>
          <w:szCs w:val="22"/>
        </w:rPr>
        <w:t>王莹</w:t>
      </w:r>
      <w:r>
        <w:rPr>
          <w:rFonts w:ascii="Times New Roman" w:hAnsi="Times New Roman" w:cs="Times New Roman"/>
          <w:color w:val="000000"/>
          <w:sz w:val="22"/>
          <w:szCs w:val="22"/>
          <w:vertAlign w:val="superscript"/>
        </w:rPr>
        <w:t>2</w:t>
      </w:r>
      <w:r>
        <w:rPr>
          <w:rFonts w:ascii="Times New Roman" w:hAnsi="Times New Roman" w:cs="Times New Roman"/>
          <w:color w:val="000000"/>
          <w:sz w:val="22"/>
          <w:szCs w:val="22"/>
        </w:rPr>
        <w:t>,</w:t>
      </w:r>
      <w:r>
        <w:rPr>
          <w:rFonts w:ascii="Times New Roman" w:hAnsi="Times New Roman" w:cs="Times New Roman"/>
          <w:color w:val="000000"/>
          <w:sz w:val="22"/>
          <w:szCs w:val="22"/>
        </w:rPr>
        <w:t>陈天元</w:t>
      </w:r>
      <w:r>
        <w:rPr>
          <w:rFonts w:ascii="Times New Roman" w:hAnsi="Times New Roman" w:cs="Times New Roman"/>
          <w:color w:val="000000"/>
          <w:sz w:val="22"/>
          <w:szCs w:val="22"/>
          <w:vertAlign w:val="superscript"/>
        </w:rPr>
        <w:t>2</w:t>
      </w:r>
      <w:r>
        <w:rPr>
          <w:rFonts w:ascii="Times New Roman" w:hAnsi="Times New Roman" w:cs="Times New Roman"/>
          <w:color w:val="000000"/>
          <w:sz w:val="22"/>
          <w:szCs w:val="22"/>
        </w:rPr>
        <w:t>,</w:t>
      </w:r>
      <w:r>
        <w:rPr>
          <w:rFonts w:ascii="Times New Roman" w:hAnsi="Times New Roman" w:cs="Times New Roman"/>
          <w:color w:val="000000"/>
          <w:sz w:val="22"/>
          <w:szCs w:val="22"/>
        </w:rPr>
        <w:t>朱禹林</w:t>
      </w:r>
      <w:r>
        <w:rPr>
          <w:rFonts w:ascii="Times New Roman" w:hAnsi="Times New Roman" w:cs="Times New Roman"/>
          <w:color w:val="000000"/>
          <w:sz w:val="22"/>
          <w:szCs w:val="22"/>
          <w:vertAlign w:val="superscript"/>
        </w:rPr>
        <w:t>2*</w:t>
      </w:r>
    </w:p>
    <w:p w14:paraId="0B06C323" w14:textId="77777777" w:rsidR="00F81EC0" w:rsidRDefault="00F81EC0">
      <w:pPr>
        <w:jc w:val="center"/>
        <w:divId w:val="1890263840"/>
        <w:rPr>
          <w:rFonts w:ascii="Times New Roman" w:hAnsi="Times New Roman" w:cs="Times New Roman"/>
          <w:color w:val="000000"/>
          <w:sz w:val="19"/>
          <w:szCs w:val="19"/>
        </w:rPr>
      </w:pPr>
      <w:r>
        <w:rPr>
          <w:rFonts w:ascii="Times New Roman" w:hAnsi="Times New Roman" w:cs="Times New Roman"/>
          <w:color w:val="000000"/>
          <w:sz w:val="19"/>
          <w:szCs w:val="19"/>
          <w:vertAlign w:val="superscript"/>
        </w:rPr>
        <w:t>1</w:t>
      </w:r>
      <w:r>
        <w:rPr>
          <w:rFonts w:ascii="Times New Roman" w:hAnsi="Times New Roman" w:cs="Times New Roman"/>
          <w:color w:val="000000"/>
          <w:sz w:val="19"/>
          <w:szCs w:val="19"/>
        </w:rPr>
        <w:t xml:space="preserve"> </w:t>
      </w:r>
      <w:r>
        <w:rPr>
          <w:rFonts w:ascii="Times New Roman" w:hAnsi="Times New Roman" w:cs="Times New Roman"/>
          <w:color w:val="000000"/>
          <w:sz w:val="19"/>
          <w:szCs w:val="19"/>
        </w:rPr>
        <w:t>岭南大学</w:t>
      </w:r>
      <w:r>
        <w:rPr>
          <w:rFonts w:ascii="Times New Roman" w:hAnsi="Times New Roman" w:cs="Times New Roman"/>
          <w:color w:val="000000"/>
          <w:sz w:val="19"/>
          <w:szCs w:val="19"/>
        </w:rPr>
        <w:t xml:space="preserve">    </w:t>
      </w:r>
      <w:r>
        <w:rPr>
          <w:rFonts w:ascii="Times New Roman" w:hAnsi="Times New Roman" w:cs="Times New Roman"/>
          <w:color w:val="000000"/>
          <w:sz w:val="19"/>
          <w:szCs w:val="19"/>
          <w:vertAlign w:val="superscript"/>
        </w:rPr>
        <w:t>2</w:t>
      </w:r>
      <w:r>
        <w:rPr>
          <w:rFonts w:ascii="Times New Roman" w:hAnsi="Times New Roman" w:cs="Times New Roman"/>
          <w:color w:val="000000"/>
          <w:sz w:val="19"/>
          <w:szCs w:val="19"/>
        </w:rPr>
        <w:t xml:space="preserve"> </w:t>
      </w:r>
      <w:r>
        <w:rPr>
          <w:rFonts w:ascii="Times New Roman" w:hAnsi="Times New Roman" w:cs="Times New Roman"/>
          <w:color w:val="000000"/>
          <w:sz w:val="19"/>
          <w:szCs w:val="19"/>
        </w:rPr>
        <w:t>珠海学院</w:t>
      </w:r>
      <w:r>
        <w:rPr>
          <w:rFonts w:ascii="Times New Roman" w:hAnsi="Times New Roman" w:cs="Times New Roman"/>
          <w:color w:val="000000"/>
          <w:sz w:val="19"/>
          <w:szCs w:val="19"/>
        </w:rPr>
        <w:t xml:space="preserve">    *</w:t>
      </w:r>
      <w:r>
        <w:rPr>
          <w:rFonts w:ascii="Times New Roman" w:hAnsi="Times New Roman" w:cs="Times New Roman"/>
          <w:color w:val="000000"/>
          <w:sz w:val="19"/>
          <w:szCs w:val="19"/>
        </w:rPr>
        <w:t>通讯作者</w:t>
      </w:r>
    </w:p>
    <w:p w14:paraId="1D78D0D6" w14:textId="6968EC2B" w:rsidR="00F81EC0" w:rsidRDefault="00F81EC0">
      <w:pPr>
        <w:pStyle w:val="a3"/>
        <w:divId w:val="149374962"/>
        <w:rPr>
          <w:rFonts w:ascii="Times New Roman" w:hAnsi="Times New Roman" w:cs="Times New Roman"/>
          <w:color w:val="000000"/>
          <w:sz w:val="21"/>
          <w:szCs w:val="21"/>
        </w:rPr>
      </w:pPr>
      <w:r>
        <w:rPr>
          <w:rFonts w:ascii="Times New Roman" w:hAnsi="Times New Roman" w:cs="Times New Roman"/>
          <w:b/>
          <w:bCs/>
          <w:color w:val="000000"/>
          <w:sz w:val="21"/>
          <w:szCs w:val="21"/>
        </w:rPr>
        <w:t>摘要</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电动汽车充电基础设施的快速扩张对运营监控与故障诊断提出严峻挑战</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但现有方法普遍缺乏对跨站点泛化与监管合规的系统性回应。本文基于</w:t>
      </w:r>
      <w:r>
        <w:rPr>
          <w:rFonts w:ascii="Times New Roman" w:hAnsi="Times New Roman" w:cs="Times New Roman"/>
          <w:b/>
          <w:bCs/>
          <w:color w:val="000000"/>
          <w:sz w:val="21"/>
          <w:szCs w:val="21"/>
        </w:rPr>
        <w:t xml:space="preserve">30 </w:t>
      </w:r>
      <w:r>
        <w:rPr>
          <w:rFonts w:ascii="Times New Roman" w:hAnsi="Times New Roman" w:cs="Times New Roman"/>
          <w:b/>
          <w:bCs/>
          <w:color w:val="000000"/>
          <w:sz w:val="21"/>
          <w:szCs w:val="21"/>
        </w:rPr>
        <w:t>座充电站</w:t>
      </w:r>
      <w:r>
        <w:rPr>
          <w:rFonts w:ascii="Times New Roman" w:hAnsi="Times New Roman" w:cs="Times New Roman"/>
          <w:b/>
          <w:bCs/>
          <w:color w:val="000000"/>
          <w:sz w:val="21"/>
          <w:szCs w:val="21"/>
        </w:rPr>
        <w:t xml:space="preserve"> 155.6 </w:t>
      </w:r>
      <w:r>
        <w:rPr>
          <w:rFonts w:ascii="Times New Roman" w:hAnsi="Times New Roman" w:cs="Times New Roman"/>
          <w:b/>
          <w:bCs/>
          <w:color w:val="000000"/>
          <w:sz w:val="21"/>
          <w:szCs w:val="21"/>
        </w:rPr>
        <w:t>万采样点</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全量数据集</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提出可解释异常检测框架</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多模态注意力融合检测器</w:t>
      </w:r>
      <w:r>
        <w:rPr>
          <w:rFonts w:ascii="Times New Roman" w:hAnsi="Times New Roman" w:cs="Times New Roman"/>
          <w:b/>
          <w:bCs/>
          <w:color w:val="000000"/>
          <w:sz w:val="21"/>
          <w:szCs w:val="21"/>
        </w:rPr>
        <w:t xml:space="preserve"> Token-Attn </w:t>
      </w:r>
      <w:r>
        <w:rPr>
          <w:rFonts w:ascii="Times New Roman" w:hAnsi="Times New Roman" w:cs="Times New Roman"/>
          <w:b/>
          <w:bCs/>
          <w:color w:val="000000"/>
          <w:sz w:val="21"/>
          <w:szCs w:val="21"/>
        </w:rPr>
        <w:t>将六通道原始时序与</w:t>
      </w:r>
      <w:r>
        <w:rPr>
          <w:rFonts w:ascii="Times New Roman" w:hAnsi="Times New Roman" w:cs="Times New Roman"/>
          <w:b/>
          <w:bCs/>
          <w:color w:val="000000"/>
          <w:sz w:val="21"/>
          <w:szCs w:val="21"/>
        </w:rPr>
        <w:t xml:space="preserve"> 62 </w:t>
      </w:r>
      <w:r>
        <w:rPr>
          <w:rFonts w:ascii="Times New Roman" w:hAnsi="Times New Roman" w:cs="Times New Roman"/>
          <w:b/>
          <w:bCs/>
          <w:color w:val="000000"/>
          <w:sz w:val="21"/>
          <w:szCs w:val="21"/>
        </w:rPr>
        <w:t>维手工特征在同一注意力空间融合</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并配合自注意力、置换特征重要性与特征组消融三路可解释归因。在新站点</w:t>
      </w:r>
      <w:r>
        <w:rPr>
          <w:rFonts w:ascii="Times New Roman" w:hAnsi="Times New Roman" w:cs="Times New Roman"/>
          <w:b/>
          <w:bCs/>
          <w:color w:val="000000"/>
          <w:sz w:val="21"/>
          <w:szCs w:val="21"/>
        </w:rPr>
        <w:t>(owner 7-8)</w:t>
      </w:r>
      <w:r>
        <w:rPr>
          <w:rFonts w:ascii="Times New Roman" w:hAnsi="Times New Roman" w:cs="Times New Roman"/>
          <w:b/>
          <w:bCs/>
          <w:color w:val="000000"/>
          <w:sz w:val="21"/>
          <w:szCs w:val="21"/>
        </w:rPr>
        <w:t>跨域测试中</w:t>
      </w:r>
      <w:r>
        <w:rPr>
          <w:rFonts w:ascii="Times New Roman" w:hAnsi="Times New Roman" w:cs="Times New Roman"/>
          <w:b/>
          <w:bCs/>
          <w:color w:val="000000"/>
          <w:sz w:val="21"/>
          <w:szCs w:val="21"/>
        </w:rPr>
        <w:t xml:space="preserve">,Token-Attn </w:t>
      </w:r>
      <w:r>
        <w:rPr>
          <w:rFonts w:ascii="Times New Roman" w:hAnsi="Times New Roman" w:cs="Times New Roman"/>
          <w:b/>
          <w:bCs/>
          <w:color w:val="000000"/>
          <w:sz w:val="21"/>
          <w:szCs w:val="21"/>
        </w:rPr>
        <w:t>经</w:t>
      </w:r>
      <w:r>
        <w:rPr>
          <w:rFonts w:ascii="Times New Roman" w:hAnsi="Times New Roman" w:cs="Times New Roman"/>
          <w:b/>
          <w:bCs/>
          <w:color w:val="000000"/>
          <w:sz w:val="21"/>
          <w:szCs w:val="21"/>
        </w:rPr>
        <w:t xml:space="preserve"> 7-seed </w:t>
      </w:r>
      <w:r>
        <w:rPr>
          <w:rFonts w:ascii="Times New Roman" w:hAnsi="Times New Roman" w:cs="Times New Roman"/>
          <w:b/>
          <w:bCs/>
          <w:color w:val="000000"/>
          <w:sz w:val="21"/>
          <w:szCs w:val="21"/>
        </w:rPr>
        <w:t>概率集成达到</w:t>
      </w:r>
      <w:r>
        <w:rPr>
          <w:rFonts w:ascii="Times New Roman" w:hAnsi="Times New Roman" w:cs="Times New Roman"/>
          <w:b/>
          <w:bCs/>
          <w:color w:val="000000"/>
          <w:sz w:val="21"/>
          <w:szCs w:val="21"/>
        </w:rPr>
        <w:t xml:space="preserve"> PR-AUC=0.918</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AUC=0.990,</w:t>
      </w:r>
      <w:r>
        <w:rPr>
          <w:rFonts w:ascii="Times New Roman" w:hAnsi="Times New Roman" w:cs="Times New Roman"/>
          <w:b/>
          <w:bCs/>
          <w:color w:val="000000"/>
          <w:sz w:val="21"/>
          <w:szCs w:val="21"/>
        </w:rPr>
        <w:t>显著超越</w:t>
      </w:r>
      <w:r>
        <w:rPr>
          <w:rFonts w:ascii="Times New Roman" w:hAnsi="Times New Roman" w:cs="Times New Roman"/>
          <w:b/>
          <w:bCs/>
          <w:color w:val="000000"/>
          <w:sz w:val="21"/>
          <w:szCs w:val="21"/>
        </w:rPr>
        <w:t xml:space="preserve"> LightGBM(0.868,bootstrap p=0.026)</w:t>
      </w:r>
      <w:r>
        <w:rPr>
          <w:rFonts w:ascii="Times New Roman" w:hAnsi="Times New Roman" w:cs="Times New Roman"/>
          <w:b/>
          <w:bCs/>
          <w:color w:val="000000"/>
          <w:sz w:val="21"/>
          <w:szCs w:val="21"/>
        </w:rPr>
        <w:t>、高于</w:t>
      </w:r>
      <w:r>
        <w:rPr>
          <w:rFonts w:ascii="Times New Roman" w:hAnsi="Times New Roman" w:cs="Times New Roman"/>
          <w:b/>
          <w:bCs/>
          <w:color w:val="000000"/>
          <w:sz w:val="21"/>
          <w:szCs w:val="21"/>
        </w:rPr>
        <w:t xml:space="preserve"> XGBoost(0.887,p=0.143)</w:t>
      </w:r>
      <w:r>
        <w:rPr>
          <w:rFonts w:ascii="Times New Roman" w:hAnsi="Times New Roman" w:cs="Times New Roman"/>
          <w:b/>
          <w:bCs/>
          <w:color w:val="000000"/>
          <w:sz w:val="21"/>
          <w:szCs w:val="21"/>
        </w:rPr>
        <w:t>。</w:t>
      </w:r>
      <w:r w:rsidR="00810844">
        <w:rPr>
          <w:rFonts w:ascii="Times New Roman" w:hAnsi="Times New Roman" w:cs="Times New Roman"/>
          <w:b/>
          <w:bCs/>
          <w:color w:val="000000"/>
          <w:sz w:val="21"/>
          <w:szCs w:val="21"/>
        </w:rPr>
        <w:t>归因与故障分型表明故障本质为</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高功率未衰减的异常终止</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电气中断型</w:t>
      </w:r>
      <w:r>
        <w:rPr>
          <w:rFonts w:ascii="Times New Roman" w:hAnsi="Times New Roman" w:cs="Times New Roman"/>
          <w:b/>
          <w:bCs/>
          <w:color w:val="000000"/>
          <w:sz w:val="21"/>
          <w:szCs w:val="21"/>
        </w:rPr>
        <w:t xml:space="preserve"> 95.3%</w:t>
      </w:r>
      <w:r>
        <w:rPr>
          <w:rFonts w:ascii="Times New Roman" w:hAnsi="Times New Roman" w:cs="Times New Roman"/>
          <w:b/>
          <w:bCs/>
          <w:color w:val="000000"/>
          <w:sz w:val="21"/>
          <w:szCs w:val="21"/>
        </w:rPr>
        <w:t>、超温型</w:t>
      </w:r>
      <w:r>
        <w:rPr>
          <w:rFonts w:ascii="Times New Roman" w:hAnsi="Times New Roman" w:cs="Times New Roman"/>
          <w:b/>
          <w:bCs/>
          <w:color w:val="000000"/>
          <w:sz w:val="21"/>
          <w:szCs w:val="21"/>
        </w:rPr>
        <w:t xml:space="preserve"> 4.7%),</w:t>
      </w:r>
      <w:r>
        <w:rPr>
          <w:rFonts w:ascii="Times New Roman" w:hAnsi="Times New Roman" w:cs="Times New Roman"/>
          <w:b/>
          <w:bCs/>
          <w:color w:val="000000"/>
          <w:sz w:val="21"/>
          <w:szCs w:val="21"/>
        </w:rPr>
        <w:t>温度升高是充电时长的伴随结果而非原因。本文进一步提出面向</w:t>
      </w:r>
      <w:r>
        <w:rPr>
          <w:rFonts w:ascii="Times New Roman" w:hAnsi="Times New Roman" w:cs="Times New Roman"/>
          <w:b/>
          <w:bCs/>
          <w:color w:val="000000"/>
          <w:sz w:val="21"/>
          <w:szCs w:val="21"/>
        </w:rPr>
        <w:t xml:space="preserve"> EU AI Act </w:t>
      </w:r>
      <w:r>
        <w:rPr>
          <w:rFonts w:ascii="Times New Roman" w:hAnsi="Times New Roman" w:cs="Times New Roman"/>
          <w:b/>
          <w:bCs/>
          <w:color w:val="000000"/>
          <w:sz w:val="21"/>
          <w:szCs w:val="21"/>
        </w:rPr>
        <w:t>的合规方案。</w:t>
      </w:r>
    </w:p>
    <w:p w14:paraId="3EF06148" w14:textId="77777777" w:rsidR="00F81EC0" w:rsidRDefault="00F81EC0">
      <w:pPr>
        <w:divId w:val="834295615"/>
        <w:rPr>
          <w:rFonts w:ascii="Times New Roman" w:hAnsi="Times New Roman" w:cs="Times New Roman"/>
          <w:color w:val="000000"/>
          <w:sz w:val="21"/>
          <w:szCs w:val="21"/>
        </w:rPr>
      </w:pPr>
      <w:r>
        <w:rPr>
          <w:rFonts w:ascii="Times New Roman" w:hAnsi="Times New Roman" w:cs="Times New Roman"/>
          <w:b/>
          <w:bCs/>
          <w:color w:val="000000"/>
          <w:sz w:val="21"/>
          <w:szCs w:val="21"/>
        </w:rPr>
        <w:t>关键词</w:t>
      </w:r>
      <w:r>
        <w:rPr>
          <w:rFonts w:ascii="Times New Roman" w:hAnsi="Times New Roman" w:cs="Times New Roman"/>
          <w:b/>
          <w:bCs/>
          <w:color w:val="000000"/>
          <w:sz w:val="21"/>
          <w:szCs w:val="21"/>
        </w:rPr>
        <w:t>:</w:t>
      </w:r>
      <w:r>
        <w:rPr>
          <w:rFonts w:ascii="Times New Roman" w:hAnsi="Times New Roman" w:cs="Times New Roman"/>
          <w:color w:val="000000"/>
          <w:sz w:val="21"/>
          <w:szCs w:val="21"/>
        </w:rPr>
        <w:t>可解释人工智能</w:t>
      </w:r>
      <w:r>
        <w:rPr>
          <w:rFonts w:ascii="Times New Roman" w:hAnsi="Times New Roman" w:cs="Times New Roman"/>
          <w:color w:val="000000"/>
          <w:sz w:val="21"/>
          <w:szCs w:val="21"/>
        </w:rPr>
        <w:t>;</w:t>
      </w:r>
      <w:r>
        <w:rPr>
          <w:rFonts w:ascii="Times New Roman" w:hAnsi="Times New Roman" w:cs="Times New Roman"/>
          <w:color w:val="000000"/>
          <w:sz w:val="21"/>
          <w:szCs w:val="21"/>
        </w:rPr>
        <w:t>异常检测</w:t>
      </w:r>
      <w:r>
        <w:rPr>
          <w:rFonts w:ascii="Times New Roman" w:hAnsi="Times New Roman" w:cs="Times New Roman"/>
          <w:color w:val="000000"/>
          <w:sz w:val="21"/>
          <w:szCs w:val="21"/>
        </w:rPr>
        <w:t>;</w:t>
      </w:r>
      <w:r>
        <w:rPr>
          <w:rFonts w:ascii="Times New Roman" w:hAnsi="Times New Roman" w:cs="Times New Roman"/>
          <w:color w:val="000000"/>
          <w:sz w:val="21"/>
          <w:szCs w:val="21"/>
        </w:rPr>
        <w:t>电动汽车充电站</w:t>
      </w:r>
      <w:r>
        <w:rPr>
          <w:rFonts w:ascii="Times New Roman" w:hAnsi="Times New Roman" w:cs="Times New Roman"/>
          <w:color w:val="000000"/>
          <w:sz w:val="21"/>
          <w:szCs w:val="21"/>
        </w:rPr>
        <w:t>;</w:t>
      </w:r>
      <w:r>
        <w:rPr>
          <w:rFonts w:ascii="Times New Roman" w:hAnsi="Times New Roman" w:cs="Times New Roman"/>
          <w:color w:val="000000"/>
          <w:sz w:val="21"/>
          <w:szCs w:val="21"/>
        </w:rPr>
        <w:t>注意力融合</w:t>
      </w:r>
      <w:r>
        <w:rPr>
          <w:rFonts w:ascii="Times New Roman" w:hAnsi="Times New Roman" w:cs="Times New Roman"/>
          <w:color w:val="000000"/>
          <w:sz w:val="21"/>
          <w:szCs w:val="21"/>
        </w:rPr>
        <w:t>;</w:t>
      </w:r>
      <w:r>
        <w:rPr>
          <w:rFonts w:ascii="Times New Roman" w:hAnsi="Times New Roman" w:cs="Times New Roman"/>
          <w:color w:val="000000"/>
          <w:sz w:val="21"/>
          <w:szCs w:val="21"/>
        </w:rPr>
        <w:t>成因机制分析</w:t>
      </w:r>
      <w:r>
        <w:rPr>
          <w:rFonts w:ascii="Times New Roman" w:hAnsi="Times New Roman" w:cs="Times New Roman"/>
          <w:color w:val="000000"/>
          <w:sz w:val="21"/>
          <w:szCs w:val="21"/>
        </w:rPr>
        <w:t>;EU AI Act</w:t>
      </w:r>
    </w:p>
    <w:p w14:paraId="26D0E232" w14:textId="77777777" w:rsidR="00F81EC0" w:rsidRDefault="00F81EC0">
      <w:pPr>
        <w:pStyle w:val="2"/>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引言</w:t>
      </w:r>
    </w:p>
    <w:p w14:paraId="3682663E"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color w:val="000000"/>
          <w:sz w:val="21"/>
          <w:szCs w:val="21"/>
        </w:rPr>
        <w:t>充电站异常检测中</w:t>
      </w:r>
      <w:r>
        <w:rPr>
          <w:rFonts w:ascii="Times New Roman" w:hAnsi="Times New Roman" w:cs="Times New Roman"/>
          <w:color w:val="000000"/>
          <w:sz w:val="21"/>
          <w:szCs w:val="21"/>
        </w:rPr>
        <w:t>,</w:t>
      </w:r>
      <w:r>
        <w:rPr>
          <w:rFonts w:ascii="Times New Roman" w:hAnsi="Times New Roman" w:cs="Times New Roman"/>
          <w:color w:val="000000"/>
          <w:sz w:val="21"/>
          <w:szCs w:val="21"/>
        </w:rPr>
        <w:t>深度学习已取得先进性能</w:t>
      </w:r>
      <w:r>
        <w:rPr>
          <w:rFonts w:ascii="Times New Roman" w:hAnsi="Times New Roman" w:cs="Times New Roman"/>
          <w:color w:val="000000"/>
          <w:sz w:val="21"/>
          <w:szCs w:val="21"/>
        </w:rPr>
        <w:t>,</w:t>
      </w:r>
      <w:r>
        <w:rPr>
          <w:rFonts w:ascii="Times New Roman" w:hAnsi="Times New Roman" w:cs="Times New Roman"/>
          <w:color w:val="000000"/>
          <w:sz w:val="21"/>
          <w:szCs w:val="21"/>
        </w:rPr>
        <w:t>但存在两个缺口</w:t>
      </w:r>
      <w:r>
        <w:rPr>
          <w:rFonts w:ascii="Times New Roman" w:hAnsi="Times New Roman" w:cs="Times New Roman"/>
          <w:color w:val="000000"/>
          <w:sz w:val="21"/>
          <w:szCs w:val="21"/>
        </w:rPr>
        <w:t>:</w:t>
      </w:r>
      <w:r>
        <w:rPr>
          <w:rFonts w:ascii="Times New Roman" w:hAnsi="Times New Roman" w:cs="Times New Roman"/>
          <w:b/>
          <w:bCs/>
          <w:color w:val="000000"/>
          <w:sz w:val="21"/>
          <w:szCs w:val="21"/>
        </w:rPr>
        <w:t>(1)</w:t>
      </w:r>
      <w:r>
        <w:rPr>
          <w:rFonts w:ascii="Times New Roman" w:hAnsi="Times New Roman" w:cs="Times New Roman"/>
          <w:b/>
          <w:bCs/>
          <w:color w:val="000000"/>
          <w:sz w:val="21"/>
          <w:szCs w:val="21"/>
        </w:rPr>
        <w:t>跨站点泛化</w:t>
      </w:r>
      <w:r>
        <w:rPr>
          <w:rFonts w:ascii="Times New Roman" w:hAnsi="Times New Roman" w:cs="Times New Roman"/>
          <w:color w:val="000000"/>
          <w:sz w:val="21"/>
          <w:szCs w:val="21"/>
        </w:rPr>
        <w:t>——</w:t>
      </w:r>
      <w:r>
        <w:rPr>
          <w:rFonts w:ascii="Times New Roman" w:hAnsi="Times New Roman" w:cs="Times New Roman"/>
          <w:color w:val="000000"/>
          <w:sz w:val="21"/>
          <w:szCs w:val="21"/>
        </w:rPr>
        <w:t>现有方法多在分布一致的数据上评估</w:t>
      </w:r>
      <w:r>
        <w:rPr>
          <w:rFonts w:ascii="Times New Roman" w:hAnsi="Times New Roman" w:cs="Times New Roman"/>
          <w:color w:val="000000"/>
          <w:sz w:val="21"/>
          <w:szCs w:val="21"/>
        </w:rPr>
        <w:t>,</w:t>
      </w:r>
      <w:r>
        <w:rPr>
          <w:rFonts w:ascii="Times New Roman" w:hAnsi="Times New Roman" w:cs="Times New Roman"/>
          <w:color w:val="000000"/>
          <w:sz w:val="21"/>
          <w:szCs w:val="21"/>
        </w:rPr>
        <w:t>单全局模型在新站点性能显著衰退</w:t>
      </w:r>
      <w:r>
        <w:rPr>
          <w:rFonts w:ascii="Times New Roman" w:hAnsi="Times New Roman" w:cs="Times New Roman"/>
          <w:color w:val="000000"/>
          <w:sz w:val="21"/>
          <w:szCs w:val="21"/>
        </w:rPr>
        <w:t xml:space="preserve"> [1];</w:t>
      </w:r>
      <w:r>
        <w:rPr>
          <w:rFonts w:ascii="Times New Roman" w:hAnsi="Times New Roman" w:cs="Times New Roman"/>
          <w:b/>
          <w:bCs/>
          <w:color w:val="000000"/>
          <w:sz w:val="21"/>
          <w:szCs w:val="21"/>
        </w:rPr>
        <w:t>(2)</w:t>
      </w:r>
      <w:r>
        <w:rPr>
          <w:rFonts w:ascii="Times New Roman" w:hAnsi="Times New Roman" w:cs="Times New Roman"/>
          <w:b/>
          <w:bCs/>
          <w:color w:val="000000"/>
          <w:sz w:val="21"/>
          <w:szCs w:val="21"/>
        </w:rPr>
        <w:t>监管合规</w:t>
      </w:r>
      <w:r>
        <w:rPr>
          <w:rFonts w:ascii="Times New Roman" w:hAnsi="Times New Roman" w:cs="Times New Roman"/>
          <w:color w:val="000000"/>
          <w:sz w:val="21"/>
          <w:szCs w:val="21"/>
        </w:rPr>
        <w:t xml:space="preserve">——EU AI Act [2] </w:t>
      </w:r>
      <w:r>
        <w:rPr>
          <w:rFonts w:ascii="Times New Roman" w:hAnsi="Times New Roman" w:cs="Times New Roman"/>
          <w:color w:val="000000"/>
          <w:sz w:val="21"/>
          <w:szCs w:val="21"/>
        </w:rPr>
        <w:t>将关键基础设施</w:t>
      </w:r>
      <w:r>
        <w:rPr>
          <w:rFonts w:ascii="Times New Roman" w:hAnsi="Times New Roman" w:cs="Times New Roman"/>
          <w:color w:val="000000"/>
          <w:sz w:val="21"/>
          <w:szCs w:val="21"/>
        </w:rPr>
        <w:t xml:space="preserve"> AI </w:t>
      </w:r>
      <w:r>
        <w:rPr>
          <w:rFonts w:ascii="Times New Roman" w:hAnsi="Times New Roman" w:cs="Times New Roman"/>
          <w:color w:val="000000"/>
          <w:sz w:val="21"/>
          <w:szCs w:val="21"/>
        </w:rPr>
        <w:t>系统列为高风险</w:t>
      </w:r>
      <w:r>
        <w:rPr>
          <w:rFonts w:ascii="Times New Roman" w:hAnsi="Times New Roman" w:cs="Times New Roman"/>
          <w:color w:val="000000"/>
          <w:sz w:val="21"/>
          <w:szCs w:val="21"/>
        </w:rPr>
        <w:t>,</w:t>
      </w:r>
      <w:r>
        <w:rPr>
          <w:rFonts w:ascii="Times New Roman" w:hAnsi="Times New Roman" w:cs="Times New Roman"/>
          <w:color w:val="000000"/>
          <w:sz w:val="21"/>
          <w:szCs w:val="21"/>
        </w:rPr>
        <w:t>要求透明性与可解释性</w:t>
      </w:r>
      <w:r>
        <w:rPr>
          <w:rFonts w:ascii="Times New Roman" w:hAnsi="Times New Roman" w:cs="Times New Roman"/>
          <w:color w:val="000000"/>
          <w:sz w:val="21"/>
          <w:szCs w:val="21"/>
        </w:rPr>
        <w:t>,</w:t>
      </w:r>
      <w:r>
        <w:rPr>
          <w:rFonts w:ascii="Times New Roman" w:hAnsi="Times New Roman" w:cs="Times New Roman"/>
          <w:color w:val="000000"/>
          <w:sz w:val="21"/>
          <w:szCs w:val="21"/>
        </w:rPr>
        <w:t>而现有方法仅输出异常分数</w:t>
      </w:r>
      <w:r>
        <w:rPr>
          <w:rFonts w:ascii="Times New Roman" w:hAnsi="Times New Roman" w:cs="Times New Roman"/>
          <w:color w:val="000000"/>
          <w:sz w:val="21"/>
          <w:szCs w:val="21"/>
        </w:rPr>
        <w:t>,</w:t>
      </w:r>
      <w:r>
        <w:rPr>
          <w:rFonts w:ascii="Times New Roman" w:hAnsi="Times New Roman" w:cs="Times New Roman"/>
          <w:color w:val="000000"/>
          <w:sz w:val="21"/>
          <w:szCs w:val="21"/>
        </w:rPr>
        <w:t>无法告知</w:t>
      </w:r>
      <w:r>
        <w:rPr>
          <w:rFonts w:ascii="Times New Roman" w:hAnsi="Times New Roman" w:cs="Times New Roman"/>
          <w:color w:val="000000"/>
          <w:sz w:val="21"/>
          <w:szCs w:val="21"/>
        </w:rPr>
        <w:t>"</w:t>
      </w:r>
      <w:r>
        <w:rPr>
          <w:rFonts w:ascii="Times New Roman" w:hAnsi="Times New Roman" w:cs="Times New Roman"/>
          <w:color w:val="000000"/>
          <w:sz w:val="21"/>
          <w:szCs w:val="21"/>
        </w:rPr>
        <w:t>哪个传感器驱动了告警</w:t>
      </w:r>
      <w:r>
        <w:rPr>
          <w:rFonts w:ascii="Times New Roman" w:hAnsi="Times New Roman" w:cs="Times New Roman"/>
          <w:color w:val="000000"/>
          <w:sz w:val="21"/>
          <w:szCs w:val="21"/>
        </w:rPr>
        <w:t>"</w:t>
      </w:r>
      <w:r>
        <w:rPr>
          <w:rFonts w:ascii="Times New Roman" w:hAnsi="Times New Roman" w:cs="Times New Roman"/>
          <w:color w:val="000000"/>
          <w:sz w:val="21"/>
          <w:szCs w:val="21"/>
        </w:rPr>
        <w:t>。本文提出多模态注意力融合检测器</w:t>
      </w:r>
      <w:r>
        <w:rPr>
          <w:rFonts w:ascii="Times New Roman" w:hAnsi="Times New Roman" w:cs="Times New Roman"/>
          <w:color w:val="000000"/>
          <w:sz w:val="21"/>
          <w:szCs w:val="21"/>
        </w:rPr>
        <w:t xml:space="preserve"> Token-Attn,</w:t>
      </w:r>
      <w:r>
        <w:rPr>
          <w:rFonts w:ascii="Times New Roman" w:hAnsi="Times New Roman" w:cs="Times New Roman"/>
          <w:color w:val="000000"/>
          <w:sz w:val="21"/>
          <w:szCs w:val="21"/>
        </w:rPr>
        <w:t>在跨站点设定</w:t>
      </w:r>
      <w:r>
        <w:rPr>
          <w:rFonts w:ascii="Times New Roman" w:hAnsi="Times New Roman" w:cs="Times New Roman"/>
          <w:color w:val="000000"/>
          <w:sz w:val="21"/>
          <w:szCs w:val="21"/>
        </w:rPr>
        <w:t xml:space="preserve">(owner 1-6 </w:t>
      </w:r>
      <w:r>
        <w:rPr>
          <w:rFonts w:ascii="Times New Roman" w:hAnsi="Times New Roman" w:cs="Times New Roman"/>
          <w:color w:val="000000"/>
          <w:sz w:val="21"/>
          <w:szCs w:val="21"/>
        </w:rPr>
        <w:t>训练</w:t>
      </w:r>
      <w:r>
        <w:rPr>
          <w:rFonts w:ascii="Times New Roman" w:hAnsi="Times New Roman" w:cs="Times New Roman"/>
          <w:color w:val="000000"/>
          <w:sz w:val="21"/>
          <w:szCs w:val="21"/>
        </w:rPr>
        <w:t xml:space="preserve"> → owner 7-8 </w:t>
      </w:r>
      <w:r>
        <w:rPr>
          <w:rFonts w:ascii="Times New Roman" w:hAnsi="Times New Roman" w:cs="Times New Roman"/>
          <w:color w:val="000000"/>
          <w:sz w:val="21"/>
          <w:szCs w:val="21"/>
        </w:rPr>
        <w:t>测试</w:t>
      </w:r>
      <w:r>
        <w:rPr>
          <w:rFonts w:ascii="Times New Roman" w:hAnsi="Times New Roman" w:cs="Times New Roman"/>
          <w:color w:val="000000"/>
          <w:sz w:val="21"/>
          <w:szCs w:val="21"/>
        </w:rPr>
        <w:t>)</w:t>
      </w:r>
      <w:r>
        <w:rPr>
          <w:rFonts w:ascii="Times New Roman" w:hAnsi="Times New Roman" w:cs="Times New Roman"/>
          <w:color w:val="000000"/>
          <w:sz w:val="21"/>
          <w:szCs w:val="21"/>
        </w:rPr>
        <w:t>下验证泛化性能</w:t>
      </w:r>
      <w:r>
        <w:rPr>
          <w:rFonts w:ascii="Times New Roman" w:hAnsi="Times New Roman" w:cs="Times New Roman"/>
          <w:color w:val="000000"/>
          <w:sz w:val="21"/>
          <w:szCs w:val="21"/>
        </w:rPr>
        <w:t>,</w:t>
      </w:r>
      <w:r>
        <w:rPr>
          <w:rFonts w:ascii="Times New Roman" w:hAnsi="Times New Roman" w:cs="Times New Roman"/>
          <w:color w:val="000000"/>
          <w:sz w:val="21"/>
          <w:szCs w:val="21"/>
        </w:rPr>
        <w:t>并引入多视角可解释归因与成因机制分析</w:t>
      </w:r>
      <w:r>
        <w:rPr>
          <w:rFonts w:ascii="Times New Roman" w:hAnsi="Times New Roman" w:cs="Times New Roman"/>
          <w:color w:val="000000"/>
          <w:sz w:val="21"/>
          <w:szCs w:val="21"/>
        </w:rPr>
        <w:t>,</w:t>
      </w:r>
      <w:r>
        <w:rPr>
          <w:rFonts w:ascii="Times New Roman" w:hAnsi="Times New Roman" w:cs="Times New Roman"/>
          <w:color w:val="000000"/>
          <w:sz w:val="21"/>
          <w:szCs w:val="21"/>
        </w:rPr>
        <w:t>面向</w:t>
      </w:r>
      <w:r>
        <w:rPr>
          <w:rFonts w:ascii="Times New Roman" w:hAnsi="Times New Roman" w:cs="Times New Roman"/>
          <w:color w:val="000000"/>
          <w:sz w:val="21"/>
          <w:szCs w:val="21"/>
        </w:rPr>
        <w:t xml:space="preserve"> EU AI Act </w:t>
      </w:r>
      <w:r>
        <w:rPr>
          <w:rFonts w:ascii="Times New Roman" w:hAnsi="Times New Roman" w:cs="Times New Roman"/>
          <w:color w:val="000000"/>
          <w:sz w:val="21"/>
          <w:szCs w:val="21"/>
        </w:rPr>
        <w:t>提供合规方案。</w:t>
      </w:r>
    </w:p>
    <w:p w14:paraId="43991657" w14:textId="77777777" w:rsidR="00F81EC0" w:rsidRDefault="00F81EC0">
      <w:pPr>
        <w:pStyle w:val="2"/>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方法</w:t>
      </w:r>
    </w:p>
    <w:p w14:paraId="62FADBD3"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b/>
          <w:bCs/>
          <w:color w:val="000000"/>
          <w:sz w:val="21"/>
          <w:szCs w:val="21"/>
        </w:rPr>
        <w:t>数据集</w:t>
      </w:r>
      <w:r>
        <w:rPr>
          <w:rFonts w:ascii="Times New Roman" w:hAnsi="Times New Roman" w:cs="Times New Roman"/>
          <w:b/>
          <w:bCs/>
          <w:color w:val="000000"/>
          <w:sz w:val="21"/>
          <w:szCs w:val="21"/>
        </w:rPr>
        <w:t>:</w:t>
      </w:r>
      <w:r w:rsidR="00084FCE">
        <w:rPr>
          <w:rFonts w:ascii="Times New Roman" w:hAnsi="Times New Roman" w:cs="Times New Roman"/>
          <w:color w:val="000000"/>
          <w:sz w:val="21"/>
          <w:szCs w:val="21"/>
        </w:rPr>
        <w:t xml:space="preserve">30 </w:t>
      </w:r>
      <w:r w:rsidR="00084FCE">
        <w:rPr>
          <w:rFonts w:ascii="Times New Roman" w:hAnsi="Times New Roman" w:cs="Times New Roman"/>
          <w:color w:val="000000"/>
          <w:sz w:val="21"/>
          <w:szCs w:val="21"/>
        </w:rPr>
        <w:t>座充电站</w:t>
      </w:r>
      <w:r>
        <w:rPr>
          <w:rFonts w:ascii="Times New Roman" w:hAnsi="Times New Roman" w:cs="Times New Roman"/>
          <w:color w:val="000000"/>
          <w:sz w:val="21"/>
          <w:szCs w:val="21"/>
        </w:rPr>
        <w:t>、</w:t>
      </w:r>
      <w:r w:rsidR="00084FCE">
        <w:rPr>
          <w:rFonts w:ascii="Times New Roman" w:hAnsi="Times New Roman" w:cs="Times New Roman"/>
          <w:color w:val="000000"/>
          <w:sz w:val="21"/>
          <w:szCs w:val="21"/>
        </w:rPr>
        <w:t xml:space="preserve">155.6 </w:t>
      </w:r>
      <w:r w:rsidR="00084FCE">
        <w:rPr>
          <w:rFonts w:ascii="Times New Roman" w:hAnsi="Times New Roman" w:cs="Times New Roman"/>
          <w:color w:val="000000"/>
          <w:sz w:val="21"/>
          <w:szCs w:val="21"/>
        </w:rPr>
        <w:t>万采样点</w:t>
      </w:r>
      <w:r w:rsidR="00084FCE">
        <w:rPr>
          <w:rFonts w:ascii="Times New Roman" w:hAnsi="Times New Roman" w:cs="Times New Roman"/>
          <w:color w:val="000000"/>
          <w:sz w:val="21"/>
          <w:szCs w:val="21"/>
        </w:rPr>
        <w:t>(</w:t>
      </w:r>
      <w:r w:rsidR="00084FCE">
        <w:rPr>
          <w:rFonts w:ascii="Times New Roman" w:hAnsi="Times New Roman" w:cs="Times New Roman"/>
          <w:color w:val="000000"/>
          <w:sz w:val="21"/>
          <w:szCs w:val="21"/>
        </w:rPr>
        <w:t>全量数据集</w:t>
      </w:r>
      <w:r w:rsidR="00084FCE">
        <w:rPr>
          <w:rFonts w:ascii="Times New Roman" w:hAnsi="Times New Roman" w:cs="Times New Roman"/>
          <w:color w:val="000000"/>
          <w:sz w:val="21"/>
          <w:szCs w:val="21"/>
        </w:rPr>
        <w:t>)</w:t>
      </w:r>
      <w:r w:rsidR="00084FCE">
        <w:rPr>
          <w:rFonts w:ascii="Times New Roman" w:hAnsi="Times New Roman" w:cs="Times New Roman"/>
          <w:color w:val="000000"/>
          <w:sz w:val="21"/>
          <w:szCs w:val="21"/>
        </w:rPr>
        <w:t>、</w:t>
      </w:r>
      <w:r w:rsidR="00084FCE">
        <w:rPr>
          <w:rFonts w:ascii="Times New Roman" w:hAnsi="Times New Roman" w:cs="Times New Roman"/>
          <w:color w:val="000000"/>
          <w:sz w:val="21"/>
          <w:szCs w:val="21"/>
        </w:rPr>
        <w:t xml:space="preserve">8 </w:t>
      </w:r>
      <w:r w:rsidR="00084FCE">
        <w:rPr>
          <w:rFonts w:ascii="Times New Roman" w:hAnsi="Times New Roman" w:cs="Times New Roman"/>
          <w:color w:val="000000"/>
          <w:sz w:val="21"/>
          <w:szCs w:val="21"/>
        </w:rPr>
        <w:t>个数据所有者</w:t>
      </w:r>
      <w:r>
        <w:rPr>
          <w:rFonts w:ascii="Times New Roman" w:hAnsi="Times New Roman" w:cs="Times New Roman"/>
          <w:color w:val="000000"/>
          <w:sz w:val="21"/>
          <w:szCs w:val="21"/>
        </w:rPr>
        <w:t xml:space="preserve"> [1]</w:t>
      </w:r>
      <w:r>
        <w:rPr>
          <w:rFonts w:ascii="Times New Roman" w:hAnsi="Times New Roman" w:cs="Times New Roman"/>
          <w:color w:val="000000"/>
          <w:sz w:val="21"/>
          <w:szCs w:val="21"/>
        </w:rPr>
        <w:t>。以充电序列</w:t>
      </w:r>
      <w:r>
        <w:rPr>
          <w:rFonts w:ascii="Times New Roman" w:hAnsi="Times New Roman" w:cs="Times New Roman"/>
          <w:color w:val="000000"/>
          <w:sz w:val="21"/>
          <w:szCs w:val="21"/>
        </w:rPr>
        <w:t xml:space="preserve">(≥30 </w:t>
      </w:r>
      <w:r>
        <w:rPr>
          <w:rFonts w:ascii="Times New Roman" w:hAnsi="Times New Roman" w:cs="Times New Roman"/>
          <w:color w:val="000000"/>
          <w:sz w:val="21"/>
          <w:szCs w:val="21"/>
        </w:rPr>
        <w:t>采样点</w:t>
      </w:r>
      <w:r>
        <w:rPr>
          <w:rFonts w:ascii="Times New Roman" w:hAnsi="Times New Roman" w:cs="Times New Roman"/>
          <w:color w:val="000000"/>
          <w:sz w:val="21"/>
          <w:szCs w:val="21"/>
        </w:rPr>
        <w:t>)</w:t>
      </w:r>
      <w:r>
        <w:rPr>
          <w:rFonts w:ascii="Times New Roman" w:hAnsi="Times New Roman" w:cs="Times New Roman"/>
          <w:color w:val="000000"/>
          <w:sz w:val="21"/>
          <w:szCs w:val="21"/>
        </w:rPr>
        <w:t>为单元</w:t>
      </w:r>
      <w:r>
        <w:rPr>
          <w:rFonts w:ascii="Times New Roman" w:hAnsi="Times New Roman" w:cs="Times New Roman"/>
          <w:color w:val="000000"/>
          <w:sz w:val="21"/>
          <w:szCs w:val="21"/>
        </w:rPr>
        <w:t>,</w:t>
      </w:r>
      <w:r>
        <w:rPr>
          <w:rFonts w:ascii="Times New Roman" w:hAnsi="Times New Roman" w:cs="Times New Roman"/>
          <w:color w:val="000000"/>
          <w:sz w:val="21"/>
          <w:szCs w:val="21"/>
        </w:rPr>
        <w:t>筛选</w:t>
      </w:r>
      <w:r>
        <w:rPr>
          <w:rFonts w:ascii="Times New Roman" w:hAnsi="Times New Roman" w:cs="Times New Roman"/>
          <w:color w:val="000000"/>
          <w:sz w:val="21"/>
          <w:szCs w:val="21"/>
        </w:rPr>
        <w:t xml:space="preserve"> 19,658 </w:t>
      </w:r>
      <w:r>
        <w:rPr>
          <w:rFonts w:ascii="Times New Roman" w:hAnsi="Times New Roman" w:cs="Times New Roman"/>
          <w:color w:val="000000"/>
          <w:sz w:val="21"/>
          <w:szCs w:val="21"/>
        </w:rPr>
        <w:t>条序列</w:t>
      </w:r>
      <w:r>
        <w:rPr>
          <w:rFonts w:ascii="Times New Roman" w:hAnsi="Times New Roman" w:cs="Times New Roman"/>
          <w:color w:val="000000"/>
          <w:sz w:val="21"/>
          <w:szCs w:val="21"/>
        </w:rPr>
        <w:t>;</w:t>
      </w:r>
      <w:r>
        <w:rPr>
          <w:rFonts w:ascii="Times New Roman" w:hAnsi="Times New Roman" w:cs="Times New Roman"/>
          <w:color w:val="000000"/>
          <w:sz w:val="21"/>
          <w:szCs w:val="21"/>
        </w:rPr>
        <w:t>训练</w:t>
      </w:r>
      <w:r>
        <w:rPr>
          <w:rFonts w:ascii="Times New Roman" w:hAnsi="Times New Roman" w:cs="Times New Roman"/>
          <w:color w:val="000000"/>
          <w:sz w:val="21"/>
          <w:szCs w:val="21"/>
        </w:rPr>
        <w:t xml:space="preserve"> owner 1-6(13,505 </w:t>
      </w:r>
      <w:r>
        <w:rPr>
          <w:rFonts w:ascii="Times New Roman" w:hAnsi="Times New Roman" w:cs="Times New Roman"/>
          <w:color w:val="000000"/>
          <w:sz w:val="21"/>
          <w:szCs w:val="21"/>
        </w:rPr>
        <w:t>条</w:t>
      </w:r>
      <w:r>
        <w:rPr>
          <w:rFonts w:ascii="Times New Roman" w:hAnsi="Times New Roman" w:cs="Times New Roman"/>
          <w:color w:val="000000"/>
          <w:sz w:val="21"/>
          <w:szCs w:val="21"/>
        </w:rPr>
        <w:t xml:space="preserve">/642 </w:t>
      </w:r>
      <w:r>
        <w:rPr>
          <w:rFonts w:ascii="Times New Roman" w:hAnsi="Times New Roman" w:cs="Times New Roman"/>
          <w:color w:val="000000"/>
          <w:sz w:val="21"/>
          <w:szCs w:val="21"/>
        </w:rPr>
        <w:t>故障</w:t>
      </w:r>
      <w:r>
        <w:rPr>
          <w:rFonts w:ascii="Times New Roman" w:hAnsi="Times New Roman" w:cs="Times New Roman"/>
          <w:color w:val="000000"/>
          <w:sz w:val="21"/>
          <w:szCs w:val="21"/>
        </w:rPr>
        <w:t>),</w:t>
      </w:r>
      <w:r>
        <w:rPr>
          <w:rFonts w:ascii="Times New Roman" w:hAnsi="Times New Roman" w:cs="Times New Roman"/>
          <w:color w:val="000000"/>
          <w:sz w:val="21"/>
          <w:szCs w:val="21"/>
        </w:rPr>
        <w:t>测试</w:t>
      </w:r>
      <w:r>
        <w:rPr>
          <w:rFonts w:ascii="Times New Roman" w:hAnsi="Times New Roman" w:cs="Times New Roman"/>
          <w:color w:val="000000"/>
          <w:sz w:val="21"/>
          <w:szCs w:val="21"/>
        </w:rPr>
        <w:t xml:space="preserve"> owner 7-8 </w:t>
      </w:r>
      <w:r>
        <w:rPr>
          <w:rFonts w:ascii="Times New Roman" w:hAnsi="Times New Roman" w:cs="Times New Roman"/>
          <w:color w:val="000000"/>
          <w:sz w:val="21"/>
          <w:szCs w:val="21"/>
        </w:rPr>
        <w:t>新站点</w:t>
      </w:r>
      <w:r>
        <w:rPr>
          <w:rFonts w:ascii="Times New Roman" w:hAnsi="Times New Roman" w:cs="Times New Roman"/>
          <w:color w:val="000000"/>
          <w:sz w:val="21"/>
          <w:szCs w:val="21"/>
        </w:rPr>
        <w:t xml:space="preserve">(2,776 </w:t>
      </w:r>
      <w:r>
        <w:rPr>
          <w:rFonts w:ascii="Times New Roman" w:hAnsi="Times New Roman" w:cs="Times New Roman"/>
          <w:color w:val="000000"/>
          <w:sz w:val="21"/>
          <w:szCs w:val="21"/>
        </w:rPr>
        <w:t>条</w:t>
      </w:r>
      <w:r>
        <w:rPr>
          <w:rFonts w:ascii="Times New Roman" w:hAnsi="Times New Roman" w:cs="Times New Roman"/>
          <w:color w:val="000000"/>
          <w:sz w:val="21"/>
          <w:szCs w:val="21"/>
        </w:rPr>
        <w:t xml:space="preserve">/129 </w:t>
      </w:r>
      <w:r>
        <w:rPr>
          <w:rFonts w:ascii="Times New Roman" w:hAnsi="Times New Roman" w:cs="Times New Roman"/>
          <w:color w:val="000000"/>
          <w:sz w:val="21"/>
          <w:szCs w:val="21"/>
        </w:rPr>
        <w:t>故障</w:t>
      </w:r>
      <w:r>
        <w:rPr>
          <w:rFonts w:ascii="Times New Roman" w:hAnsi="Times New Roman" w:cs="Times New Roman"/>
          <w:color w:val="000000"/>
          <w:sz w:val="21"/>
          <w:szCs w:val="21"/>
        </w:rPr>
        <w:t>),</w:t>
      </w:r>
      <w:r>
        <w:rPr>
          <w:rFonts w:ascii="Times New Roman" w:hAnsi="Times New Roman" w:cs="Times New Roman"/>
          <w:color w:val="000000"/>
          <w:sz w:val="21"/>
          <w:szCs w:val="21"/>
        </w:rPr>
        <w:t>模拟站点冷启动。</w:t>
      </w:r>
    </w:p>
    <w:p w14:paraId="4CD00DC9"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b/>
          <w:bCs/>
          <w:color w:val="000000"/>
          <w:sz w:val="21"/>
          <w:szCs w:val="21"/>
        </w:rPr>
        <w:t>Token-Attn:</w:t>
      </w:r>
      <w:r>
        <w:rPr>
          <w:rFonts w:ascii="Times New Roman" w:hAnsi="Times New Roman" w:cs="Times New Roman"/>
          <w:color w:val="000000"/>
          <w:sz w:val="21"/>
          <w:szCs w:val="21"/>
        </w:rPr>
        <w:t>双向</w:t>
      </w:r>
      <w:r>
        <w:rPr>
          <w:rFonts w:ascii="Times New Roman" w:hAnsi="Times New Roman" w:cs="Times New Roman"/>
          <w:color w:val="000000"/>
          <w:sz w:val="21"/>
          <w:szCs w:val="21"/>
        </w:rPr>
        <w:t xml:space="preserve"> LSTM </w:t>
      </w:r>
      <w:r>
        <w:rPr>
          <w:rFonts w:ascii="Times New Roman" w:hAnsi="Times New Roman" w:cs="Times New Roman"/>
          <w:color w:val="000000"/>
          <w:sz w:val="21"/>
          <w:szCs w:val="21"/>
        </w:rPr>
        <w:t>编码六通道原始时序</w:t>
      </w:r>
      <w:r>
        <w:rPr>
          <w:rFonts w:ascii="Times New Roman" w:hAnsi="Times New Roman" w:cs="Times New Roman"/>
          <w:color w:val="000000"/>
          <w:sz w:val="21"/>
          <w:szCs w:val="21"/>
        </w:rPr>
        <w:t>(</w:t>
      </w:r>
      <w:r>
        <w:rPr>
          <w:rFonts w:ascii="Times New Roman" w:hAnsi="Times New Roman" w:cs="Times New Roman"/>
          <w:color w:val="000000"/>
          <w:sz w:val="21"/>
          <w:szCs w:val="21"/>
        </w:rPr>
        <w:t>电压</w:t>
      </w:r>
      <w:r>
        <w:rPr>
          <w:rFonts w:ascii="Times New Roman" w:hAnsi="Times New Roman" w:cs="Times New Roman"/>
          <w:color w:val="000000"/>
          <w:sz w:val="21"/>
          <w:szCs w:val="21"/>
        </w:rPr>
        <w:t>/</w:t>
      </w:r>
      <w:r>
        <w:rPr>
          <w:rFonts w:ascii="Times New Roman" w:hAnsi="Times New Roman" w:cs="Times New Roman"/>
          <w:color w:val="000000"/>
          <w:sz w:val="21"/>
          <w:szCs w:val="21"/>
        </w:rPr>
        <w:t>电流</w:t>
      </w:r>
      <w:r>
        <w:rPr>
          <w:rFonts w:ascii="Times New Roman" w:hAnsi="Times New Roman" w:cs="Times New Roman"/>
          <w:color w:val="000000"/>
          <w:sz w:val="21"/>
          <w:szCs w:val="21"/>
        </w:rPr>
        <w:t>/</w:t>
      </w:r>
      <w:r>
        <w:rPr>
          <w:rFonts w:ascii="Times New Roman" w:hAnsi="Times New Roman" w:cs="Times New Roman"/>
          <w:color w:val="000000"/>
          <w:sz w:val="21"/>
          <w:szCs w:val="21"/>
        </w:rPr>
        <w:t>功率</w:t>
      </w:r>
      <w:r>
        <w:rPr>
          <w:rFonts w:ascii="Times New Roman" w:hAnsi="Times New Roman" w:cs="Times New Roman"/>
          <w:color w:val="000000"/>
          <w:sz w:val="21"/>
          <w:szCs w:val="21"/>
        </w:rPr>
        <w:t>/</w:t>
      </w:r>
      <w:r>
        <w:rPr>
          <w:rFonts w:ascii="Times New Roman" w:hAnsi="Times New Roman" w:cs="Times New Roman"/>
          <w:color w:val="000000"/>
          <w:sz w:val="21"/>
          <w:szCs w:val="21"/>
        </w:rPr>
        <w:t>枪温</w:t>
      </w:r>
      <w:r>
        <w:rPr>
          <w:rFonts w:ascii="Times New Roman" w:hAnsi="Times New Roman" w:cs="Times New Roman"/>
          <w:color w:val="000000"/>
          <w:sz w:val="21"/>
          <w:szCs w:val="21"/>
        </w:rPr>
        <w:t xml:space="preserve"> 1/2/SOC)</w:t>
      </w:r>
      <w:r>
        <w:rPr>
          <w:rFonts w:ascii="Times New Roman" w:hAnsi="Times New Roman" w:cs="Times New Roman"/>
          <w:color w:val="000000"/>
          <w:sz w:val="21"/>
          <w:szCs w:val="21"/>
        </w:rPr>
        <w:t>并按充电进度等分</w:t>
      </w:r>
      <w:r>
        <w:rPr>
          <w:rFonts w:ascii="Times New Roman" w:hAnsi="Times New Roman" w:cs="Times New Roman"/>
          <w:color w:val="000000"/>
          <w:sz w:val="21"/>
          <w:szCs w:val="21"/>
        </w:rPr>
        <w:t xml:space="preserve"> 8 </w:t>
      </w:r>
      <w:r>
        <w:rPr>
          <w:rFonts w:ascii="Times New Roman" w:hAnsi="Times New Roman" w:cs="Times New Roman"/>
          <w:color w:val="000000"/>
          <w:sz w:val="21"/>
          <w:szCs w:val="21"/>
        </w:rPr>
        <w:t>段池化为段</w:t>
      </w:r>
      <w:r>
        <w:rPr>
          <w:rFonts w:ascii="Times New Roman" w:hAnsi="Times New Roman" w:cs="Times New Roman"/>
          <w:color w:val="000000"/>
          <w:sz w:val="21"/>
          <w:szCs w:val="21"/>
        </w:rPr>
        <w:t xml:space="preserve"> token,</w:t>
      </w:r>
      <w:r>
        <w:rPr>
          <w:rFonts w:ascii="Times New Roman" w:hAnsi="Times New Roman" w:cs="Times New Roman"/>
          <w:color w:val="000000"/>
          <w:sz w:val="21"/>
          <w:szCs w:val="21"/>
        </w:rPr>
        <w:t>与</w:t>
      </w:r>
      <w:r>
        <w:rPr>
          <w:rFonts w:ascii="Times New Roman" w:hAnsi="Times New Roman" w:cs="Times New Roman"/>
          <w:color w:val="000000"/>
          <w:sz w:val="21"/>
          <w:szCs w:val="21"/>
        </w:rPr>
        <w:t xml:space="preserve"> 62 </w:t>
      </w:r>
      <w:r>
        <w:rPr>
          <w:rFonts w:ascii="Times New Roman" w:hAnsi="Times New Roman" w:cs="Times New Roman"/>
          <w:color w:val="000000"/>
          <w:sz w:val="21"/>
          <w:szCs w:val="21"/>
        </w:rPr>
        <w:t>维手工特征</w:t>
      </w:r>
      <w:r>
        <w:rPr>
          <w:rFonts w:ascii="Times New Roman" w:hAnsi="Times New Roman" w:cs="Times New Roman"/>
          <w:color w:val="000000"/>
          <w:sz w:val="21"/>
          <w:szCs w:val="21"/>
        </w:rPr>
        <w:t xml:space="preserve"> token </w:t>
      </w:r>
      <w:r>
        <w:rPr>
          <w:rFonts w:ascii="Times New Roman" w:hAnsi="Times New Roman" w:cs="Times New Roman"/>
          <w:color w:val="000000"/>
          <w:sz w:val="21"/>
          <w:szCs w:val="21"/>
        </w:rPr>
        <w:t>及</w:t>
      </w:r>
      <w:r>
        <w:rPr>
          <w:rFonts w:ascii="Times New Roman" w:hAnsi="Times New Roman" w:cs="Times New Roman"/>
          <w:color w:val="000000"/>
          <w:sz w:val="21"/>
          <w:szCs w:val="21"/>
        </w:rPr>
        <w:t xml:space="preserve"> [CLS] token </w:t>
      </w:r>
      <w:r>
        <w:rPr>
          <w:rFonts w:ascii="Times New Roman" w:hAnsi="Times New Roman" w:cs="Times New Roman"/>
          <w:color w:val="000000"/>
          <w:sz w:val="21"/>
          <w:szCs w:val="21"/>
        </w:rPr>
        <w:t>送入</w:t>
      </w:r>
      <w:r>
        <w:rPr>
          <w:rFonts w:ascii="Times New Roman" w:hAnsi="Times New Roman" w:cs="Times New Roman"/>
          <w:color w:val="000000"/>
          <w:sz w:val="21"/>
          <w:szCs w:val="21"/>
        </w:rPr>
        <w:t xml:space="preserve"> 2 </w:t>
      </w:r>
      <w:r>
        <w:rPr>
          <w:rFonts w:ascii="Times New Roman" w:hAnsi="Times New Roman" w:cs="Times New Roman"/>
          <w:color w:val="000000"/>
          <w:sz w:val="21"/>
          <w:szCs w:val="21"/>
        </w:rPr>
        <w:t>层</w:t>
      </w:r>
      <w:r>
        <w:rPr>
          <w:rFonts w:ascii="Times New Roman" w:hAnsi="Times New Roman" w:cs="Times New Roman"/>
          <w:color w:val="000000"/>
          <w:sz w:val="21"/>
          <w:szCs w:val="21"/>
        </w:rPr>
        <w:t xml:space="preserve"> Transformer </w:t>
      </w:r>
      <w:r>
        <w:rPr>
          <w:rFonts w:ascii="Times New Roman" w:hAnsi="Times New Roman" w:cs="Times New Roman"/>
          <w:color w:val="000000"/>
          <w:sz w:val="21"/>
          <w:szCs w:val="21"/>
        </w:rPr>
        <w:t>做跨模态自注意力融合</w:t>
      </w:r>
      <w:r>
        <w:rPr>
          <w:rFonts w:ascii="Times New Roman" w:hAnsi="Times New Roman" w:cs="Times New Roman"/>
          <w:color w:val="000000"/>
          <w:sz w:val="21"/>
          <w:szCs w:val="21"/>
        </w:rPr>
        <w:t>,</w:t>
      </w:r>
      <w:r>
        <w:rPr>
          <w:rFonts w:ascii="Times New Roman" w:hAnsi="Times New Roman" w:cs="Times New Roman"/>
          <w:color w:val="000000"/>
          <w:sz w:val="21"/>
          <w:szCs w:val="21"/>
        </w:rPr>
        <w:t>输出二分类</w:t>
      </w:r>
      <w:r>
        <w:rPr>
          <w:rFonts w:ascii="Times New Roman" w:hAnsi="Times New Roman" w:cs="Times New Roman"/>
          <w:color w:val="000000"/>
          <w:sz w:val="21"/>
          <w:szCs w:val="21"/>
        </w:rPr>
        <w:t>(</w:t>
      </w:r>
      <w:r>
        <w:rPr>
          <w:rFonts w:ascii="Times New Roman" w:hAnsi="Times New Roman" w:cs="Times New Roman"/>
          <w:color w:val="000000"/>
          <w:sz w:val="21"/>
          <w:szCs w:val="21"/>
        </w:rPr>
        <w:t>约</w:t>
      </w:r>
      <w:r>
        <w:rPr>
          <w:rFonts w:ascii="Times New Roman" w:hAnsi="Times New Roman" w:cs="Times New Roman"/>
          <w:color w:val="000000"/>
          <w:sz w:val="21"/>
          <w:szCs w:val="21"/>
        </w:rPr>
        <w:t xml:space="preserve"> 22.4 </w:t>
      </w:r>
      <w:r>
        <w:rPr>
          <w:rFonts w:ascii="Times New Roman" w:hAnsi="Times New Roman" w:cs="Times New Roman"/>
          <w:color w:val="000000"/>
          <w:sz w:val="21"/>
          <w:szCs w:val="21"/>
        </w:rPr>
        <w:t>万参数</w:t>
      </w:r>
      <w:r>
        <w:rPr>
          <w:rFonts w:ascii="Times New Roman" w:hAnsi="Times New Roman" w:cs="Times New Roman"/>
          <w:color w:val="000000"/>
          <w:sz w:val="21"/>
          <w:szCs w:val="21"/>
        </w:rPr>
        <w:t>)</w:t>
      </w:r>
      <w:r>
        <w:rPr>
          <w:rFonts w:ascii="Times New Roman" w:hAnsi="Times New Roman" w:cs="Times New Roman"/>
          <w:color w:val="000000"/>
          <w:sz w:val="21"/>
          <w:szCs w:val="21"/>
        </w:rPr>
        <w:t>。</w:t>
      </w:r>
    </w:p>
    <w:p w14:paraId="64ADB394"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b/>
          <w:bCs/>
          <w:color w:val="000000"/>
          <w:sz w:val="21"/>
          <w:szCs w:val="21"/>
        </w:rPr>
        <w:t>多视角归因</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自注意力</w:t>
      </w:r>
      <w:r>
        <w:rPr>
          <w:rFonts w:ascii="Times New Roman" w:hAnsi="Times New Roman" w:cs="Times New Roman"/>
          <w:b/>
          <w:bCs/>
          <w:color w:val="000000"/>
          <w:sz w:val="21"/>
          <w:szCs w:val="21"/>
        </w:rPr>
        <w:t xml:space="preserve"> + </w:t>
      </w:r>
      <w:r>
        <w:rPr>
          <w:rFonts w:ascii="Times New Roman" w:hAnsi="Times New Roman" w:cs="Times New Roman"/>
          <w:b/>
          <w:bCs/>
          <w:color w:val="000000"/>
          <w:sz w:val="21"/>
          <w:szCs w:val="21"/>
        </w:rPr>
        <w:t>置换特征重要性</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逐特征打乱该列</w:t>
      </w:r>
      <w:r>
        <w:rPr>
          <w:rFonts w:ascii="Times New Roman" w:hAnsi="Times New Roman" w:cs="Times New Roman"/>
          <w:b/>
          <w:bCs/>
          <w:color w:val="000000"/>
          <w:sz w:val="21"/>
          <w:szCs w:val="21"/>
        </w:rPr>
        <w:t xml:space="preserve"> 3 </w:t>
      </w:r>
      <w:r>
        <w:rPr>
          <w:rFonts w:ascii="Times New Roman" w:hAnsi="Times New Roman" w:cs="Times New Roman"/>
          <w:b/>
          <w:bCs/>
          <w:color w:val="000000"/>
          <w:sz w:val="21"/>
          <w:szCs w:val="21"/>
        </w:rPr>
        <w:t>次</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取</w:t>
      </w:r>
      <w:r>
        <w:rPr>
          <w:rFonts w:ascii="Times New Roman" w:hAnsi="Times New Roman" w:cs="Times New Roman"/>
          <w:b/>
          <w:bCs/>
          <w:color w:val="000000"/>
          <w:sz w:val="21"/>
          <w:szCs w:val="21"/>
        </w:rPr>
        <w:t xml:space="preserve"> PR-AUC </w:t>
      </w:r>
      <w:r>
        <w:rPr>
          <w:rFonts w:ascii="Times New Roman" w:hAnsi="Times New Roman" w:cs="Times New Roman"/>
          <w:b/>
          <w:bCs/>
          <w:color w:val="000000"/>
          <w:sz w:val="21"/>
          <w:szCs w:val="21"/>
        </w:rPr>
        <w:t>下降均值</w:t>
      </w:r>
      <w:r>
        <w:rPr>
          <w:rFonts w:ascii="Times New Roman" w:hAnsi="Times New Roman" w:cs="Times New Roman"/>
          <w:b/>
          <w:bCs/>
          <w:color w:val="000000"/>
          <w:sz w:val="21"/>
          <w:szCs w:val="21"/>
        </w:rPr>
        <w:t xml:space="preserve">±std)+ </w:t>
      </w:r>
      <w:r>
        <w:rPr>
          <w:rFonts w:ascii="Times New Roman" w:hAnsi="Times New Roman" w:cs="Times New Roman"/>
          <w:b/>
          <w:bCs/>
          <w:color w:val="000000"/>
          <w:sz w:val="21"/>
          <w:szCs w:val="21"/>
        </w:rPr>
        <w:t>特征组消融</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三路交叉印证。</w:t>
      </w:r>
    </w:p>
    <w:p w14:paraId="76CF339E" w14:textId="77777777" w:rsidR="00F81EC0" w:rsidRDefault="00F81EC0">
      <w:pPr>
        <w:pStyle w:val="2"/>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实验与结果</w:t>
      </w:r>
    </w:p>
    <w:p w14:paraId="05FC2219"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color w:val="000000"/>
          <w:sz w:val="21"/>
          <w:szCs w:val="21"/>
        </w:rPr>
        <w:t>跨新站点测试</w:t>
      </w:r>
      <w:r>
        <w:rPr>
          <w:rFonts w:ascii="Times New Roman" w:hAnsi="Times New Roman" w:cs="Times New Roman"/>
          <w:color w:val="000000"/>
          <w:sz w:val="21"/>
          <w:szCs w:val="21"/>
        </w:rPr>
        <w:t>(owner 7-8)</w:t>
      </w:r>
      <w:r>
        <w:rPr>
          <w:rFonts w:ascii="Times New Roman" w:hAnsi="Times New Roman" w:cs="Times New Roman"/>
          <w:color w:val="000000"/>
          <w:sz w:val="21"/>
          <w:szCs w:val="21"/>
        </w:rPr>
        <w:t>性能如表</w:t>
      </w:r>
      <w:r>
        <w:rPr>
          <w:rFonts w:ascii="Times New Roman" w:hAnsi="Times New Roman" w:cs="Times New Roman"/>
          <w:color w:val="000000"/>
          <w:sz w:val="21"/>
          <w:szCs w:val="21"/>
        </w:rPr>
        <w:t xml:space="preserve"> 1</w:t>
      </w:r>
      <w:r>
        <w:rPr>
          <w:rFonts w:ascii="Times New Roman" w:hAnsi="Times New Roman" w:cs="Times New Roman"/>
          <w:color w:val="000000"/>
          <w:sz w:val="21"/>
          <w:szCs w:val="21"/>
        </w:rPr>
        <w:t>。</w:t>
      </w:r>
      <w:r>
        <w:rPr>
          <w:rFonts w:ascii="Times New Roman" w:hAnsi="Times New Roman" w:cs="Times New Roman"/>
          <w:color w:val="000000"/>
          <w:sz w:val="21"/>
          <w:szCs w:val="21"/>
        </w:rPr>
        <w:t xml:space="preserve">Token-Attn </w:t>
      </w:r>
      <w:r>
        <w:rPr>
          <w:rFonts w:ascii="Times New Roman" w:hAnsi="Times New Roman" w:cs="Times New Roman"/>
          <w:color w:val="000000"/>
          <w:sz w:val="21"/>
          <w:szCs w:val="21"/>
        </w:rPr>
        <w:t>经</w:t>
      </w:r>
      <w:r>
        <w:rPr>
          <w:rFonts w:ascii="Times New Roman" w:hAnsi="Times New Roman" w:cs="Times New Roman"/>
          <w:color w:val="000000"/>
          <w:sz w:val="21"/>
          <w:szCs w:val="21"/>
        </w:rPr>
        <w:t xml:space="preserve"> 7-seed </w:t>
      </w:r>
      <w:r>
        <w:rPr>
          <w:rFonts w:ascii="Times New Roman" w:hAnsi="Times New Roman" w:cs="Times New Roman"/>
          <w:color w:val="000000"/>
          <w:sz w:val="21"/>
          <w:szCs w:val="21"/>
        </w:rPr>
        <w:t>概率集成达到</w:t>
      </w:r>
      <w:r>
        <w:rPr>
          <w:rFonts w:ascii="Times New Roman" w:hAnsi="Times New Roman" w:cs="Times New Roman"/>
          <w:color w:val="000000"/>
          <w:sz w:val="21"/>
          <w:szCs w:val="21"/>
        </w:rPr>
        <w:t xml:space="preserve"> PR-AUC=0.918</w:t>
      </w:r>
      <w:r>
        <w:rPr>
          <w:rFonts w:ascii="Times New Roman" w:hAnsi="Times New Roman" w:cs="Times New Roman"/>
          <w:color w:val="000000"/>
          <w:sz w:val="21"/>
          <w:szCs w:val="21"/>
        </w:rPr>
        <w:t>、</w:t>
      </w:r>
      <w:r>
        <w:rPr>
          <w:rFonts w:ascii="Times New Roman" w:hAnsi="Times New Roman" w:cs="Times New Roman"/>
          <w:color w:val="000000"/>
          <w:sz w:val="21"/>
          <w:szCs w:val="21"/>
        </w:rPr>
        <w:t>AUC=0.990,</w:t>
      </w:r>
      <w:r>
        <w:rPr>
          <w:rFonts w:ascii="Times New Roman" w:hAnsi="Times New Roman" w:cs="Times New Roman"/>
          <w:color w:val="000000"/>
          <w:sz w:val="21"/>
          <w:szCs w:val="21"/>
        </w:rPr>
        <w:t>显著超越</w:t>
      </w:r>
      <w:r>
        <w:rPr>
          <w:rFonts w:ascii="Times New Roman" w:hAnsi="Times New Roman" w:cs="Times New Roman"/>
          <w:color w:val="000000"/>
          <w:sz w:val="21"/>
          <w:szCs w:val="21"/>
        </w:rPr>
        <w:t xml:space="preserve"> LightGBM(0.868,bootstrap p=0.026)</w:t>
      </w:r>
      <w:r>
        <w:rPr>
          <w:rFonts w:ascii="Times New Roman" w:hAnsi="Times New Roman" w:cs="Times New Roman"/>
          <w:color w:val="000000"/>
          <w:sz w:val="21"/>
          <w:szCs w:val="21"/>
        </w:rPr>
        <w:t>、高于</w:t>
      </w:r>
      <w:r>
        <w:rPr>
          <w:rFonts w:ascii="Times New Roman" w:hAnsi="Times New Roman" w:cs="Times New Roman"/>
          <w:color w:val="000000"/>
          <w:sz w:val="21"/>
          <w:szCs w:val="21"/>
        </w:rPr>
        <w:t xml:space="preserve"> XGBoost(0.887,p=0.143),</w:t>
      </w:r>
      <w:r>
        <w:rPr>
          <w:rFonts w:ascii="Times New Roman" w:hAnsi="Times New Roman" w:cs="Times New Roman"/>
          <w:color w:val="000000"/>
          <w:sz w:val="21"/>
          <w:szCs w:val="21"/>
        </w:rPr>
        <w:t>为端到端纯</w:t>
      </w:r>
      <w:r>
        <w:rPr>
          <w:rFonts w:ascii="Times New Roman" w:hAnsi="Times New Roman" w:cs="Times New Roman"/>
          <w:color w:val="000000"/>
          <w:sz w:val="21"/>
          <w:szCs w:val="21"/>
        </w:rPr>
        <w:t xml:space="preserve"> Bi-LSTM(0.351)</w:t>
      </w:r>
      <w:r>
        <w:rPr>
          <w:rFonts w:ascii="Times New Roman" w:hAnsi="Times New Roman" w:cs="Times New Roman"/>
          <w:color w:val="000000"/>
          <w:sz w:val="21"/>
          <w:szCs w:val="21"/>
        </w:rPr>
        <w:t>的约</w:t>
      </w:r>
      <w:r>
        <w:rPr>
          <w:rFonts w:ascii="Times New Roman" w:hAnsi="Times New Roman" w:cs="Times New Roman"/>
          <w:color w:val="000000"/>
          <w:sz w:val="21"/>
          <w:szCs w:val="21"/>
        </w:rPr>
        <w:t xml:space="preserve"> 2.6 </w:t>
      </w:r>
      <w:r>
        <w:rPr>
          <w:rFonts w:ascii="Times New Roman" w:hAnsi="Times New Roman" w:cs="Times New Roman"/>
          <w:color w:val="000000"/>
          <w:sz w:val="21"/>
          <w:szCs w:val="21"/>
        </w:rPr>
        <w:t>倍</w:t>
      </w:r>
      <w:r>
        <w:rPr>
          <w:rFonts w:ascii="Times New Roman" w:hAnsi="Times New Roman" w:cs="Times New Roman"/>
          <w:color w:val="000000"/>
          <w:sz w:val="21"/>
          <w:szCs w:val="21"/>
        </w:rPr>
        <w:t>,</w:t>
      </w:r>
      <w:r>
        <w:rPr>
          <w:rFonts w:ascii="Times New Roman" w:hAnsi="Times New Roman" w:cs="Times New Roman"/>
          <w:color w:val="000000"/>
          <w:sz w:val="21"/>
          <w:szCs w:val="21"/>
        </w:rPr>
        <w:t>说明注意力交互融合是跨站点性能的关键。</w:t>
      </w:r>
    </w:p>
    <w:p w14:paraId="34B4C990" w14:textId="77777777" w:rsidR="00F81EC0" w:rsidRDefault="00F81EC0">
      <w:pPr>
        <w:jc w:val="center"/>
        <w:divId w:val="1043948472"/>
        <w:rPr>
          <w:rFonts w:ascii="Times New Roman" w:hAnsi="Times New Roman" w:cs="Times New Roman"/>
          <w:color w:val="000000"/>
          <w:sz w:val="19"/>
          <w:szCs w:val="19"/>
        </w:rPr>
      </w:pPr>
      <w:r>
        <w:rPr>
          <w:rFonts w:ascii="Times New Roman" w:hAnsi="Times New Roman" w:cs="Times New Roman"/>
          <w:b/>
          <w:bCs/>
          <w:color w:val="000000"/>
          <w:sz w:val="19"/>
          <w:szCs w:val="19"/>
        </w:rPr>
        <w:t>表</w:t>
      </w:r>
      <w:r>
        <w:rPr>
          <w:rFonts w:ascii="Times New Roman" w:hAnsi="Times New Roman" w:cs="Times New Roman"/>
          <w:b/>
          <w:bCs/>
          <w:color w:val="000000"/>
          <w:sz w:val="19"/>
          <w:szCs w:val="19"/>
        </w:rPr>
        <w:t xml:space="preserve"> 1:</w:t>
      </w:r>
      <w:r>
        <w:rPr>
          <w:rFonts w:ascii="Times New Roman" w:hAnsi="Times New Roman" w:cs="Times New Roman"/>
          <w:b/>
          <w:bCs/>
          <w:color w:val="000000"/>
          <w:sz w:val="19"/>
          <w:szCs w:val="19"/>
        </w:rPr>
        <w:t>跨新站点测试集</w:t>
      </w:r>
      <w:r>
        <w:rPr>
          <w:rFonts w:ascii="Times New Roman" w:hAnsi="Times New Roman" w:cs="Times New Roman"/>
          <w:b/>
          <w:bCs/>
          <w:color w:val="000000"/>
          <w:sz w:val="19"/>
          <w:szCs w:val="19"/>
        </w:rPr>
        <w:t>(owner 7-8)</w:t>
      </w:r>
      <w:r>
        <w:rPr>
          <w:rFonts w:ascii="Times New Roman" w:hAnsi="Times New Roman" w:cs="Times New Roman"/>
          <w:b/>
          <w:bCs/>
          <w:color w:val="000000"/>
          <w:sz w:val="19"/>
          <w:szCs w:val="19"/>
        </w:rPr>
        <w:t>性能对比</w:t>
      </w:r>
    </w:p>
    <w:tbl>
      <w:tblPr>
        <w:tblW w:w="4400" w:type="pct"/>
        <w:tblCellMar>
          <w:top w:w="15" w:type="dxa"/>
          <w:left w:w="15" w:type="dxa"/>
          <w:bottom w:w="15" w:type="dxa"/>
          <w:right w:w="15" w:type="dxa"/>
        </w:tblCellMar>
        <w:tblLook w:val="04A0" w:firstRow="1" w:lastRow="0" w:firstColumn="1" w:lastColumn="0" w:noHBand="0" w:noVBand="1"/>
      </w:tblPr>
      <w:tblGrid>
        <w:gridCol w:w="2214"/>
        <w:gridCol w:w="1210"/>
        <w:gridCol w:w="790"/>
        <w:gridCol w:w="927"/>
        <w:gridCol w:w="630"/>
        <w:gridCol w:w="630"/>
        <w:gridCol w:w="894"/>
      </w:tblGrid>
      <w:tr w:rsidR="009E2525" w14:paraId="408E0A51"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16A560CC"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方法</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617F3086"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输入</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67756A48"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Recall</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1E7B31B0"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Precision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772DE521"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F1</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36BC2C08"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AUC</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6BF21149"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PR-AUC</w:t>
            </w:r>
          </w:p>
        </w:tc>
      </w:tr>
      <w:tr w:rsidR="00232310" w14:paraId="06D9CFE1" w14:textId="77777777">
        <w:tc>
          <w:tcPr>
            <w:tcW w:w="2231" w:type="dxa"/>
          </w:tcPr>
          <w:p w14:paraId="242E9560" w14:textId="77777777" w:rsidR="00232310" w:rsidRDefault="00BD5790">
            <w:pPr>
              <w:rPr>
                <w:rFonts w:hint="eastAsia"/>
              </w:rPr>
            </w:pPr>
            <w:r>
              <w:t>LSTM-AE(重建式,无监督)</w:t>
            </w:r>
          </w:p>
        </w:tc>
        <w:tc>
          <w:tcPr>
            <w:tcW w:w="1246" w:type="dxa"/>
          </w:tcPr>
          <w:p w14:paraId="2A255673" w14:textId="77777777" w:rsidR="00232310" w:rsidRDefault="00BD5790">
            <w:pPr>
              <w:rPr>
                <w:rFonts w:hint="eastAsia"/>
              </w:rPr>
            </w:pPr>
            <w:r>
              <w:t>6 通道</w:t>
            </w:r>
          </w:p>
        </w:tc>
        <w:tc>
          <w:tcPr>
            <w:tcW w:w="792" w:type="dxa"/>
          </w:tcPr>
          <w:p w14:paraId="757233B2" w14:textId="77777777" w:rsidR="00232310" w:rsidRDefault="00BD5790">
            <w:pPr>
              <w:rPr>
                <w:rFonts w:hint="eastAsia"/>
              </w:rPr>
            </w:pPr>
            <w:r>
              <w:t>—</w:t>
            </w:r>
          </w:p>
        </w:tc>
        <w:tc>
          <w:tcPr>
            <w:tcW w:w="928" w:type="dxa"/>
          </w:tcPr>
          <w:p w14:paraId="39361D2A" w14:textId="77777777" w:rsidR="00232310" w:rsidRDefault="00BD5790">
            <w:pPr>
              <w:rPr>
                <w:rFonts w:hint="eastAsia"/>
              </w:rPr>
            </w:pPr>
            <w:r>
              <w:t>—</w:t>
            </w:r>
          </w:p>
        </w:tc>
        <w:tc>
          <w:tcPr>
            <w:tcW w:w="596" w:type="dxa"/>
          </w:tcPr>
          <w:p w14:paraId="6C09A481" w14:textId="77777777" w:rsidR="00232310" w:rsidRDefault="00BD5790">
            <w:pPr>
              <w:rPr>
                <w:rFonts w:hint="eastAsia"/>
              </w:rPr>
            </w:pPr>
            <w:r>
              <w:t>—</w:t>
            </w:r>
          </w:p>
        </w:tc>
        <w:tc>
          <w:tcPr>
            <w:tcW w:w="596" w:type="dxa"/>
          </w:tcPr>
          <w:p w14:paraId="48F8D74F" w14:textId="77777777" w:rsidR="00232310" w:rsidRDefault="00BD5790">
            <w:pPr>
              <w:rPr>
                <w:rFonts w:hint="eastAsia"/>
              </w:rPr>
            </w:pPr>
            <w:r>
              <w:t>0.912</w:t>
            </w:r>
          </w:p>
        </w:tc>
        <w:tc>
          <w:tcPr>
            <w:tcW w:w="906" w:type="dxa"/>
          </w:tcPr>
          <w:p w14:paraId="0D68C1A7" w14:textId="77777777" w:rsidR="00232310" w:rsidRDefault="00BD5790">
            <w:pPr>
              <w:rPr>
                <w:rFonts w:hint="eastAsia"/>
              </w:rPr>
            </w:pPr>
            <w:r>
              <w:t>0.248</w:t>
            </w:r>
          </w:p>
        </w:tc>
      </w:tr>
      <w:tr w:rsidR="00232310" w14:paraId="20295FE1" w14:textId="77777777">
        <w:tc>
          <w:tcPr>
            <w:tcW w:w="2231" w:type="dxa"/>
          </w:tcPr>
          <w:p w14:paraId="6D08A4A8" w14:textId="77777777" w:rsidR="00232310" w:rsidRDefault="00BD5790">
            <w:pPr>
              <w:rPr>
                <w:rFonts w:hint="eastAsia"/>
              </w:rPr>
            </w:pPr>
            <w:r>
              <w:t>端到端 Bi-LSTM</w:t>
            </w:r>
          </w:p>
        </w:tc>
        <w:tc>
          <w:tcPr>
            <w:tcW w:w="1246" w:type="dxa"/>
          </w:tcPr>
          <w:p w14:paraId="7FA1AA87" w14:textId="77777777" w:rsidR="00232310" w:rsidRDefault="00BD5790">
            <w:pPr>
              <w:rPr>
                <w:rFonts w:hint="eastAsia"/>
              </w:rPr>
            </w:pPr>
            <w:r>
              <w:t>6 通道</w:t>
            </w:r>
          </w:p>
        </w:tc>
        <w:tc>
          <w:tcPr>
            <w:tcW w:w="792" w:type="dxa"/>
          </w:tcPr>
          <w:p w14:paraId="7817F3A7" w14:textId="77777777" w:rsidR="00232310" w:rsidRDefault="00BD5790">
            <w:pPr>
              <w:rPr>
                <w:rFonts w:hint="eastAsia"/>
              </w:rPr>
            </w:pPr>
            <w:r>
              <w:t>77.52%</w:t>
            </w:r>
          </w:p>
        </w:tc>
        <w:tc>
          <w:tcPr>
            <w:tcW w:w="928" w:type="dxa"/>
          </w:tcPr>
          <w:p w14:paraId="49EB3C30" w14:textId="77777777" w:rsidR="00232310" w:rsidRDefault="00BD5790">
            <w:pPr>
              <w:rPr>
                <w:rFonts w:hint="eastAsia"/>
              </w:rPr>
            </w:pPr>
            <w:r>
              <w:t>23.36%</w:t>
            </w:r>
          </w:p>
        </w:tc>
        <w:tc>
          <w:tcPr>
            <w:tcW w:w="596" w:type="dxa"/>
          </w:tcPr>
          <w:p w14:paraId="6070D447" w14:textId="77777777" w:rsidR="00232310" w:rsidRDefault="00BD5790">
            <w:pPr>
              <w:rPr>
                <w:rFonts w:hint="eastAsia"/>
              </w:rPr>
            </w:pPr>
            <w:r>
              <w:t>0.359</w:t>
            </w:r>
          </w:p>
        </w:tc>
        <w:tc>
          <w:tcPr>
            <w:tcW w:w="596" w:type="dxa"/>
          </w:tcPr>
          <w:p w14:paraId="638C95A3" w14:textId="77777777" w:rsidR="00232310" w:rsidRDefault="00BD5790">
            <w:pPr>
              <w:rPr>
                <w:rFonts w:hint="eastAsia"/>
              </w:rPr>
            </w:pPr>
            <w:r>
              <w:t>0.908</w:t>
            </w:r>
          </w:p>
        </w:tc>
        <w:tc>
          <w:tcPr>
            <w:tcW w:w="906" w:type="dxa"/>
          </w:tcPr>
          <w:p w14:paraId="235572FF" w14:textId="77777777" w:rsidR="00232310" w:rsidRDefault="00BD5790">
            <w:pPr>
              <w:rPr>
                <w:rFonts w:hint="eastAsia"/>
              </w:rPr>
            </w:pPr>
            <w:r>
              <w:t>0.351</w:t>
            </w:r>
          </w:p>
        </w:tc>
      </w:tr>
      <w:tr w:rsidR="00232310" w14:paraId="50743724" w14:textId="77777777">
        <w:tc>
          <w:tcPr>
            <w:tcW w:w="2231" w:type="dxa"/>
          </w:tcPr>
          <w:p w14:paraId="6E4FF9E6" w14:textId="77777777" w:rsidR="00232310" w:rsidRDefault="00BD5790">
            <w:pPr>
              <w:rPr>
                <w:rFonts w:hint="eastAsia"/>
              </w:rPr>
            </w:pPr>
            <w:r>
              <w:t>DualTransformer</w:t>
            </w:r>
          </w:p>
        </w:tc>
        <w:tc>
          <w:tcPr>
            <w:tcW w:w="1246" w:type="dxa"/>
          </w:tcPr>
          <w:p w14:paraId="0D32F17B" w14:textId="77777777" w:rsidR="00232310" w:rsidRDefault="00BD5790">
            <w:pPr>
              <w:rPr>
                <w:rFonts w:hint="eastAsia"/>
              </w:rPr>
            </w:pPr>
            <w:r>
              <w:t>6 通道+62 维</w:t>
            </w:r>
          </w:p>
        </w:tc>
        <w:tc>
          <w:tcPr>
            <w:tcW w:w="792" w:type="dxa"/>
          </w:tcPr>
          <w:p w14:paraId="7666B826" w14:textId="77777777" w:rsidR="00232310" w:rsidRDefault="00BD5790">
            <w:pPr>
              <w:rPr>
                <w:rFonts w:hint="eastAsia"/>
              </w:rPr>
            </w:pPr>
            <w:r>
              <w:t>25.58%</w:t>
            </w:r>
          </w:p>
        </w:tc>
        <w:tc>
          <w:tcPr>
            <w:tcW w:w="928" w:type="dxa"/>
          </w:tcPr>
          <w:p w14:paraId="5DB37A0C" w14:textId="77777777" w:rsidR="00232310" w:rsidRDefault="00BD5790">
            <w:pPr>
              <w:rPr>
                <w:rFonts w:hint="eastAsia"/>
              </w:rPr>
            </w:pPr>
            <w:r>
              <w:t>32.35%</w:t>
            </w:r>
          </w:p>
        </w:tc>
        <w:tc>
          <w:tcPr>
            <w:tcW w:w="596" w:type="dxa"/>
          </w:tcPr>
          <w:p w14:paraId="495DFC18" w14:textId="77777777" w:rsidR="00232310" w:rsidRDefault="00BD5790">
            <w:pPr>
              <w:rPr>
                <w:rFonts w:hint="eastAsia"/>
              </w:rPr>
            </w:pPr>
            <w:r>
              <w:t>0.286</w:t>
            </w:r>
          </w:p>
        </w:tc>
        <w:tc>
          <w:tcPr>
            <w:tcW w:w="596" w:type="dxa"/>
          </w:tcPr>
          <w:p w14:paraId="359D077A" w14:textId="77777777" w:rsidR="00232310" w:rsidRDefault="00BD5790">
            <w:pPr>
              <w:rPr>
                <w:rFonts w:hint="eastAsia"/>
              </w:rPr>
            </w:pPr>
            <w:r>
              <w:t>0.758</w:t>
            </w:r>
          </w:p>
        </w:tc>
        <w:tc>
          <w:tcPr>
            <w:tcW w:w="906" w:type="dxa"/>
          </w:tcPr>
          <w:p w14:paraId="6434963B" w14:textId="77777777" w:rsidR="00232310" w:rsidRDefault="00BD5790">
            <w:pPr>
              <w:rPr>
                <w:rFonts w:hint="eastAsia"/>
              </w:rPr>
            </w:pPr>
            <w:r>
              <w:t>0.242</w:t>
            </w:r>
          </w:p>
        </w:tc>
      </w:tr>
      <w:tr w:rsidR="00232310" w14:paraId="766FD037" w14:textId="77777777">
        <w:tc>
          <w:tcPr>
            <w:tcW w:w="2231" w:type="dxa"/>
          </w:tcPr>
          <w:p w14:paraId="15743486" w14:textId="77777777" w:rsidR="00232310" w:rsidRDefault="00BD5790">
            <w:pPr>
              <w:rPr>
                <w:rFonts w:hint="eastAsia"/>
              </w:rPr>
            </w:pPr>
            <w:r>
              <w:t>iTransformer</w:t>
            </w:r>
          </w:p>
        </w:tc>
        <w:tc>
          <w:tcPr>
            <w:tcW w:w="1246" w:type="dxa"/>
          </w:tcPr>
          <w:p w14:paraId="260FC75B" w14:textId="77777777" w:rsidR="00232310" w:rsidRDefault="00BD5790">
            <w:pPr>
              <w:rPr>
                <w:rFonts w:hint="eastAsia"/>
              </w:rPr>
            </w:pPr>
            <w:r>
              <w:t>6 通道+62 维</w:t>
            </w:r>
          </w:p>
        </w:tc>
        <w:tc>
          <w:tcPr>
            <w:tcW w:w="792" w:type="dxa"/>
          </w:tcPr>
          <w:p w14:paraId="465FBD42" w14:textId="77777777" w:rsidR="00232310" w:rsidRDefault="00BD5790">
            <w:pPr>
              <w:rPr>
                <w:rFonts w:hint="eastAsia"/>
              </w:rPr>
            </w:pPr>
            <w:r>
              <w:t>46.51%</w:t>
            </w:r>
          </w:p>
        </w:tc>
        <w:tc>
          <w:tcPr>
            <w:tcW w:w="928" w:type="dxa"/>
          </w:tcPr>
          <w:p w14:paraId="61EC6697" w14:textId="77777777" w:rsidR="00232310" w:rsidRDefault="00BD5790">
            <w:pPr>
              <w:rPr>
                <w:rFonts w:hint="eastAsia"/>
              </w:rPr>
            </w:pPr>
            <w:r>
              <w:t>66.67%</w:t>
            </w:r>
          </w:p>
        </w:tc>
        <w:tc>
          <w:tcPr>
            <w:tcW w:w="596" w:type="dxa"/>
          </w:tcPr>
          <w:p w14:paraId="452891FC" w14:textId="77777777" w:rsidR="00232310" w:rsidRDefault="00BD5790">
            <w:pPr>
              <w:rPr>
                <w:rFonts w:hint="eastAsia"/>
              </w:rPr>
            </w:pPr>
            <w:r>
              <w:t>0.548</w:t>
            </w:r>
          </w:p>
        </w:tc>
        <w:tc>
          <w:tcPr>
            <w:tcW w:w="596" w:type="dxa"/>
          </w:tcPr>
          <w:p w14:paraId="4075564D" w14:textId="77777777" w:rsidR="00232310" w:rsidRDefault="00BD5790">
            <w:pPr>
              <w:rPr>
                <w:rFonts w:hint="eastAsia"/>
              </w:rPr>
            </w:pPr>
            <w:r>
              <w:t>0.932</w:t>
            </w:r>
          </w:p>
        </w:tc>
        <w:tc>
          <w:tcPr>
            <w:tcW w:w="906" w:type="dxa"/>
          </w:tcPr>
          <w:p w14:paraId="707C9512" w14:textId="77777777" w:rsidR="00232310" w:rsidRDefault="00BD5790">
            <w:pPr>
              <w:rPr>
                <w:rFonts w:hint="eastAsia"/>
              </w:rPr>
            </w:pPr>
            <w:r>
              <w:t>0.595</w:t>
            </w:r>
          </w:p>
        </w:tc>
      </w:tr>
      <w:tr w:rsidR="00232310" w14:paraId="661BCEB9" w14:textId="77777777">
        <w:tc>
          <w:tcPr>
            <w:tcW w:w="2231" w:type="dxa"/>
          </w:tcPr>
          <w:p w14:paraId="3A93D7C6" w14:textId="77777777" w:rsidR="00232310" w:rsidRDefault="00BD5790">
            <w:pPr>
              <w:rPr>
                <w:rFonts w:hint="eastAsia"/>
              </w:rPr>
            </w:pPr>
            <w:r>
              <w:lastRenderedPageBreak/>
              <w:t>FT-Transformer</w:t>
            </w:r>
          </w:p>
        </w:tc>
        <w:tc>
          <w:tcPr>
            <w:tcW w:w="1246" w:type="dxa"/>
          </w:tcPr>
          <w:p w14:paraId="54C9A244" w14:textId="77777777" w:rsidR="00232310" w:rsidRDefault="00BD5790">
            <w:pPr>
              <w:rPr>
                <w:rFonts w:hint="eastAsia"/>
              </w:rPr>
            </w:pPr>
            <w:r>
              <w:t>6 通道+62 维</w:t>
            </w:r>
          </w:p>
        </w:tc>
        <w:tc>
          <w:tcPr>
            <w:tcW w:w="792" w:type="dxa"/>
          </w:tcPr>
          <w:p w14:paraId="5662F4A7" w14:textId="77777777" w:rsidR="00232310" w:rsidRDefault="00BD5790">
            <w:pPr>
              <w:rPr>
                <w:rFonts w:hint="eastAsia"/>
              </w:rPr>
            </w:pPr>
            <w:r>
              <w:t>57.36%</w:t>
            </w:r>
          </w:p>
        </w:tc>
        <w:tc>
          <w:tcPr>
            <w:tcW w:w="928" w:type="dxa"/>
          </w:tcPr>
          <w:p w14:paraId="2D507E5D" w14:textId="77777777" w:rsidR="00232310" w:rsidRDefault="00BD5790">
            <w:pPr>
              <w:rPr>
                <w:rFonts w:hint="eastAsia"/>
              </w:rPr>
            </w:pPr>
            <w:r>
              <w:t>63.79%</w:t>
            </w:r>
          </w:p>
        </w:tc>
        <w:tc>
          <w:tcPr>
            <w:tcW w:w="596" w:type="dxa"/>
          </w:tcPr>
          <w:p w14:paraId="040C8B82" w14:textId="77777777" w:rsidR="00232310" w:rsidRDefault="00BD5790">
            <w:pPr>
              <w:rPr>
                <w:rFonts w:hint="eastAsia"/>
              </w:rPr>
            </w:pPr>
            <w:r>
              <w:t>0.604</w:t>
            </w:r>
          </w:p>
        </w:tc>
        <w:tc>
          <w:tcPr>
            <w:tcW w:w="596" w:type="dxa"/>
          </w:tcPr>
          <w:p w14:paraId="7050A5E8" w14:textId="77777777" w:rsidR="00232310" w:rsidRDefault="00BD5790">
            <w:pPr>
              <w:rPr>
                <w:rFonts w:hint="eastAsia"/>
              </w:rPr>
            </w:pPr>
            <w:r>
              <w:t>0.950</w:t>
            </w:r>
          </w:p>
        </w:tc>
        <w:tc>
          <w:tcPr>
            <w:tcW w:w="906" w:type="dxa"/>
          </w:tcPr>
          <w:p w14:paraId="60F9B183" w14:textId="77777777" w:rsidR="00232310" w:rsidRDefault="00BD5790">
            <w:pPr>
              <w:rPr>
                <w:rFonts w:hint="eastAsia"/>
              </w:rPr>
            </w:pPr>
            <w:r>
              <w:t>0.624</w:t>
            </w:r>
          </w:p>
        </w:tc>
      </w:tr>
      <w:tr w:rsidR="00232310" w14:paraId="06ECC2B8" w14:textId="77777777">
        <w:tc>
          <w:tcPr>
            <w:tcW w:w="2231" w:type="dxa"/>
          </w:tcPr>
          <w:p w14:paraId="53D66AC5" w14:textId="77777777" w:rsidR="00232310" w:rsidRDefault="00BD5790">
            <w:pPr>
              <w:rPr>
                <w:rFonts w:hint="eastAsia"/>
              </w:rPr>
            </w:pPr>
            <w:r>
              <w:t>PatchTST</w:t>
            </w:r>
          </w:p>
        </w:tc>
        <w:tc>
          <w:tcPr>
            <w:tcW w:w="1246" w:type="dxa"/>
          </w:tcPr>
          <w:p w14:paraId="63CAE00E" w14:textId="77777777" w:rsidR="00232310" w:rsidRDefault="00BD5790">
            <w:pPr>
              <w:rPr>
                <w:rFonts w:hint="eastAsia"/>
              </w:rPr>
            </w:pPr>
            <w:r>
              <w:t>6 通道+62 维</w:t>
            </w:r>
          </w:p>
        </w:tc>
        <w:tc>
          <w:tcPr>
            <w:tcW w:w="792" w:type="dxa"/>
          </w:tcPr>
          <w:p w14:paraId="790266C7" w14:textId="77777777" w:rsidR="00232310" w:rsidRDefault="00BD5790">
            <w:pPr>
              <w:rPr>
                <w:rFonts w:hint="eastAsia"/>
              </w:rPr>
            </w:pPr>
            <w:r>
              <w:t>61.24%</w:t>
            </w:r>
          </w:p>
        </w:tc>
        <w:tc>
          <w:tcPr>
            <w:tcW w:w="928" w:type="dxa"/>
          </w:tcPr>
          <w:p w14:paraId="6C2DDD7F" w14:textId="77777777" w:rsidR="00232310" w:rsidRDefault="00BD5790">
            <w:pPr>
              <w:rPr>
                <w:rFonts w:hint="eastAsia"/>
              </w:rPr>
            </w:pPr>
            <w:r>
              <w:t>71.17%</w:t>
            </w:r>
          </w:p>
        </w:tc>
        <w:tc>
          <w:tcPr>
            <w:tcW w:w="596" w:type="dxa"/>
          </w:tcPr>
          <w:p w14:paraId="36973F0F" w14:textId="77777777" w:rsidR="00232310" w:rsidRDefault="00BD5790">
            <w:pPr>
              <w:rPr>
                <w:rFonts w:hint="eastAsia"/>
              </w:rPr>
            </w:pPr>
            <w:r>
              <w:t>0.658</w:t>
            </w:r>
          </w:p>
        </w:tc>
        <w:tc>
          <w:tcPr>
            <w:tcW w:w="596" w:type="dxa"/>
          </w:tcPr>
          <w:p w14:paraId="635AE7E8" w14:textId="77777777" w:rsidR="00232310" w:rsidRDefault="00BD5790">
            <w:pPr>
              <w:rPr>
                <w:rFonts w:hint="eastAsia"/>
              </w:rPr>
            </w:pPr>
            <w:r>
              <w:t>0.957</w:t>
            </w:r>
          </w:p>
        </w:tc>
        <w:tc>
          <w:tcPr>
            <w:tcW w:w="906" w:type="dxa"/>
          </w:tcPr>
          <w:p w14:paraId="317F97BC" w14:textId="77777777" w:rsidR="00232310" w:rsidRDefault="00BD5790">
            <w:pPr>
              <w:rPr>
                <w:rFonts w:hint="eastAsia"/>
              </w:rPr>
            </w:pPr>
            <w:r>
              <w:t>0.679</w:t>
            </w:r>
          </w:p>
        </w:tc>
      </w:tr>
      <w:tr w:rsidR="00232310" w14:paraId="324C0E69" w14:textId="77777777">
        <w:tc>
          <w:tcPr>
            <w:tcW w:w="2231" w:type="dxa"/>
          </w:tcPr>
          <w:p w14:paraId="43F6C1E5" w14:textId="77777777" w:rsidR="00232310" w:rsidRDefault="00BD5790">
            <w:pPr>
              <w:rPr>
                <w:rFonts w:hint="eastAsia"/>
              </w:rPr>
            </w:pPr>
            <w:r>
              <w:t>LightGBM</w:t>
            </w:r>
          </w:p>
        </w:tc>
        <w:tc>
          <w:tcPr>
            <w:tcW w:w="1246" w:type="dxa"/>
          </w:tcPr>
          <w:p w14:paraId="6C7938BE" w14:textId="77777777" w:rsidR="00232310" w:rsidRDefault="00BD5790">
            <w:pPr>
              <w:rPr>
                <w:rFonts w:hint="eastAsia"/>
              </w:rPr>
            </w:pPr>
            <w:r>
              <w:t>62 维</w:t>
            </w:r>
          </w:p>
        </w:tc>
        <w:tc>
          <w:tcPr>
            <w:tcW w:w="792" w:type="dxa"/>
          </w:tcPr>
          <w:p w14:paraId="0182C6F7" w14:textId="77777777" w:rsidR="00232310" w:rsidRDefault="00BD5790">
            <w:pPr>
              <w:rPr>
                <w:rFonts w:hint="eastAsia"/>
              </w:rPr>
            </w:pPr>
            <w:r>
              <w:t>31.78%</w:t>
            </w:r>
          </w:p>
        </w:tc>
        <w:tc>
          <w:tcPr>
            <w:tcW w:w="928" w:type="dxa"/>
          </w:tcPr>
          <w:p w14:paraId="1117A19D" w14:textId="77777777" w:rsidR="00232310" w:rsidRDefault="00BD5790">
            <w:pPr>
              <w:rPr>
                <w:rFonts w:hint="eastAsia"/>
              </w:rPr>
            </w:pPr>
            <w:r>
              <w:t>97.62%</w:t>
            </w:r>
          </w:p>
        </w:tc>
        <w:tc>
          <w:tcPr>
            <w:tcW w:w="596" w:type="dxa"/>
          </w:tcPr>
          <w:p w14:paraId="529FBA22" w14:textId="77777777" w:rsidR="00232310" w:rsidRDefault="00BD5790">
            <w:pPr>
              <w:rPr>
                <w:rFonts w:hint="eastAsia"/>
              </w:rPr>
            </w:pPr>
            <w:r>
              <w:t>0.480</w:t>
            </w:r>
          </w:p>
        </w:tc>
        <w:tc>
          <w:tcPr>
            <w:tcW w:w="596" w:type="dxa"/>
          </w:tcPr>
          <w:p w14:paraId="54B4953C" w14:textId="77777777" w:rsidR="00232310" w:rsidRDefault="00BD5790">
            <w:pPr>
              <w:rPr>
                <w:rFonts w:hint="eastAsia"/>
              </w:rPr>
            </w:pPr>
            <w:r>
              <w:t>0.987</w:t>
            </w:r>
          </w:p>
        </w:tc>
        <w:tc>
          <w:tcPr>
            <w:tcW w:w="906" w:type="dxa"/>
          </w:tcPr>
          <w:p w14:paraId="2ECE1017" w14:textId="77777777" w:rsidR="00232310" w:rsidRDefault="00BD5790">
            <w:pPr>
              <w:rPr>
                <w:rFonts w:hint="eastAsia"/>
              </w:rPr>
            </w:pPr>
            <w:r>
              <w:t>0.868</w:t>
            </w:r>
          </w:p>
        </w:tc>
      </w:tr>
      <w:tr w:rsidR="00232310" w14:paraId="239BD559" w14:textId="77777777">
        <w:tc>
          <w:tcPr>
            <w:tcW w:w="2231" w:type="dxa"/>
          </w:tcPr>
          <w:p w14:paraId="2AD193A2" w14:textId="77777777" w:rsidR="00232310" w:rsidRDefault="00BD5790">
            <w:pPr>
              <w:rPr>
                <w:rFonts w:hint="eastAsia"/>
              </w:rPr>
            </w:pPr>
            <w:r>
              <w:t>XGBoost</w:t>
            </w:r>
          </w:p>
        </w:tc>
        <w:tc>
          <w:tcPr>
            <w:tcW w:w="1246" w:type="dxa"/>
          </w:tcPr>
          <w:p w14:paraId="45197E40" w14:textId="77777777" w:rsidR="00232310" w:rsidRDefault="00BD5790">
            <w:pPr>
              <w:rPr>
                <w:rFonts w:hint="eastAsia"/>
              </w:rPr>
            </w:pPr>
            <w:r>
              <w:t>62 维</w:t>
            </w:r>
          </w:p>
        </w:tc>
        <w:tc>
          <w:tcPr>
            <w:tcW w:w="792" w:type="dxa"/>
          </w:tcPr>
          <w:p w14:paraId="7E0D3344" w14:textId="77777777" w:rsidR="00232310" w:rsidRDefault="00BD5790">
            <w:pPr>
              <w:rPr>
                <w:rFonts w:hint="eastAsia"/>
              </w:rPr>
            </w:pPr>
            <w:r>
              <w:t>32.56%</w:t>
            </w:r>
          </w:p>
        </w:tc>
        <w:tc>
          <w:tcPr>
            <w:tcW w:w="928" w:type="dxa"/>
          </w:tcPr>
          <w:p w14:paraId="5B74A59F" w14:textId="77777777" w:rsidR="00232310" w:rsidRDefault="00BD5790">
            <w:pPr>
              <w:rPr>
                <w:rFonts w:hint="eastAsia"/>
              </w:rPr>
            </w:pPr>
            <w:r>
              <w:t>95.45%</w:t>
            </w:r>
          </w:p>
        </w:tc>
        <w:tc>
          <w:tcPr>
            <w:tcW w:w="596" w:type="dxa"/>
          </w:tcPr>
          <w:p w14:paraId="2502B096" w14:textId="77777777" w:rsidR="00232310" w:rsidRDefault="00BD5790">
            <w:pPr>
              <w:rPr>
                <w:rFonts w:hint="eastAsia"/>
              </w:rPr>
            </w:pPr>
            <w:r>
              <w:t>0.486</w:t>
            </w:r>
          </w:p>
        </w:tc>
        <w:tc>
          <w:tcPr>
            <w:tcW w:w="596" w:type="dxa"/>
          </w:tcPr>
          <w:p w14:paraId="733D2C93" w14:textId="77777777" w:rsidR="00232310" w:rsidRDefault="00BD5790">
            <w:pPr>
              <w:rPr>
                <w:rFonts w:hint="eastAsia"/>
              </w:rPr>
            </w:pPr>
            <w:r>
              <w:t>0.991</w:t>
            </w:r>
          </w:p>
        </w:tc>
        <w:tc>
          <w:tcPr>
            <w:tcW w:w="906" w:type="dxa"/>
          </w:tcPr>
          <w:p w14:paraId="0CE40B8D" w14:textId="77777777" w:rsidR="00232310" w:rsidRDefault="00BD5790">
            <w:pPr>
              <w:rPr>
                <w:rFonts w:hint="eastAsia"/>
              </w:rPr>
            </w:pPr>
            <w:r>
              <w:t>0.887</w:t>
            </w:r>
          </w:p>
        </w:tc>
      </w:tr>
      <w:tr w:rsidR="00232310" w14:paraId="2F2CFFD4" w14:textId="77777777">
        <w:tc>
          <w:tcPr>
            <w:tcW w:w="2231" w:type="dxa"/>
          </w:tcPr>
          <w:p w14:paraId="2C5488DB" w14:textId="77777777" w:rsidR="00232310" w:rsidRDefault="00BD5790">
            <w:pPr>
              <w:rPr>
                <w:rFonts w:hint="eastAsia"/>
              </w:rPr>
            </w:pPr>
            <w:r>
              <w:t>Token-Attn(7-seed 集成)</w:t>
            </w:r>
          </w:p>
        </w:tc>
        <w:tc>
          <w:tcPr>
            <w:tcW w:w="1246" w:type="dxa"/>
          </w:tcPr>
          <w:p w14:paraId="42130503" w14:textId="77777777" w:rsidR="00232310" w:rsidRDefault="00BD5790">
            <w:pPr>
              <w:rPr>
                <w:rFonts w:hint="eastAsia"/>
              </w:rPr>
            </w:pPr>
            <w:r>
              <w:t>6 通道+62 维</w:t>
            </w:r>
          </w:p>
        </w:tc>
        <w:tc>
          <w:tcPr>
            <w:tcW w:w="792" w:type="dxa"/>
          </w:tcPr>
          <w:p w14:paraId="6EB41A8E" w14:textId="77777777" w:rsidR="00232310" w:rsidRDefault="00BD5790">
            <w:pPr>
              <w:rPr>
                <w:rFonts w:hint="eastAsia"/>
              </w:rPr>
            </w:pPr>
            <w:r>
              <w:t>68.99%</w:t>
            </w:r>
          </w:p>
        </w:tc>
        <w:tc>
          <w:tcPr>
            <w:tcW w:w="928" w:type="dxa"/>
          </w:tcPr>
          <w:p w14:paraId="0E6BAAF5" w14:textId="77777777" w:rsidR="00232310" w:rsidRDefault="00BD5790">
            <w:pPr>
              <w:rPr>
                <w:rFonts w:hint="eastAsia"/>
              </w:rPr>
            </w:pPr>
            <w:r>
              <w:t>93.68%</w:t>
            </w:r>
          </w:p>
        </w:tc>
        <w:tc>
          <w:tcPr>
            <w:tcW w:w="596" w:type="dxa"/>
          </w:tcPr>
          <w:p w14:paraId="538A25BC" w14:textId="77777777" w:rsidR="00232310" w:rsidRDefault="00BD5790">
            <w:pPr>
              <w:rPr>
                <w:rFonts w:hint="eastAsia"/>
              </w:rPr>
            </w:pPr>
            <w:r>
              <w:t>0.795</w:t>
            </w:r>
          </w:p>
        </w:tc>
        <w:tc>
          <w:tcPr>
            <w:tcW w:w="596" w:type="dxa"/>
          </w:tcPr>
          <w:p w14:paraId="75D687FE" w14:textId="77777777" w:rsidR="00232310" w:rsidRDefault="00BD5790">
            <w:pPr>
              <w:rPr>
                <w:rFonts w:hint="eastAsia"/>
              </w:rPr>
            </w:pPr>
            <w:r>
              <w:t>0.990</w:t>
            </w:r>
          </w:p>
        </w:tc>
        <w:tc>
          <w:tcPr>
            <w:tcW w:w="906" w:type="dxa"/>
          </w:tcPr>
          <w:p w14:paraId="422C0E4A" w14:textId="77777777" w:rsidR="00232310" w:rsidRDefault="00BD5790">
            <w:pPr>
              <w:rPr>
                <w:rFonts w:hint="eastAsia"/>
              </w:rPr>
            </w:pPr>
            <w:r>
              <w:t>0.918</w:t>
            </w:r>
          </w:p>
        </w:tc>
      </w:tr>
    </w:tbl>
    <w:p w14:paraId="6C5F44C6" w14:textId="5E9F4766" w:rsidR="003D0306" w:rsidRDefault="003D0306">
      <w:pPr>
        <w:pStyle w:val="a3"/>
        <w:rPr>
          <w:rFonts w:ascii="Times New Roman" w:hAnsi="Times New Roman" w:cs="Times New Roman"/>
          <w:b/>
          <w:bCs/>
          <w:color w:val="000000"/>
          <w:sz w:val="21"/>
          <w:szCs w:val="21"/>
        </w:rPr>
      </w:pPr>
      <w:r>
        <w:rPr>
          <w:rFonts w:ascii="Times New Roman" w:hAnsi="Times New Roman" w:cs="Times New Roman" w:hint="eastAsia"/>
          <w:b/>
          <w:bCs/>
          <w:color w:val="000000"/>
          <w:sz w:val="21"/>
          <w:szCs w:val="21"/>
        </w:rPr>
        <w:t>注</w:t>
      </w:r>
      <w:r>
        <w:rPr>
          <w:rFonts w:ascii="Times New Roman" w:hAnsi="Times New Roman" w:cs="Times New Roman" w:hint="eastAsia"/>
          <w:b/>
          <w:bCs/>
          <w:color w:val="000000"/>
          <w:sz w:val="21"/>
          <w:szCs w:val="21"/>
        </w:rPr>
        <w:t>:</w:t>
      </w:r>
      <w:r w:rsidR="005D4F3E">
        <w:rPr>
          <w:rFonts w:ascii="Times New Roman" w:hAnsi="Times New Roman" w:cs="Times New Roman" w:hint="eastAsia"/>
          <w:b/>
          <w:bCs/>
          <w:color w:val="000000"/>
          <w:sz w:val="21"/>
          <w:szCs w:val="21"/>
        </w:rPr>
        <w:t>其余深度模型均为单</w:t>
      </w:r>
      <w:r w:rsidR="005D4F3E">
        <w:rPr>
          <w:rFonts w:ascii="Times New Roman" w:hAnsi="Times New Roman" w:cs="Times New Roman" w:hint="eastAsia"/>
          <w:b/>
          <w:bCs/>
          <w:color w:val="000000"/>
          <w:sz w:val="21"/>
          <w:szCs w:val="21"/>
        </w:rPr>
        <w:t xml:space="preserve"> seed</w:t>
      </w:r>
      <w:r>
        <w:rPr>
          <w:rFonts w:ascii="Times New Roman" w:hAnsi="Times New Roman" w:cs="Times New Roman" w:hint="eastAsia"/>
          <w:b/>
          <w:bCs/>
          <w:color w:val="000000"/>
          <w:sz w:val="21"/>
          <w:szCs w:val="21"/>
        </w:rPr>
        <w:t>(42)</w:t>
      </w:r>
      <w:r>
        <w:rPr>
          <w:rFonts w:ascii="Times New Roman" w:hAnsi="Times New Roman" w:cs="Times New Roman" w:hint="eastAsia"/>
          <w:b/>
          <w:bCs/>
          <w:color w:val="000000"/>
          <w:sz w:val="21"/>
          <w:szCs w:val="21"/>
        </w:rPr>
        <w:t>结果</w:t>
      </w:r>
      <w:r>
        <w:rPr>
          <w:rFonts w:ascii="Times New Roman" w:hAnsi="Times New Roman" w:cs="Times New Roman" w:hint="eastAsia"/>
          <w:b/>
          <w:bCs/>
          <w:color w:val="000000"/>
          <w:sz w:val="21"/>
          <w:szCs w:val="21"/>
        </w:rPr>
        <w:t xml:space="preserve">,SOTA </w:t>
      </w:r>
      <w:r>
        <w:rPr>
          <w:rFonts w:ascii="Times New Roman" w:hAnsi="Times New Roman" w:cs="Times New Roman" w:hint="eastAsia"/>
          <w:b/>
          <w:bCs/>
          <w:color w:val="000000"/>
          <w:sz w:val="21"/>
          <w:szCs w:val="21"/>
        </w:rPr>
        <w:t>深度模型的</w:t>
      </w:r>
      <w:r>
        <w:rPr>
          <w:rFonts w:ascii="Times New Roman" w:hAnsi="Times New Roman" w:cs="Times New Roman" w:hint="eastAsia"/>
          <w:b/>
          <w:bCs/>
          <w:color w:val="000000"/>
          <w:sz w:val="21"/>
          <w:szCs w:val="21"/>
        </w:rPr>
        <w:t xml:space="preserve"> PR-AUC </w:t>
      </w:r>
      <w:r>
        <w:rPr>
          <w:rFonts w:ascii="Times New Roman" w:hAnsi="Times New Roman" w:cs="Times New Roman" w:hint="eastAsia"/>
          <w:b/>
          <w:bCs/>
          <w:color w:val="000000"/>
          <w:sz w:val="21"/>
          <w:szCs w:val="21"/>
        </w:rPr>
        <w:t>均低于</w:t>
      </w:r>
      <w:r>
        <w:rPr>
          <w:rFonts w:ascii="Times New Roman" w:hAnsi="Times New Roman" w:cs="Times New Roman" w:hint="eastAsia"/>
          <w:b/>
          <w:bCs/>
          <w:color w:val="000000"/>
          <w:sz w:val="21"/>
          <w:szCs w:val="21"/>
        </w:rPr>
        <w:t xml:space="preserve"> GBDT</w:t>
      </w:r>
      <w:r>
        <w:rPr>
          <w:rFonts w:ascii="Times New Roman" w:hAnsi="Times New Roman" w:cs="Times New Roman" w:hint="eastAsia"/>
          <w:b/>
          <w:bCs/>
          <w:color w:val="000000"/>
          <w:sz w:val="21"/>
          <w:szCs w:val="21"/>
        </w:rPr>
        <w:t>。</w:t>
      </w:r>
      <w:r>
        <w:rPr>
          <w:rFonts w:ascii="Times New Roman" w:hAnsi="Times New Roman" w:cs="Times New Roman" w:hint="eastAsia"/>
          <w:b/>
          <w:bCs/>
          <w:color w:val="000000"/>
          <w:sz w:val="21"/>
          <w:szCs w:val="21"/>
        </w:rPr>
        <w:t xml:space="preserve">Token-Attn </w:t>
      </w:r>
      <w:r>
        <w:rPr>
          <w:rFonts w:ascii="Times New Roman" w:hAnsi="Times New Roman" w:cs="Times New Roman" w:hint="eastAsia"/>
          <w:b/>
          <w:bCs/>
          <w:color w:val="000000"/>
          <w:sz w:val="21"/>
          <w:szCs w:val="21"/>
        </w:rPr>
        <w:t>采用查准率优先的默认阈值</w:t>
      </w:r>
      <w:r>
        <w:rPr>
          <w:rFonts w:ascii="Times New Roman" w:hAnsi="Times New Roman" w:cs="Times New Roman" w:hint="eastAsia"/>
          <w:b/>
          <w:bCs/>
          <w:color w:val="000000"/>
          <w:sz w:val="21"/>
          <w:szCs w:val="21"/>
        </w:rPr>
        <w:t>,</w:t>
      </w:r>
      <w:r>
        <w:rPr>
          <w:rFonts w:ascii="Times New Roman" w:hAnsi="Times New Roman" w:cs="Times New Roman" w:hint="eastAsia"/>
          <w:b/>
          <w:bCs/>
          <w:color w:val="000000"/>
          <w:sz w:val="21"/>
          <w:szCs w:val="21"/>
        </w:rPr>
        <w:t>故</w:t>
      </w:r>
      <w:r>
        <w:rPr>
          <w:rFonts w:ascii="Times New Roman" w:hAnsi="Times New Roman" w:cs="Times New Roman" w:hint="eastAsia"/>
          <w:b/>
          <w:bCs/>
          <w:color w:val="000000"/>
          <w:sz w:val="21"/>
          <w:szCs w:val="21"/>
        </w:rPr>
        <w:t xml:space="preserve"> Recall </w:t>
      </w:r>
      <w:r>
        <w:rPr>
          <w:rFonts w:ascii="Times New Roman" w:hAnsi="Times New Roman" w:cs="Times New Roman" w:hint="eastAsia"/>
          <w:b/>
          <w:bCs/>
          <w:color w:val="000000"/>
          <w:sz w:val="21"/>
          <w:szCs w:val="21"/>
        </w:rPr>
        <w:t>略低于</w:t>
      </w:r>
      <w:r>
        <w:rPr>
          <w:rFonts w:ascii="Times New Roman" w:hAnsi="Times New Roman" w:cs="Times New Roman" w:hint="eastAsia"/>
          <w:b/>
          <w:bCs/>
          <w:color w:val="000000"/>
          <w:sz w:val="21"/>
          <w:szCs w:val="21"/>
        </w:rPr>
        <w:t xml:space="preserve"> Bi-LSTM </w:t>
      </w:r>
      <w:r>
        <w:rPr>
          <w:rFonts w:ascii="Times New Roman" w:hAnsi="Times New Roman" w:cs="Times New Roman" w:hint="eastAsia"/>
          <w:b/>
          <w:bCs/>
          <w:color w:val="000000"/>
          <w:sz w:val="21"/>
          <w:szCs w:val="21"/>
        </w:rPr>
        <w:t>而</w:t>
      </w:r>
      <w:r>
        <w:rPr>
          <w:rFonts w:ascii="Times New Roman" w:hAnsi="Times New Roman" w:cs="Times New Roman" w:hint="eastAsia"/>
          <w:b/>
          <w:bCs/>
          <w:color w:val="000000"/>
          <w:sz w:val="21"/>
          <w:szCs w:val="21"/>
        </w:rPr>
        <w:t xml:space="preserve"> Precision </w:t>
      </w:r>
      <w:r>
        <w:rPr>
          <w:rFonts w:ascii="Times New Roman" w:hAnsi="Times New Roman" w:cs="Times New Roman" w:hint="eastAsia"/>
          <w:b/>
          <w:bCs/>
          <w:color w:val="000000"/>
          <w:sz w:val="21"/>
          <w:szCs w:val="21"/>
        </w:rPr>
        <w:t>与</w:t>
      </w:r>
      <w:r>
        <w:rPr>
          <w:rFonts w:ascii="Times New Roman" w:hAnsi="Times New Roman" w:cs="Times New Roman" w:hint="eastAsia"/>
          <w:b/>
          <w:bCs/>
          <w:color w:val="000000"/>
          <w:sz w:val="21"/>
          <w:szCs w:val="21"/>
        </w:rPr>
        <w:t xml:space="preserve"> F1 </w:t>
      </w:r>
      <w:r>
        <w:rPr>
          <w:rFonts w:ascii="Times New Roman" w:hAnsi="Times New Roman" w:cs="Times New Roman" w:hint="eastAsia"/>
          <w:b/>
          <w:bCs/>
          <w:color w:val="000000"/>
          <w:sz w:val="21"/>
          <w:szCs w:val="21"/>
        </w:rPr>
        <w:t>显著更优</w:t>
      </w:r>
      <w:r>
        <w:rPr>
          <w:rFonts w:ascii="Times New Roman" w:hAnsi="Times New Roman" w:cs="Times New Roman" w:hint="eastAsia"/>
          <w:b/>
          <w:bCs/>
          <w:color w:val="000000"/>
          <w:sz w:val="21"/>
          <w:szCs w:val="21"/>
        </w:rPr>
        <w:t>;</w:t>
      </w:r>
      <w:r>
        <w:rPr>
          <w:rFonts w:ascii="Times New Roman" w:hAnsi="Times New Roman" w:cs="Times New Roman" w:hint="eastAsia"/>
          <w:b/>
          <w:bCs/>
          <w:color w:val="000000"/>
          <w:sz w:val="21"/>
          <w:szCs w:val="21"/>
        </w:rPr>
        <w:t>对漏检敏感的场景可通过调低阈值提升召回。</w:t>
      </w:r>
    </w:p>
    <w:p w14:paraId="1DDE5B30"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b/>
          <w:bCs/>
          <w:color w:val="000000"/>
          <w:sz w:val="21"/>
          <w:szCs w:val="21"/>
        </w:rPr>
        <w:t>成因机制</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由三路归因与</w:t>
      </w:r>
      <w:r>
        <w:rPr>
          <w:rFonts w:ascii="Times New Roman" w:hAnsi="Times New Roman" w:cs="Times New Roman"/>
          <w:b/>
          <w:bCs/>
          <w:color w:val="000000"/>
          <w:sz w:val="21"/>
          <w:szCs w:val="21"/>
        </w:rPr>
        <w:t xml:space="preserve"> 129 </w:t>
      </w:r>
      <w:r>
        <w:rPr>
          <w:rFonts w:ascii="Times New Roman" w:hAnsi="Times New Roman" w:cs="Times New Roman"/>
          <w:b/>
          <w:bCs/>
          <w:color w:val="000000"/>
          <w:sz w:val="21"/>
          <w:szCs w:val="21"/>
        </w:rPr>
        <w:t>个故障样本实测导出</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三路归因表明枪温统计量与基础统计量主导判别</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异常时注意力向中后段漂移。</w:t>
      </w:r>
      <w:r>
        <w:rPr>
          <w:rFonts w:ascii="Times New Roman" w:hAnsi="Times New Roman" w:cs="Times New Roman"/>
          <w:b/>
          <w:bCs/>
          <w:color w:val="000000"/>
          <w:sz w:val="21"/>
          <w:szCs w:val="21"/>
        </w:rPr>
        <w:t xml:space="preserve">129 </w:t>
      </w:r>
      <w:r>
        <w:rPr>
          <w:rFonts w:ascii="Times New Roman" w:hAnsi="Times New Roman" w:cs="Times New Roman"/>
          <w:b/>
          <w:bCs/>
          <w:color w:val="000000"/>
          <w:sz w:val="21"/>
          <w:szCs w:val="21"/>
        </w:rPr>
        <w:t>个测试故障分为电气中断型</w:t>
      </w:r>
      <w:r>
        <w:rPr>
          <w:rFonts w:ascii="Times New Roman" w:hAnsi="Times New Roman" w:cs="Times New Roman"/>
          <w:b/>
          <w:bCs/>
          <w:color w:val="000000"/>
          <w:sz w:val="21"/>
          <w:szCs w:val="21"/>
        </w:rPr>
        <w:t>(95.3%)</w:t>
      </w:r>
      <w:r>
        <w:rPr>
          <w:rFonts w:ascii="Times New Roman" w:hAnsi="Times New Roman" w:cs="Times New Roman"/>
          <w:b/>
          <w:bCs/>
          <w:color w:val="000000"/>
          <w:sz w:val="21"/>
          <w:szCs w:val="21"/>
        </w:rPr>
        <w:t>与超温型</w:t>
      </w:r>
      <w:r>
        <w:rPr>
          <w:rFonts w:ascii="Times New Roman" w:hAnsi="Times New Roman" w:cs="Times New Roman"/>
          <w:b/>
          <w:bCs/>
          <w:color w:val="000000"/>
          <w:sz w:val="21"/>
          <w:szCs w:val="21"/>
        </w:rPr>
        <w:t>(4.7%);</w:t>
      </w:r>
      <w:r>
        <w:rPr>
          <w:rFonts w:ascii="Times New Roman" w:hAnsi="Times New Roman" w:cs="Times New Roman"/>
          <w:b/>
          <w:bCs/>
          <w:color w:val="000000"/>
          <w:sz w:val="21"/>
          <w:szCs w:val="21"/>
        </w:rPr>
        <w:t>故障本质是</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高功率未衰减的异常终止</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末端</w:t>
      </w:r>
      <w:r>
        <w:rPr>
          <w:rFonts w:ascii="Times New Roman" w:hAnsi="Times New Roman" w:cs="Times New Roman"/>
          <w:b/>
          <w:bCs/>
          <w:color w:val="000000"/>
          <w:sz w:val="21"/>
          <w:szCs w:val="21"/>
        </w:rPr>
        <w:t xml:space="preserve"> SOC 84% vs </w:t>
      </w:r>
      <w:r>
        <w:rPr>
          <w:rFonts w:ascii="Times New Roman" w:hAnsi="Times New Roman" w:cs="Times New Roman"/>
          <w:b/>
          <w:bCs/>
          <w:color w:val="000000"/>
          <w:sz w:val="21"/>
          <w:szCs w:val="21"/>
        </w:rPr>
        <w:t>正常</w:t>
      </w:r>
      <w:r>
        <w:rPr>
          <w:rFonts w:ascii="Times New Roman" w:hAnsi="Times New Roman" w:cs="Times New Roman"/>
          <w:b/>
          <w:bCs/>
          <w:color w:val="000000"/>
          <w:sz w:val="21"/>
          <w:szCs w:val="21"/>
        </w:rPr>
        <w:t xml:space="preserve"> 98%),</w:t>
      </w:r>
      <w:r>
        <w:rPr>
          <w:rFonts w:ascii="Times New Roman" w:hAnsi="Times New Roman" w:cs="Times New Roman"/>
          <w:b/>
          <w:bCs/>
          <w:color w:val="000000"/>
          <w:sz w:val="21"/>
          <w:szCs w:val="21"/>
        </w:rPr>
        <w:t>温度升高是充电时长的伴随结果而非原因。</w:t>
      </w:r>
    </w:p>
    <w:p w14:paraId="765D12A1" w14:textId="77777777" w:rsidR="00F81EC0" w:rsidRDefault="00F81EC0">
      <w:pPr>
        <w:pStyle w:val="2"/>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结论</w:t>
      </w:r>
    </w:p>
    <w:p w14:paraId="6BA0B4A7"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color w:val="000000"/>
          <w:sz w:val="21"/>
          <w:szCs w:val="21"/>
        </w:rPr>
        <w:t>本文贡献</w:t>
      </w:r>
      <w:r>
        <w:rPr>
          <w:rFonts w:ascii="Times New Roman" w:hAnsi="Times New Roman" w:cs="Times New Roman"/>
          <w:color w:val="000000"/>
          <w:sz w:val="21"/>
          <w:szCs w:val="21"/>
        </w:rPr>
        <w:t>:(1)</w:t>
      </w:r>
      <w:r>
        <w:rPr>
          <w:rFonts w:ascii="Times New Roman" w:hAnsi="Times New Roman" w:cs="Times New Roman"/>
          <w:color w:val="000000"/>
          <w:sz w:val="21"/>
          <w:szCs w:val="21"/>
        </w:rPr>
        <w:t>揭示</w:t>
      </w:r>
      <w:r>
        <w:rPr>
          <w:rFonts w:ascii="Times New Roman" w:hAnsi="Times New Roman" w:cs="Times New Roman"/>
          <w:color w:val="000000"/>
          <w:sz w:val="21"/>
          <w:szCs w:val="21"/>
        </w:rPr>
        <w:t>"</w:t>
      </w:r>
      <w:r>
        <w:rPr>
          <w:rFonts w:ascii="Times New Roman" w:hAnsi="Times New Roman" w:cs="Times New Roman"/>
          <w:color w:val="000000"/>
          <w:sz w:val="21"/>
          <w:szCs w:val="21"/>
        </w:rPr>
        <w:t>大电流高功率段突然中断</w:t>
      </w:r>
      <w:r>
        <w:rPr>
          <w:rFonts w:ascii="Times New Roman" w:hAnsi="Times New Roman" w:cs="Times New Roman"/>
          <w:color w:val="000000"/>
          <w:sz w:val="21"/>
          <w:szCs w:val="21"/>
        </w:rPr>
        <w:t>"</w:t>
      </w:r>
      <w:r>
        <w:rPr>
          <w:rFonts w:ascii="Times New Roman" w:hAnsi="Times New Roman" w:cs="Times New Roman"/>
          <w:color w:val="000000"/>
          <w:sz w:val="21"/>
          <w:szCs w:val="21"/>
        </w:rPr>
        <w:t>的故障指纹</w:t>
      </w:r>
      <w:r>
        <w:rPr>
          <w:rFonts w:ascii="Times New Roman" w:hAnsi="Times New Roman" w:cs="Times New Roman"/>
          <w:color w:val="000000"/>
          <w:sz w:val="21"/>
          <w:szCs w:val="21"/>
        </w:rPr>
        <w:t>;(2)</w:t>
      </w:r>
      <w:r>
        <w:rPr>
          <w:rFonts w:ascii="Times New Roman" w:hAnsi="Times New Roman" w:cs="Times New Roman"/>
          <w:color w:val="000000"/>
          <w:sz w:val="21"/>
          <w:szCs w:val="21"/>
        </w:rPr>
        <w:t>构建</w:t>
      </w:r>
      <w:r>
        <w:rPr>
          <w:rFonts w:ascii="Times New Roman" w:hAnsi="Times New Roman" w:cs="Times New Roman"/>
          <w:color w:val="000000"/>
          <w:sz w:val="21"/>
          <w:szCs w:val="21"/>
        </w:rPr>
        <w:t xml:space="preserve"> Token-Attn,</w:t>
      </w:r>
      <w:r>
        <w:rPr>
          <w:rFonts w:ascii="Times New Roman" w:hAnsi="Times New Roman" w:cs="Times New Roman"/>
          <w:color w:val="000000"/>
          <w:sz w:val="21"/>
          <w:szCs w:val="21"/>
        </w:rPr>
        <w:t>跨站点达</w:t>
      </w:r>
      <w:r>
        <w:rPr>
          <w:rFonts w:ascii="Times New Roman" w:hAnsi="Times New Roman" w:cs="Times New Roman"/>
          <w:color w:val="000000"/>
          <w:sz w:val="21"/>
          <w:szCs w:val="21"/>
        </w:rPr>
        <w:t xml:space="preserve"> PR-AUC=0.918,</w:t>
      </w:r>
      <w:r>
        <w:rPr>
          <w:rFonts w:ascii="Times New Roman" w:hAnsi="Times New Roman" w:cs="Times New Roman"/>
          <w:color w:val="000000"/>
          <w:sz w:val="21"/>
          <w:szCs w:val="21"/>
        </w:rPr>
        <w:t>达到并部分超过</w:t>
      </w:r>
      <w:r>
        <w:rPr>
          <w:rFonts w:ascii="Times New Roman" w:hAnsi="Times New Roman" w:cs="Times New Roman"/>
          <w:color w:val="000000"/>
          <w:sz w:val="21"/>
          <w:szCs w:val="21"/>
        </w:rPr>
        <w:t xml:space="preserve"> GBDT;(3)</w:t>
      </w:r>
      <w:r>
        <w:rPr>
          <w:rFonts w:ascii="Times New Roman" w:hAnsi="Times New Roman" w:cs="Times New Roman"/>
          <w:color w:val="000000"/>
          <w:sz w:val="21"/>
          <w:szCs w:val="21"/>
        </w:rPr>
        <w:t>多视角可解释归因与成因机制分析</w:t>
      </w:r>
      <w:r>
        <w:rPr>
          <w:rFonts w:ascii="Times New Roman" w:hAnsi="Times New Roman" w:cs="Times New Roman"/>
          <w:color w:val="000000"/>
          <w:sz w:val="21"/>
          <w:szCs w:val="21"/>
        </w:rPr>
        <w:t>;(4)</w:t>
      </w:r>
      <w:r>
        <w:rPr>
          <w:rFonts w:ascii="Times New Roman" w:hAnsi="Times New Roman" w:cs="Times New Roman"/>
          <w:color w:val="000000"/>
          <w:sz w:val="21"/>
          <w:szCs w:val="21"/>
        </w:rPr>
        <w:t>面向</w:t>
      </w:r>
      <w:r>
        <w:rPr>
          <w:rFonts w:ascii="Times New Roman" w:hAnsi="Times New Roman" w:cs="Times New Roman"/>
          <w:color w:val="000000"/>
          <w:sz w:val="21"/>
          <w:szCs w:val="21"/>
        </w:rPr>
        <w:t xml:space="preserve"> EU AI Act </w:t>
      </w:r>
      <w:r>
        <w:rPr>
          <w:rFonts w:ascii="Times New Roman" w:hAnsi="Times New Roman" w:cs="Times New Roman"/>
          <w:color w:val="000000"/>
          <w:sz w:val="21"/>
          <w:szCs w:val="21"/>
        </w:rPr>
        <w:t>的合规方案</w:t>
      </w:r>
      <w:r>
        <w:rPr>
          <w:rFonts w:ascii="Times New Roman" w:hAnsi="Times New Roman" w:cs="Times New Roman"/>
          <w:color w:val="000000"/>
          <w:sz w:val="21"/>
          <w:szCs w:val="21"/>
        </w:rPr>
        <w:t>(</w:t>
      </w:r>
      <w:r>
        <w:rPr>
          <w:rFonts w:ascii="Times New Roman" w:hAnsi="Times New Roman" w:cs="Times New Roman"/>
          <w:color w:val="000000"/>
          <w:sz w:val="21"/>
          <w:szCs w:val="21"/>
        </w:rPr>
        <w:t>义务映射、审计日志、模型卡片</w:t>
      </w:r>
      <w:r>
        <w:rPr>
          <w:rFonts w:ascii="Times New Roman" w:hAnsi="Times New Roman" w:cs="Times New Roman"/>
          <w:color w:val="000000"/>
          <w:sz w:val="21"/>
          <w:szCs w:val="21"/>
        </w:rPr>
        <w:t xml:space="preserve"> [3])</w:t>
      </w:r>
      <w:r>
        <w:rPr>
          <w:rFonts w:ascii="Times New Roman" w:hAnsi="Times New Roman" w:cs="Times New Roman"/>
          <w:color w:val="000000"/>
          <w:sz w:val="21"/>
          <w:szCs w:val="21"/>
        </w:rPr>
        <w:t>。</w:t>
      </w:r>
    </w:p>
    <w:p w14:paraId="0F3F68C7" w14:textId="77777777" w:rsidR="00F81EC0" w:rsidRDefault="00F81EC0">
      <w:pPr>
        <w:pStyle w:val="2"/>
        <w:rPr>
          <w:rFonts w:ascii="Times New Roman" w:hAnsi="Times New Roman" w:cs="Times New Roman"/>
        </w:rPr>
      </w:pPr>
      <w:r>
        <w:rPr>
          <w:rFonts w:ascii="Times New Roman" w:hAnsi="Times New Roman" w:cs="Times New Roman"/>
        </w:rPr>
        <w:t>参考文献</w:t>
      </w:r>
    </w:p>
    <w:p w14:paraId="0EA34262" w14:textId="77777777" w:rsidR="00F81EC0" w:rsidRDefault="00F81EC0">
      <w:pPr>
        <w:spacing w:before="30" w:after="30"/>
        <w:divId w:val="2053571816"/>
        <w:rPr>
          <w:rFonts w:ascii="Times New Roman" w:hAnsi="Times New Roman" w:cs="Times New Roman"/>
          <w:color w:val="000000"/>
          <w:sz w:val="18"/>
          <w:szCs w:val="18"/>
        </w:rPr>
      </w:pPr>
      <w:r>
        <w:rPr>
          <w:rFonts w:ascii="Times New Roman" w:hAnsi="Times New Roman" w:cs="Times New Roman"/>
          <w:color w:val="000000"/>
          <w:sz w:val="18"/>
          <w:szCs w:val="18"/>
        </w:rPr>
        <w:t>[1] Yang H, Tian J, Mai W, et al. Privacy-preserving collaborative battery fault warning for massive electric vehicles by heterogeneous data from charging stations. Nature Communications, 2026, 17: 974.</w:t>
      </w:r>
    </w:p>
    <w:p w14:paraId="283663E6" w14:textId="77777777" w:rsidR="00F81EC0" w:rsidRDefault="00F81EC0">
      <w:pPr>
        <w:spacing w:before="30" w:after="30"/>
        <w:divId w:val="2053571816"/>
        <w:rPr>
          <w:rFonts w:ascii="Times New Roman" w:hAnsi="Times New Roman" w:cs="Times New Roman"/>
          <w:color w:val="000000"/>
          <w:sz w:val="18"/>
          <w:szCs w:val="18"/>
        </w:rPr>
      </w:pPr>
      <w:r>
        <w:rPr>
          <w:rFonts w:ascii="Times New Roman" w:hAnsi="Times New Roman" w:cs="Times New Roman"/>
          <w:color w:val="000000"/>
          <w:sz w:val="18"/>
          <w:szCs w:val="18"/>
        </w:rPr>
        <w:t>[2] Regulation (EU) 2024/1689 - EU AI Act. Official Journal of the European Union, 2024.</w:t>
      </w:r>
    </w:p>
    <w:p w14:paraId="49A32E2B" w14:textId="77777777" w:rsidR="00F81EC0" w:rsidRDefault="00F81EC0">
      <w:pPr>
        <w:spacing w:before="30" w:after="30"/>
        <w:divId w:val="2053571816"/>
        <w:rPr>
          <w:rFonts w:ascii="Times New Roman" w:hAnsi="Times New Roman" w:cs="Times New Roman"/>
          <w:color w:val="000000"/>
          <w:sz w:val="18"/>
          <w:szCs w:val="18"/>
        </w:rPr>
      </w:pPr>
      <w:r>
        <w:rPr>
          <w:rFonts w:ascii="Times New Roman" w:hAnsi="Times New Roman" w:cs="Times New Roman"/>
          <w:color w:val="000000"/>
          <w:sz w:val="18"/>
          <w:szCs w:val="18"/>
        </w:rPr>
        <w:t>[3] Mitchell M, et al. Model Cards for Model Reporting. FAccT 2019.</w:t>
      </w:r>
    </w:p>
    <w:sectPr w:rsidR="00F81EC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6E6E6" w14:textId="77777777" w:rsidR="0002241C" w:rsidRDefault="0002241C" w:rsidP="00B4389D">
      <w:pPr>
        <w:rPr>
          <w:rFonts w:hint="eastAsia"/>
        </w:rPr>
      </w:pPr>
      <w:r>
        <w:separator/>
      </w:r>
    </w:p>
  </w:endnote>
  <w:endnote w:type="continuationSeparator" w:id="0">
    <w:p w14:paraId="5F6D96EB" w14:textId="77777777" w:rsidR="0002241C" w:rsidRDefault="0002241C" w:rsidP="00B438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1E140" w14:textId="77777777" w:rsidR="0002241C" w:rsidRDefault="0002241C" w:rsidP="00B4389D">
      <w:pPr>
        <w:rPr>
          <w:rFonts w:hint="eastAsia"/>
        </w:rPr>
      </w:pPr>
      <w:r>
        <w:separator/>
      </w:r>
    </w:p>
  </w:footnote>
  <w:footnote w:type="continuationSeparator" w:id="0">
    <w:p w14:paraId="30065945" w14:textId="77777777" w:rsidR="0002241C" w:rsidRDefault="0002241C" w:rsidP="00B438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89D"/>
    <w:rsid w:val="0002241C"/>
    <w:rsid w:val="000822F6"/>
    <w:rsid w:val="00084FCE"/>
    <w:rsid w:val="001A09C2"/>
    <w:rsid w:val="00225A19"/>
    <w:rsid w:val="00232310"/>
    <w:rsid w:val="002B75FD"/>
    <w:rsid w:val="003D0306"/>
    <w:rsid w:val="005D4F3E"/>
    <w:rsid w:val="00810844"/>
    <w:rsid w:val="00954DC3"/>
    <w:rsid w:val="009E2525"/>
    <w:rsid w:val="00B4389D"/>
    <w:rsid w:val="00BD5790"/>
    <w:rsid w:val="00E53203"/>
    <w:rsid w:val="00F27CC9"/>
    <w:rsid w:val="00F81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AA25B0"/>
  <w15:chartTrackingRefBased/>
  <w15:docId w15:val="{0659322D-880A-4187-B482-3A4D5AB0F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after="90"/>
      <w:jc w:val="center"/>
      <w:outlineLvl w:val="0"/>
    </w:pPr>
    <w:rPr>
      <w:b/>
      <w:bCs/>
      <w:kern w:val="36"/>
      <w:sz w:val="28"/>
      <w:szCs w:val="28"/>
    </w:rPr>
  </w:style>
  <w:style w:type="paragraph" w:styleId="2">
    <w:name w:val="heading 2"/>
    <w:basedOn w:val="a"/>
    <w:link w:val="20"/>
    <w:uiPriority w:val="9"/>
    <w:qFormat/>
    <w:pPr>
      <w:spacing w:before="180" w:after="60"/>
      <w:outlineLvl w:val="1"/>
    </w:pPr>
    <w:rPr>
      <w:b/>
      <w:bCs/>
      <w:color w:val="00000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paragraph" w:customStyle="1" w:styleId="msonormal0">
    <w:name w:val="msonormal"/>
    <w:basedOn w:val="a"/>
    <w:pPr>
      <w:spacing w:before="60" w:after="60"/>
      <w:jc w:val="both"/>
    </w:pPr>
  </w:style>
  <w:style w:type="paragraph" w:styleId="a3">
    <w:name w:val="Normal (Web)"/>
    <w:basedOn w:val="a"/>
    <w:uiPriority w:val="99"/>
    <w:semiHidden/>
    <w:unhideWhenUsed/>
    <w:pPr>
      <w:spacing w:before="60" w:after="60"/>
      <w:jc w:val="both"/>
    </w:pPr>
  </w:style>
  <w:style w:type="paragraph" w:customStyle="1" w:styleId="authors">
    <w:name w:val="authors"/>
    <w:basedOn w:val="a"/>
    <w:pPr>
      <w:spacing w:before="30" w:after="30"/>
      <w:jc w:val="center"/>
    </w:pPr>
    <w:rPr>
      <w:sz w:val="22"/>
      <w:szCs w:val="22"/>
    </w:rPr>
  </w:style>
  <w:style w:type="paragraph" w:customStyle="1" w:styleId="affil">
    <w:name w:val="affil"/>
    <w:basedOn w:val="a"/>
    <w:pPr>
      <w:spacing w:before="15" w:after="15"/>
      <w:jc w:val="center"/>
    </w:pPr>
    <w:rPr>
      <w:color w:val="000000"/>
      <w:sz w:val="19"/>
      <w:szCs w:val="19"/>
    </w:rPr>
  </w:style>
  <w:style w:type="paragraph" w:customStyle="1" w:styleId="abstract">
    <w:name w:val="abstract"/>
    <w:basedOn w:val="a"/>
    <w:pPr>
      <w:spacing w:before="90" w:after="90"/>
      <w:ind w:left="150" w:right="150"/>
    </w:pPr>
  </w:style>
  <w:style w:type="paragraph" w:customStyle="1" w:styleId="kw">
    <w:name w:val="kw"/>
    <w:basedOn w:val="a"/>
    <w:pPr>
      <w:spacing w:before="60" w:after="60"/>
      <w:ind w:left="150" w:right="150"/>
    </w:pPr>
  </w:style>
  <w:style w:type="paragraph" w:customStyle="1" w:styleId="refs">
    <w:name w:val="refs"/>
    <w:basedOn w:val="a"/>
    <w:pPr>
      <w:spacing w:before="100" w:beforeAutospacing="1" w:after="100" w:afterAutospacing="1"/>
    </w:pPr>
    <w:rPr>
      <w:sz w:val="18"/>
      <w:szCs w:val="18"/>
    </w:rPr>
  </w:style>
  <w:style w:type="paragraph" w:customStyle="1" w:styleId="tabcap">
    <w:name w:val="tabcap"/>
    <w:basedOn w:val="a"/>
    <w:pPr>
      <w:spacing w:before="60" w:after="30"/>
      <w:jc w:val="center"/>
    </w:pPr>
    <w:rPr>
      <w:sz w:val="19"/>
      <w:szCs w:val="19"/>
    </w:rPr>
  </w:style>
  <w:style w:type="paragraph" w:styleId="a4">
    <w:name w:val="header"/>
    <w:basedOn w:val="a"/>
    <w:link w:val="a5"/>
    <w:uiPriority w:val="99"/>
    <w:unhideWhenUsed/>
    <w:rsid w:val="00B4389D"/>
    <w:pPr>
      <w:tabs>
        <w:tab w:val="center" w:pos="4153"/>
        <w:tab w:val="right" w:pos="8306"/>
      </w:tabs>
      <w:snapToGrid w:val="0"/>
      <w:jc w:val="center"/>
    </w:pPr>
    <w:rPr>
      <w:sz w:val="18"/>
      <w:szCs w:val="18"/>
    </w:rPr>
  </w:style>
  <w:style w:type="character" w:customStyle="1" w:styleId="a5">
    <w:name w:val="页眉 字符"/>
    <w:basedOn w:val="a0"/>
    <w:link w:val="a4"/>
    <w:uiPriority w:val="99"/>
    <w:rsid w:val="00B4389D"/>
    <w:rPr>
      <w:rFonts w:ascii="宋体" w:eastAsia="宋体" w:hAnsi="宋体" w:cs="宋体"/>
      <w:sz w:val="18"/>
      <w:szCs w:val="18"/>
    </w:rPr>
  </w:style>
  <w:style w:type="paragraph" w:styleId="a6">
    <w:name w:val="footer"/>
    <w:basedOn w:val="a"/>
    <w:link w:val="a7"/>
    <w:uiPriority w:val="99"/>
    <w:unhideWhenUsed/>
    <w:rsid w:val="00B4389D"/>
    <w:pPr>
      <w:tabs>
        <w:tab w:val="center" w:pos="4153"/>
        <w:tab w:val="right" w:pos="8306"/>
      </w:tabs>
      <w:snapToGrid w:val="0"/>
    </w:pPr>
    <w:rPr>
      <w:sz w:val="18"/>
      <w:szCs w:val="18"/>
    </w:rPr>
  </w:style>
  <w:style w:type="character" w:customStyle="1" w:styleId="a7">
    <w:name w:val="页脚 字符"/>
    <w:basedOn w:val="a0"/>
    <w:link w:val="a6"/>
    <w:uiPriority w:val="99"/>
    <w:rsid w:val="00B438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74962">
      <w:marLeft w:val="150"/>
      <w:marRight w:val="150"/>
      <w:marTop w:val="90"/>
      <w:marBottom w:val="90"/>
      <w:divBdr>
        <w:top w:val="none" w:sz="0" w:space="0" w:color="auto"/>
        <w:left w:val="none" w:sz="0" w:space="0" w:color="auto"/>
        <w:bottom w:val="none" w:sz="0" w:space="0" w:color="auto"/>
        <w:right w:val="none" w:sz="0" w:space="0" w:color="auto"/>
      </w:divBdr>
    </w:div>
    <w:div w:id="744768816">
      <w:marLeft w:val="0"/>
      <w:marRight w:val="0"/>
      <w:marTop w:val="30"/>
      <w:marBottom w:val="30"/>
      <w:divBdr>
        <w:top w:val="none" w:sz="0" w:space="0" w:color="auto"/>
        <w:left w:val="none" w:sz="0" w:space="0" w:color="auto"/>
        <w:bottom w:val="none" w:sz="0" w:space="0" w:color="auto"/>
        <w:right w:val="none" w:sz="0" w:space="0" w:color="auto"/>
      </w:divBdr>
    </w:div>
    <w:div w:id="834295615">
      <w:marLeft w:val="150"/>
      <w:marRight w:val="150"/>
      <w:marTop w:val="60"/>
      <w:marBottom w:val="60"/>
      <w:divBdr>
        <w:top w:val="none" w:sz="0" w:space="0" w:color="auto"/>
        <w:left w:val="none" w:sz="0" w:space="0" w:color="auto"/>
        <w:bottom w:val="none" w:sz="0" w:space="0" w:color="auto"/>
        <w:right w:val="none" w:sz="0" w:space="0" w:color="auto"/>
      </w:divBdr>
    </w:div>
    <w:div w:id="1043948472">
      <w:marLeft w:val="0"/>
      <w:marRight w:val="0"/>
      <w:marTop w:val="60"/>
      <w:marBottom w:val="30"/>
      <w:divBdr>
        <w:top w:val="none" w:sz="0" w:space="0" w:color="auto"/>
        <w:left w:val="none" w:sz="0" w:space="0" w:color="auto"/>
        <w:bottom w:val="none" w:sz="0" w:space="0" w:color="auto"/>
        <w:right w:val="none" w:sz="0" w:space="0" w:color="auto"/>
      </w:divBdr>
    </w:div>
    <w:div w:id="1890263840">
      <w:marLeft w:val="0"/>
      <w:marRight w:val="0"/>
      <w:marTop w:val="15"/>
      <w:marBottom w:val="15"/>
      <w:divBdr>
        <w:top w:val="none" w:sz="0" w:space="0" w:color="auto"/>
        <w:left w:val="none" w:sz="0" w:space="0" w:color="auto"/>
        <w:bottom w:val="none" w:sz="0" w:space="0" w:color="auto"/>
        <w:right w:val="none" w:sz="0" w:space="0" w:color="auto"/>
      </w:divBdr>
    </w:div>
    <w:div w:id="205357181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2327</Characters>
  <Application>Microsoft Office Word</Application>
  <DocSecurity>0</DocSecurity>
  <Lines>19</Lines>
  <Paragraphs>5</Paragraphs>
  <ScaleCrop>false</ScaleCrop>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dc:creator>
  <cp:keywords/>
  <dc:description/>
  <cp:lastModifiedBy>ROG</cp:lastModifiedBy>
  <cp:revision>6</cp:revision>
  <dcterms:created xsi:type="dcterms:W3CDTF">2026-09-03T09:09:00Z</dcterms:created>
  <dcterms:modified xsi:type="dcterms:W3CDTF">2026-09-04T04:52:00Z</dcterms:modified>
</cp:coreProperties>
</file>