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2279F">
      <w:pPr>
        <w:pStyle w:val="2"/>
        <w:rPr>
          <w:rFonts w:ascii="Times New Roman" w:hAnsi="Times New Roman" w:cs="Times New Roman"/>
          <w:color w:val="000000"/>
        </w:rPr>
      </w:pPr>
      <w:r>
        <w:rPr>
          <w:rFonts w:ascii="Times New Roman" w:hAnsi="Times New Roman" w:cs="Times New Roman"/>
          <w:color w:val="000000"/>
        </w:rPr>
        <w:t>基于可解释人工智能的充电站网络异常检测:面向欧盟《人工智能法案》合规方案</w:t>
      </w:r>
    </w:p>
    <w:p w14:paraId="4576CB57">
      <w:pPr>
        <w:jc w:val="center"/>
        <w:rPr>
          <w:rFonts w:ascii="Times New Roman" w:hAnsi="Times New Roman" w:cs="Times New Roman"/>
          <w:color w:val="000000"/>
          <w:sz w:val="22"/>
          <w:szCs w:val="22"/>
        </w:rPr>
      </w:pPr>
      <w:r>
        <w:rPr>
          <w:rFonts w:ascii="Times New Roman" w:hAnsi="Times New Roman" w:cs="Times New Roman"/>
          <w:color w:val="000000"/>
          <w:sz w:val="22"/>
          <w:szCs w:val="22"/>
        </w:rPr>
        <w:t>傅坚</w:t>
      </w:r>
      <w:r>
        <w:rPr>
          <w:rFonts w:ascii="Times New Roman" w:hAnsi="Times New Roman" w:cs="Times New Roman"/>
          <w:color w:val="000000"/>
          <w:sz w:val="22"/>
          <w:szCs w:val="22"/>
          <w:vertAlign w:val="superscript"/>
        </w:rPr>
        <w:t>1</w:t>
      </w:r>
      <w:r>
        <w:rPr>
          <w:rFonts w:ascii="Times New Roman" w:hAnsi="Times New Roman" w:cs="Times New Roman"/>
          <w:color w:val="000000"/>
          <w:sz w:val="22"/>
          <w:szCs w:val="22"/>
        </w:rPr>
        <w:t>,王莹</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,陈天元</w:t>
      </w:r>
      <w:r>
        <w:rPr>
          <w:rFonts w:ascii="Times New Roman" w:hAnsi="Times New Roman" w:cs="Times New Roman"/>
          <w:color w:val="000000"/>
          <w:sz w:val="22"/>
          <w:szCs w:val="22"/>
          <w:vertAlign w:val="superscript"/>
        </w:rPr>
        <w:t>2</w:t>
      </w:r>
      <w:r>
        <w:rPr>
          <w:rFonts w:ascii="Times New Roman" w:hAnsi="Times New Roman" w:cs="Times New Roman"/>
          <w:color w:val="000000"/>
          <w:sz w:val="22"/>
          <w:szCs w:val="22"/>
        </w:rPr>
        <w:t>,朱禹林</w:t>
      </w:r>
      <w:r>
        <w:rPr>
          <w:rFonts w:ascii="Times New Roman" w:hAnsi="Times New Roman" w:cs="Times New Roman"/>
          <w:color w:val="000000"/>
          <w:sz w:val="22"/>
          <w:szCs w:val="22"/>
          <w:vertAlign w:val="superscript"/>
        </w:rPr>
        <w:t>2*</w:t>
      </w:r>
    </w:p>
    <w:p w14:paraId="79639481">
      <w:pPr>
        <w:jc w:val="center"/>
        <w:rPr>
          <w:rFonts w:ascii="Times New Roman" w:hAnsi="Times New Roman" w:cs="Times New Roman"/>
          <w:color w:val="000000"/>
          <w:sz w:val="19"/>
          <w:szCs w:val="19"/>
        </w:rPr>
      </w:pPr>
      <w:r>
        <w:rPr>
          <w:rFonts w:ascii="Times New Roman" w:hAnsi="Times New Roman" w:cs="Times New Roman"/>
          <w:color w:val="000000"/>
          <w:sz w:val="19"/>
          <w:szCs w:val="19"/>
          <w:vertAlign w:val="superscript"/>
        </w:rPr>
        <w:t>1</w:t>
      </w:r>
      <w:r>
        <w:rPr>
          <w:rFonts w:ascii="Times New Roman" w:hAnsi="Times New Roman" w:cs="Times New Roman"/>
          <w:color w:val="000000"/>
          <w:sz w:val="19"/>
          <w:szCs w:val="19"/>
        </w:rPr>
        <w:t xml:space="preserve"> 岭南大学    </w:t>
      </w:r>
      <w:r>
        <w:rPr>
          <w:rFonts w:ascii="Times New Roman" w:hAnsi="Times New Roman" w:cs="Times New Roman"/>
          <w:color w:val="000000"/>
          <w:sz w:val="19"/>
          <w:szCs w:val="19"/>
          <w:vertAlign w:val="superscript"/>
        </w:rPr>
        <w:t>2</w:t>
      </w:r>
      <w:r>
        <w:rPr>
          <w:rFonts w:ascii="Times New Roman" w:hAnsi="Times New Roman" w:cs="Times New Roman"/>
          <w:color w:val="000000"/>
          <w:sz w:val="19"/>
          <w:szCs w:val="19"/>
        </w:rPr>
        <w:t xml:space="preserve"> 珠海学院    *通讯作者</w:t>
      </w:r>
    </w:p>
    <w:p w14:paraId="7C451923">
      <w:pPr>
        <w:pStyle w:val="7"/>
        <w:rPr>
          <w:rFonts w:ascii="Times New Roman" w:hAnsi="Times New Roman" w:cs="Times New Roman"/>
          <w:color w:val="000000"/>
          <w:sz w:val="21"/>
          <w:szCs w:val="21"/>
        </w:rPr>
      </w:pPr>
      <w:r>
        <w:rPr>
          <w:rFonts w:ascii="Times New Roman" w:hAnsi="Times New Roman" w:cs="Times New Roman"/>
          <w:b/>
          <w:bCs/>
          <w:color w:val="000000"/>
          <w:sz w:val="21"/>
          <w:szCs w:val="21"/>
        </w:rPr>
        <w:t>摘要:</w:t>
      </w:r>
      <w:r>
        <w:rPr>
          <w:rFonts w:ascii="Times New Roman" w:hAnsi="Times New Roman" w:cs="Times New Roman"/>
          <w:color w:val="000000"/>
          <w:sz w:val="21"/>
          <w:szCs w:val="21"/>
        </w:rPr>
        <w:t>电动汽车充电基础设施的快速扩张对运营监控与故障诊断提出严峻挑战,但现有方法普遍缺乏对跨站点泛化与监管合规的系统性回应。本文基于30 座充电站 155.6 万采样点(全量数据集),提出可解释异常检测框架:多模态注意力融合检测器 Token-Attn 将六通道原始时序与 62 维手工特征在同一注意力空间融合,并配合自注意力、置换重要性与特征组消融三路可解释归因。在新站点(owner 7-8)跨域测试中,Token-Attn 经 7-seed 概率集成达到 PR-AUC=0.918、AUC=0.990,显著超越 LightGBM(0.868,p=0.026,</w:t>
      </w:r>
      <w:commentRangeStart w:id="0"/>
      <w:r>
        <w:rPr>
          <w:rFonts w:ascii="Times New Roman" w:hAnsi="Times New Roman" w:cs="Times New Roman"/>
          <w:color w:val="000000"/>
          <w:sz w:val="21"/>
          <w:szCs w:val="21"/>
        </w:rPr>
        <w:t>边际显著</w:t>
      </w:r>
      <w:commentRangeEnd w:id="0"/>
      <w:r>
        <w:commentReference w:id="0"/>
      </w:r>
      <w:r>
        <w:rPr>
          <w:rFonts w:ascii="Times New Roman" w:hAnsi="Times New Roman" w:cs="Times New Roman"/>
          <w:color w:val="000000"/>
          <w:sz w:val="21"/>
          <w:szCs w:val="21"/>
        </w:rPr>
        <w:t>)、高于 XGBoost(0.887,</w:t>
      </w:r>
      <w:commentRangeStart w:id="1"/>
      <w:r>
        <w:rPr>
          <w:rFonts w:ascii="Times New Roman" w:hAnsi="Times New Roman" w:cs="Times New Roman"/>
          <w:color w:val="000000"/>
          <w:sz w:val="21"/>
          <w:szCs w:val="21"/>
        </w:rPr>
        <w:t>未达显著</w:t>
      </w:r>
      <w:commentRangeEnd w:id="1"/>
      <w:r>
        <w:commentReference w:id="1"/>
      </w:r>
      <w:r>
        <w:rPr>
          <w:rFonts w:ascii="Times New Roman" w:hAnsi="Times New Roman" w:cs="Times New Roman"/>
          <w:color w:val="000000"/>
          <w:sz w:val="21"/>
          <w:szCs w:val="21"/>
        </w:rPr>
        <w:t>)。成因机制分析揭示故障本质为"高功率未衰减的异常终止"(电气中断型 95.3%、超温型 4.7%),温度升高是充电时长的伴随结果而非原因。本文进一步提出面向 EU AI Act 的合规方案。</w:t>
      </w:r>
    </w:p>
    <w:p w14:paraId="01E252B9">
      <w:pPr>
        <w:rPr>
          <w:rFonts w:ascii="Times New Roman" w:hAnsi="Times New Roman" w:cs="Times New Roman"/>
          <w:color w:val="000000"/>
          <w:sz w:val="21"/>
          <w:szCs w:val="21"/>
        </w:rPr>
      </w:pPr>
      <w:r>
        <w:rPr>
          <w:rFonts w:ascii="Times New Roman" w:hAnsi="Times New Roman" w:cs="Times New Roman"/>
          <w:b/>
          <w:bCs/>
          <w:color w:val="000000"/>
          <w:sz w:val="21"/>
          <w:szCs w:val="21"/>
        </w:rPr>
        <w:t>关键词:</w:t>
      </w:r>
      <w:r>
        <w:rPr>
          <w:rFonts w:ascii="Times New Roman" w:hAnsi="Times New Roman" w:cs="Times New Roman"/>
          <w:color w:val="000000"/>
          <w:sz w:val="21"/>
          <w:szCs w:val="21"/>
        </w:rPr>
        <w:t>可解释人工智能;异常检测;电动汽车充电站;注意力融合;成因机制分析;EU AI Act</w:t>
      </w:r>
    </w:p>
    <w:p w14:paraId="628C322F">
      <w:pPr>
        <w:pStyle w:val="3"/>
        <w:rPr>
          <w:rFonts w:ascii="Times New Roman" w:hAnsi="Times New Roman" w:cs="Times New Roman"/>
        </w:rPr>
      </w:pPr>
      <w:r>
        <w:rPr>
          <w:rFonts w:ascii="Times New Roman" w:hAnsi="Times New Roman" w:cs="Times New Roman"/>
        </w:rPr>
        <w:t>1. 引言</w:t>
      </w:r>
    </w:p>
    <w:p w14:paraId="376E3102">
      <w:pPr>
        <w:pStyle w:val="7"/>
        <w:rPr>
          <w:rFonts w:ascii="Times New Roman" w:hAnsi="Times New Roman" w:cs="Times New Roman"/>
          <w:color w:val="000000"/>
          <w:sz w:val="21"/>
          <w:szCs w:val="21"/>
        </w:rPr>
      </w:pPr>
      <w:r>
        <w:rPr>
          <w:rFonts w:ascii="Times New Roman" w:hAnsi="Times New Roman" w:cs="Times New Roman"/>
          <w:color w:val="000000"/>
          <w:sz w:val="21"/>
          <w:szCs w:val="21"/>
        </w:rPr>
        <w:t>充电站异常检测中,深度学习已取得先进性能,但存在两个缺口:</w:t>
      </w:r>
      <w:r>
        <w:rPr>
          <w:rFonts w:ascii="Times New Roman" w:hAnsi="Times New Roman" w:cs="Times New Roman"/>
          <w:b/>
          <w:bCs/>
          <w:color w:val="000000"/>
          <w:sz w:val="21"/>
          <w:szCs w:val="21"/>
        </w:rPr>
        <w:t>(1)跨站点泛化</w:t>
      </w:r>
      <w:r>
        <w:rPr>
          <w:rFonts w:ascii="Times New Roman" w:hAnsi="Times New Roman" w:cs="Times New Roman"/>
          <w:color w:val="000000"/>
          <w:sz w:val="21"/>
          <w:szCs w:val="21"/>
        </w:rPr>
        <w:t>——现有方法多在分布一致的数据上评估,单全局模型在新站点性能显著衰退 [1];</w:t>
      </w:r>
      <w:r>
        <w:rPr>
          <w:rFonts w:ascii="Times New Roman" w:hAnsi="Times New Roman" w:cs="Times New Roman"/>
          <w:b/>
          <w:bCs/>
          <w:color w:val="000000"/>
          <w:sz w:val="21"/>
          <w:szCs w:val="21"/>
        </w:rPr>
        <w:t>(2)监管合规</w:t>
      </w:r>
      <w:r>
        <w:rPr>
          <w:rFonts w:ascii="Times New Roman" w:hAnsi="Times New Roman" w:cs="Times New Roman"/>
          <w:color w:val="000000"/>
          <w:sz w:val="21"/>
          <w:szCs w:val="21"/>
        </w:rPr>
        <w:t>——EU AI Act [2] 将关键基础设施 AI 系统列为高风险,要求透明性与可解释性,而现有方法仅输出异常分数,无法告知"哪个传感器驱动了告警"。本文提出多模态注意力融合检测器 Token-Attn,在跨站点设定(owner 1-6 训练 → owner 7-8 测试)下验证泛化性能,并引入多视角可解释归因与成因机制分析,面向 EU AI Act 提供合规方案。</w:t>
      </w:r>
    </w:p>
    <w:p w14:paraId="195AF4D8">
      <w:pPr>
        <w:pStyle w:val="3"/>
        <w:rPr>
          <w:rFonts w:ascii="Times New Roman" w:hAnsi="Times New Roman" w:cs="Times New Roman"/>
        </w:rPr>
      </w:pPr>
      <w:r>
        <w:rPr>
          <w:rFonts w:ascii="Times New Roman" w:hAnsi="Times New Roman" w:cs="Times New Roman"/>
        </w:rPr>
        <w:t>2. 方法</w:t>
      </w:r>
    </w:p>
    <w:p w14:paraId="516FB126">
      <w:pPr>
        <w:pStyle w:val="7"/>
        <w:rPr>
          <w:rFonts w:ascii="Times New Roman" w:hAnsi="Times New Roman" w:cs="Times New Roman"/>
          <w:color w:val="000000"/>
          <w:sz w:val="21"/>
          <w:szCs w:val="21"/>
        </w:rPr>
      </w:pPr>
      <w:r>
        <w:rPr>
          <w:rFonts w:ascii="Times New Roman" w:hAnsi="Times New Roman" w:cs="Times New Roman"/>
          <w:b/>
          <w:bCs/>
          <w:color w:val="000000"/>
          <w:sz w:val="21"/>
          <w:szCs w:val="21"/>
        </w:rPr>
        <w:t>数据集:</w:t>
      </w:r>
      <w:r>
        <w:rPr>
          <w:rFonts w:ascii="Times New Roman" w:hAnsi="Times New Roman" w:cs="Times New Roman"/>
          <w:color w:val="000000"/>
          <w:sz w:val="21"/>
          <w:szCs w:val="21"/>
        </w:rPr>
        <w:t>30 座充电站、155.6 万采样点(全量数据集)、8 个数据所有者 [1]。以充电序列(≥30 采样点)为单元,筛选 19,658 条序列;训练 owner 1-6(13,505 条/642 故障),测试 owner 7-8 新站点(2,776 条/129 故障),模拟站点冷启动。</w:t>
      </w:r>
    </w:p>
    <w:p w14:paraId="44EBDEDD">
      <w:pPr>
        <w:pStyle w:val="7"/>
        <w:rPr>
          <w:rFonts w:ascii="Times New Roman" w:hAnsi="Times New Roman" w:cs="Times New Roman"/>
          <w:color w:val="000000"/>
          <w:sz w:val="21"/>
          <w:szCs w:val="21"/>
        </w:rPr>
      </w:pPr>
      <w:commentRangeStart w:id="2"/>
      <w:r>
        <w:rPr>
          <w:rFonts w:ascii="Times New Roman" w:hAnsi="Times New Roman" w:cs="Times New Roman"/>
          <w:b/>
          <w:bCs/>
          <w:color w:val="000000"/>
          <w:sz w:val="21"/>
          <w:szCs w:val="21"/>
        </w:rPr>
        <w:t>Token-Attn:</w:t>
      </w:r>
      <w:r>
        <w:rPr>
          <w:rFonts w:ascii="Times New Roman" w:hAnsi="Times New Roman" w:cs="Times New Roman"/>
          <w:color w:val="000000"/>
          <w:sz w:val="21"/>
          <w:szCs w:val="21"/>
        </w:rPr>
        <w:t>双向 LSTM 编码六通道原始时序(电压/电流/功率/枪温 1/2/SOC)并按充电进度等分 8 段池化为段 token,与 62 维手工特征 token 及 [CLS] token 送入 2 层 Transformer 做跨模态自注意力融合,输出二分类(约 22.4 万参数)。</w:t>
      </w:r>
      <w:commentRangeEnd w:id="2"/>
      <w:r>
        <w:commentReference w:id="2"/>
      </w:r>
    </w:p>
    <w:p w14:paraId="27D198E2">
      <w:pPr>
        <w:pStyle w:val="7"/>
        <w:rPr>
          <w:rFonts w:ascii="Times New Roman" w:hAnsi="Times New Roman" w:cs="Times New Roman"/>
          <w:color w:val="000000"/>
          <w:sz w:val="21"/>
          <w:szCs w:val="21"/>
        </w:rPr>
      </w:pPr>
      <w:r>
        <w:rPr>
          <w:rFonts w:ascii="Times New Roman" w:hAnsi="Times New Roman" w:cs="Times New Roman"/>
          <w:b/>
          <w:bCs/>
          <w:color w:val="000000"/>
          <w:sz w:val="21"/>
          <w:szCs w:val="21"/>
        </w:rPr>
        <w:t>多视角归因:</w:t>
      </w:r>
      <w:r>
        <w:rPr>
          <w:rFonts w:ascii="Times New Roman" w:hAnsi="Times New Roman" w:cs="Times New Roman"/>
          <w:color w:val="000000"/>
          <w:sz w:val="21"/>
          <w:szCs w:val="21"/>
        </w:rPr>
        <w:t xml:space="preserve">自注意力 + </w:t>
      </w:r>
      <w:commentRangeStart w:id="3"/>
      <w:r>
        <w:rPr>
          <w:rFonts w:ascii="Times New Roman" w:hAnsi="Times New Roman" w:cs="Times New Roman"/>
          <w:color w:val="000000"/>
          <w:sz w:val="21"/>
          <w:szCs w:val="21"/>
        </w:rPr>
        <w:t>置换重要性</w:t>
      </w:r>
      <w:commentRangeEnd w:id="3"/>
      <w:r>
        <w:commentReference w:id="3"/>
      </w:r>
      <w:r>
        <w:rPr>
          <w:rFonts w:ascii="Times New Roman" w:hAnsi="Times New Roman" w:cs="Times New Roman"/>
          <w:color w:val="000000"/>
          <w:sz w:val="21"/>
          <w:szCs w:val="21"/>
        </w:rPr>
        <w:t>(3 次打乱取均值±std)+ 特征组消融,三路交叉印证。</w:t>
      </w:r>
    </w:p>
    <w:p w14:paraId="2EE2CC5A">
      <w:pPr>
        <w:pStyle w:val="3"/>
        <w:rPr>
          <w:rFonts w:ascii="Times New Roman" w:hAnsi="Times New Roman" w:cs="Times New Roman"/>
        </w:rPr>
      </w:pPr>
      <w:r>
        <w:rPr>
          <w:rFonts w:ascii="Times New Roman" w:hAnsi="Times New Roman" w:cs="Times New Roman"/>
        </w:rPr>
        <w:t>3. 实验与结果</w:t>
      </w:r>
    </w:p>
    <w:p w14:paraId="4DC65FA7">
      <w:pPr>
        <w:pStyle w:val="7"/>
        <w:rPr>
          <w:rFonts w:ascii="Times New Roman" w:hAnsi="Times New Roman" w:cs="Times New Roman"/>
          <w:color w:val="000000"/>
          <w:sz w:val="21"/>
          <w:szCs w:val="21"/>
        </w:rPr>
      </w:pPr>
      <w:r>
        <w:rPr>
          <w:rFonts w:ascii="Times New Roman" w:hAnsi="Times New Roman" w:cs="Times New Roman"/>
          <w:color w:val="000000"/>
          <w:sz w:val="21"/>
          <w:szCs w:val="21"/>
        </w:rPr>
        <w:t>跨新站点测试(owner 7-8)性能如表 1。Token-Attn 经 7-seed 概率集成达到 PR-AUC=0.918、AUC=0.990,显著超越 LightGBM(0.868,bootstrap p=0.026,边际显著)、高于 XGBoost(0.887,未达显著),为端到端纯 Bi-LSTM(0.351)的约 2.6 倍,说明注意力交互融合是跨站点性能的关键。</w:t>
      </w:r>
    </w:p>
    <w:p w14:paraId="4E506408">
      <w:pPr>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表 1:跨新站点测试集(owner 7-8)性能对比</w:t>
      </w:r>
    </w:p>
    <w:tbl>
      <w:tblPr>
        <w:tblStyle w:val="8"/>
        <w:tblW w:w="4400" w:type="pct"/>
        <w:tblInd w:w="0" w:type="dxa"/>
        <w:tblLayout w:type="autofit"/>
        <w:tblCellMar>
          <w:top w:w="15" w:type="dxa"/>
          <w:left w:w="15" w:type="dxa"/>
          <w:bottom w:w="15" w:type="dxa"/>
          <w:right w:w="15" w:type="dxa"/>
        </w:tblCellMar>
      </w:tblPr>
      <w:tblGrid>
        <w:gridCol w:w="2274"/>
        <w:gridCol w:w="1271"/>
        <w:gridCol w:w="808"/>
        <w:gridCol w:w="947"/>
        <w:gridCol w:w="608"/>
        <w:gridCol w:w="608"/>
        <w:gridCol w:w="925"/>
      </w:tblGrid>
      <w:tr w14:paraId="6678FCE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7D1A62FD">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方法</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78548D2D">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输入</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5EB8EE8F">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Recall</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77A4BD7C">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Precision</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06064093">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F1</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38E80B10">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AUC</w:t>
            </w:r>
          </w:p>
        </w:tc>
        <w:tc>
          <w:tcPr>
            <w:tcW w:w="0" w:type="auto"/>
            <w:tcBorders>
              <w:top w:val="single" w:color="000000" w:sz="6" w:space="0"/>
              <w:left w:val="single" w:color="000000" w:sz="6" w:space="0"/>
              <w:bottom w:val="single" w:color="000000" w:sz="6" w:space="0"/>
              <w:right w:val="single" w:color="000000" w:sz="6" w:space="0"/>
            </w:tcBorders>
            <w:shd w:val="clear" w:color="auto" w:fill="F0F0F0"/>
            <w:tcMar>
              <w:top w:w="30" w:type="dxa"/>
              <w:left w:w="75" w:type="dxa"/>
              <w:bottom w:w="30" w:type="dxa"/>
              <w:right w:w="75" w:type="dxa"/>
            </w:tcMar>
            <w:vAlign w:val="center"/>
          </w:tcPr>
          <w:p w14:paraId="38FD3F7A">
            <w:pPr>
              <w:spacing w:before="90" w:after="90"/>
              <w:jc w:val="center"/>
              <w:rPr>
                <w:rFonts w:ascii="Times New Roman" w:hAnsi="Times New Roman" w:cs="Times New Roman"/>
                <w:b/>
                <w:bCs/>
                <w:color w:val="000000"/>
                <w:sz w:val="19"/>
                <w:szCs w:val="19"/>
              </w:rPr>
            </w:pPr>
            <w:r>
              <w:rPr>
                <w:rFonts w:ascii="Times New Roman" w:hAnsi="Times New Roman" w:cs="Times New Roman"/>
                <w:b/>
                <w:bCs/>
                <w:color w:val="000000"/>
                <w:sz w:val="19"/>
                <w:szCs w:val="19"/>
              </w:rPr>
              <w:t>PR-AUC</w:t>
            </w:r>
          </w:p>
        </w:tc>
      </w:tr>
      <w:tr w14:paraId="46D7DD99">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4A8B95CB">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端到端 Bi-LSTM</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67FE5F17">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6 通道</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2492E719">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77.52%</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32B87995">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23.36%</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6A1D1840">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0.359</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79384842">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0.908</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7F38F339">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0.351</w:t>
            </w:r>
          </w:p>
        </w:tc>
      </w:tr>
      <w:tr w14:paraId="6994D52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625D1537">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LightGBM</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2803C8A2">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62 维</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3434A6AD">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31.78%</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62EAFAAF">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97.62%</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6BA0027C">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0.480</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748C3300">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0.987</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418D6CD4">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0.868</w:t>
            </w:r>
          </w:p>
        </w:tc>
      </w:tr>
      <w:tr w14:paraId="4CDFF78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0DC25F10">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XGBoost</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74C5A221">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62 维</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5CE9CA77">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32.56%</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10092873">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95.45%</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4A6188DC">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0.486</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1ACC4BE5">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0.991</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2A886037">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0.887</w:t>
            </w:r>
          </w:p>
        </w:tc>
      </w:tr>
      <w:tr w14:paraId="511A0C1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4727857A">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Token-Attn(7-seed 集成)</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52388331">
            <w:pPr>
              <w:spacing w:before="90" w:after="90"/>
              <w:jc w:val="center"/>
              <w:rPr>
                <w:rFonts w:ascii="Times New Roman" w:hAnsi="Times New Roman" w:cs="Times New Roman"/>
                <w:color w:val="000000"/>
                <w:sz w:val="19"/>
                <w:szCs w:val="19"/>
              </w:rPr>
            </w:pPr>
            <w:r>
              <w:rPr>
                <w:rFonts w:ascii="Times New Roman" w:hAnsi="Times New Roman" w:cs="Times New Roman"/>
                <w:color w:val="000000"/>
                <w:sz w:val="19"/>
                <w:szCs w:val="19"/>
              </w:rPr>
              <w:t>6 通道+62 维</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5D0DE1E4">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68.99%</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789FC1AA">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93.68%</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23D58ECC">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0.795</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52D3DB49">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0.990</w:t>
            </w:r>
          </w:p>
        </w:tc>
        <w:tc>
          <w:tcPr>
            <w:tcW w:w="0" w:type="auto"/>
            <w:tcBorders>
              <w:top w:val="single" w:color="000000" w:sz="6" w:space="0"/>
              <w:left w:val="single" w:color="000000" w:sz="6" w:space="0"/>
              <w:bottom w:val="single" w:color="000000" w:sz="6" w:space="0"/>
              <w:right w:val="single" w:color="000000" w:sz="6" w:space="0"/>
            </w:tcBorders>
            <w:tcMar>
              <w:top w:w="30" w:type="dxa"/>
              <w:left w:w="75" w:type="dxa"/>
              <w:bottom w:w="30" w:type="dxa"/>
              <w:right w:w="75" w:type="dxa"/>
            </w:tcMar>
            <w:vAlign w:val="center"/>
          </w:tcPr>
          <w:p w14:paraId="24905BAF">
            <w:pPr>
              <w:spacing w:before="90" w:after="90"/>
              <w:jc w:val="center"/>
              <w:rPr>
                <w:rFonts w:ascii="Times New Roman" w:hAnsi="Times New Roman" w:cs="Times New Roman"/>
                <w:color w:val="000000"/>
                <w:sz w:val="19"/>
                <w:szCs w:val="19"/>
              </w:rPr>
            </w:pPr>
            <w:r>
              <w:rPr>
                <w:rFonts w:ascii="Times New Roman" w:hAnsi="Times New Roman" w:cs="Times New Roman"/>
                <w:b/>
                <w:bCs/>
                <w:color w:val="000000"/>
                <w:sz w:val="19"/>
                <w:szCs w:val="19"/>
              </w:rPr>
              <w:t>0.918</w:t>
            </w:r>
          </w:p>
        </w:tc>
      </w:tr>
    </w:tbl>
    <w:p w14:paraId="6BA603DA">
      <w:pPr>
        <w:pStyle w:val="7"/>
        <w:rPr>
          <w:rFonts w:hint="eastAsia" w:ascii="Times New Roman" w:hAnsi="Times New Roman" w:cs="Times New Roman"/>
          <w:b/>
          <w:bCs/>
          <w:color w:val="000000"/>
          <w:sz w:val="21"/>
          <w:szCs w:val="21"/>
        </w:rPr>
      </w:pPr>
      <w:r>
        <w:rPr>
          <w:rFonts w:hint="eastAsia" w:ascii="Times New Roman" w:hAnsi="Times New Roman" w:cs="Times New Roman"/>
          <w:b/>
          <w:bCs/>
          <w:color w:val="000000"/>
          <w:sz w:val="21"/>
          <w:szCs w:val="21"/>
        </w:rPr>
        <w:t>注:Token-Attn 采用查准率优先的默认阈值,故 Recall 略低于 Bi-LSTM 而 Precision 与 F1 显著更优;对漏检敏感的场景可通过调低阈值提升召回。</w:t>
      </w:r>
    </w:p>
    <w:p w14:paraId="6F4E74B7">
      <w:pPr>
        <w:pStyle w:val="7"/>
        <w:rPr>
          <w:rFonts w:ascii="Times New Roman" w:hAnsi="Times New Roman" w:cs="Times New Roman"/>
          <w:color w:val="000000"/>
          <w:sz w:val="21"/>
          <w:szCs w:val="21"/>
        </w:rPr>
      </w:pPr>
      <w:commentRangeStart w:id="4"/>
      <w:r>
        <w:rPr>
          <w:rFonts w:ascii="Times New Roman" w:hAnsi="Times New Roman" w:cs="Times New Roman"/>
          <w:b/>
          <w:bCs/>
          <w:color w:val="000000"/>
          <w:sz w:val="21"/>
          <w:szCs w:val="21"/>
        </w:rPr>
        <w:t>成因机制:</w:t>
      </w:r>
      <w:r>
        <w:rPr>
          <w:rFonts w:ascii="Times New Roman" w:hAnsi="Times New Roman" w:cs="Times New Roman"/>
          <w:color w:val="000000"/>
          <w:sz w:val="21"/>
          <w:szCs w:val="21"/>
        </w:rPr>
        <w:t>三路归因表明枪温统计量与基础统计量主导判别,异常时注意力向中后段漂移。129 个测试故障分为电气中断型(95.3%)与超温型(4.7%);故障本质是"高功率未衰减的异常终止"(末端 SOC 84% vs 正常 98%),温度升高是充电时长的伴随结果而非原因。</w:t>
      </w:r>
      <w:commentRangeEnd w:id="4"/>
      <w:r>
        <w:commentReference w:id="4"/>
      </w:r>
    </w:p>
    <w:p w14:paraId="2FE090AF">
      <w:pPr>
        <w:pStyle w:val="3"/>
        <w:rPr>
          <w:rFonts w:ascii="Times New Roman" w:hAnsi="Times New Roman" w:cs="Times New Roman"/>
        </w:rPr>
      </w:pPr>
      <w:r>
        <w:rPr>
          <w:rFonts w:ascii="Times New Roman" w:hAnsi="Times New Roman" w:cs="Times New Roman"/>
        </w:rPr>
        <w:t>4. 结论</w:t>
      </w:r>
    </w:p>
    <w:p w14:paraId="551B5B52">
      <w:pPr>
        <w:pStyle w:val="7"/>
        <w:rPr>
          <w:rFonts w:ascii="Times New Roman" w:hAnsi="Times New Roman" w:cs="Times New Roman"/>
          <w:color w:val="000000"/>
          <w:sz w:val="21"/>
          <w:szCs w:val="21"/>
        </w:rPr>
      </w:pPr>
      <w:r>
        <w:rPr>
          <w:rFonts w:ascii="Times New Roman" w:hAnsi="Times New Roman" w:cs="Times New Roman"/>
          <w:color w:val="000000"/>
          <w:sz w:val="21"/>
          <w:szCs w:val="21"/>
        </w:rPr>
        <w:t>本文贡献:(1)揭示"大电流高功率段突然中断"的故障指纹;(2)构建 Token-Attn,跨站点达 PR-AUC=0.918,达到并部分超过 GBDT;(3)多视角可解释归因与成因机制分析;(4)面向 EU AI Act 的合规方案(义务映射、审计日志、模型卡片 [3])。</w:t>
      </w:r>
      <w:bookmarkStart w:id="0" w:name="_GoBack"/>
      <w:bookmarkEnd w:id="0"/>
    </w:p>
    <w:p w14:paraId="158B3926">
      <w:pPr>
        <w:pStyle w:val="3"/>
        <w:rPr>
          <w:rFonts w:ascii="Times New Roman" w:hAnsi="Times New Roman" w:cs="Times New Roman"/>
        </w:rPr>
      </w:pPr>
      <w:r>
        <w:rPr>
          <w:rFonts w:ascii="Times New Roman" w:hAnsi="Times New Roman" w:cs="Times New Roman"/>
        </w:rPr>
        <w:t>参考文献</w:t>
      </w:r>
    </w:p>
    <w:p w14:paraId="191C30E9">
      <w:pPr>
        <w:spacing w:before="30" w:after="30"/>
        <w:rPr>
          <w:rFonts w:ascii="Times New Roman" w:hAnsi="Times New Roman" w:cs="Times New Roman"/>
          <w:color w:val="000000"/>
          <w:sz w:val="18"/>
          <w:szCs w:val="18"/>
        </w:rPr>
      </w:pPr>
      <w:r>
        <w:rPr>
          <w:rFonts w:ascii="Times New Roman" w:hAnsi="Times New Roman" w:cs="Times New Roman"/>
          <w:color w:val="000000"/>
          <w:sz w:val="18"/>
          <w:szCs w:val="18"/>
        </w:rPr>
        <w:t>[1] Yang H, Tian J, Mai W, et al. Privacy-preserving collaborative battery fault warning for massive electric vehicles by heterogeneous data from charging stations. Nature Communications, 2026, 17: 974.</w:t>
      </w:r>
    </w:p>
    <w:p w14:paraId="698D26C5">
      <w:pPr>
        <w:spacing w:before="30" w:after="30"/>
        <w:rPr>
          <w:rFonts w:ascii="Times New Roman" w:hAnsi="Times New Roman" w:cs="Times New Roman"/>
          <w:color w:val="000000"/>
          <w:sz w:val="18"/>
          <w:szCs w:val="18"/>
        </w:rPr>
      </w:pPr>
      <w:r>
        <w:rPr>
          <w:rFonts w:ascii="Times New Roman" w:hAnsi="Times New Roman" w:cs="Times New Roman"/>
          <w:color w:val="000000"/>
          <w:sz w:val="18"/>
          <w:szCs w:val="18"/>
        </w:rPr>
        <w:t>[2] Regulation (EU) 2024/1689 - EU AI Act. Official Journal of the European Union, 2024.</w:t>
      </w:r>
    </w:p>
    <w:p w14:paraId="67154262">
      <w:pPr>
        <w:spacing w:before="30" w:after="30"/>
        <w:rPr>
          <w:rFonts w:ascii="Times New Roman" w:hAnsi="Times New Roman" w:cs="Times New Roman"/>
          <w:color w:val="000000"/>
          <w:sz w:val="18"/>
          <w:szCs w:val="18"/>
        </w:rPr>
      </w:pPr>
      <w:r>
        <w:rPr>
          <w:rFonts w:ascii="Times New Roman" w:hAnsi="Times New Roman" w:cs="Times New Roman"/>
          <w:color w:val="000000"/>
          <w:sz w:val="18"/>
          <w:szCs w:val="18"/>
        </w:rPr>
        <w:t>[3] Mitchell M, et al. Model Cards for Model Reporting. FAccT 2019.</w:t>
      </w:r>
    </w:p>
    <w:sectPr>
      <w:pgSz w:w="11906" w:h="16838"/>
      <w:pgMar w:top="1440" w:right="1800" w:bottom="1440" w:left="1800" w:header="851" w:footer="992"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rmstrong" w:date="2026-09-03T22:15:51Z" w:initials="">
    <w:p w14:paraId="2980A10D">
      <w:pPr>
        <w:pStyle w:val="4"/>
        <w:rPr>
          <w:rFonts w:hint="default" w:eastAsia="宋体"/>
          <w:lang w:val="en-US" w:eastAsia="zh-CN"/>
        </w:rPr>
      </w:pPr>
      <w:r>
        <w:rPr>
          <w:rFonts w:hint="eastAsia"/>
          <w:lang w:val="en-US" w:eastAsia="zh-CN"/>
        </w:rPr>
        <w:t>显著性指标如果你们没有做significance test就不需要强调，可以删掉。</w:t>
      </w:r>
    </w:p>
  </w:comment>
  <w:comment w:id="1" w:author="Armstrong" w:date="2026-09-03T22:16:37Z" w:initials="">
    <w:p w14:paraId="554478E0">
      <w:pPr>
        <w:pStyle w:val="4"/>
        <w:rPr>
          <w:rFonts w:hint="eastAsia" w:eastAsia="宋体"/>
          <w:lang w:val="en-US" w:eastAsia="zh-CN"/>
        </w:rPr>
      </w:pPr>
      <w:r>
        <w:rPr>
          <w:rFonts w:hint="eastAsia"/>
          <w:lang w:val="en-US" w:eastAsia="zh-CN"/>
        </w:rPr>
        <w:t>同上。</w:t>
      </w:r>
    </w:p>
  </w:comment>
  <w:comment w:id="2" w:author="Armstrong" w:date="2026-09-03T22:17:17Z" w:initials="">
    <w:p w14:paraId="60460A12">
      <w:pPr>
        <w:pStyle w:val="4"/>
        <w:rPr>
          <w:rFonts w:hint="default" w:eastAsia="宋体"/>
          <w:lang w:val="en-US" w:eastAsia="zh-CN"/>
        </w:rPr>
      </w:pPr>
      <w:r>
        <w:rPr>
          <w:rFonts w:hint="eastAsia"/>
          <w:lang w:val="en-US" w:eastAsia="zh-CN"/>
        </w:rPr>
        <w:t>这里可以使用数学公式来表达模型架构，同时有时间可以生成模型架构图。</w:t>
      </w:r>
    </w:p>
  </w:comment>
  <w:comment w:id="3" w:author="Armstrong" w:date="2026-09-03T22:18:03Z" w:initials="">
    <w:p w14:paraId="2008219C">
      <w:pPr>
        <w:pStyle w:val="4"/>
        <w:rPr>
          <w:rFonts w:hint="default" w:eastAsia="宋体"/>
          <w:lang w:val="en-US" w:eastAsia="zh-CN"/>
        </w:rPr>
      </w:pPr>
      <w:r>
        <w:rPr>
          <w:rFonts w:hint="eastAsia"/>
          <w:lang w:val="en-US" w:eastAsia="zh-CN"/>
        </w:rPr>
        <w:t>这里没看懂？置换指的是基于时间序列的数据增强？</w:t>
      </w:r>
    </w:p>
  </w:comment>
  <w:comment w:id="4" w:author="Armstrong" w:date="2026-09-03T22:19:23Z" w:initials="">
    <w:p w14:paraId="59924C04">
      <w:pPr>
        <w:pStyle w:val="4"/>
        <w:rPr>
          <w:rFonts w:hint="default" w:eastAsia="宋体"/>
          <w:lang w:val="en-US" w:eastAsia="zh-CN"/>
        </w:rPr>
      </w:pPr>
      <w:r>
        <w:rPr>
          <w:rFonts w:hint="eastAsia"/>
          <w:lang w:val="en-US" w:eastAsia="zh-CN"/>
        </w:rPr>
        <w:t>这里的成因机制很像LLM生成的，并不是你用模型可解释性方法得到的结论。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80A10D" w15:done="0"/>
  <w15:commentEx w15:paraId="554478E0" w15:done="0"/>
  <w15:commentEx w15:paraId="60460A12" w15:done="0"/>
  <w15:commentEx w15:paraId="2008219C" w15:done="0"/>
  <w15:commentEx w15:paraId="59924C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rmstrong">
    <w15:presenceInfo w15:providerId="WPS Office" w15:userId="676091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89D"/>
    <w:rsid w:val="00084FCE"/>
    <w:rsid w:val="001A09C2"/>
    <w:rsid w:val="00225A19"/>
    <w:rsid w:val="003D0306"/>
    <w:rsid w:val="00954DC3"/>
    <w:rsid w:val="009E2525"/>
    <w:rsid w:val="00B4389D"/>
    <w:rsid w:val="00E53203"/>
    <w:rsid w:val="00F27CC9"/>
    <w:rsid w:val="00F81EC0"/>
    <w:rsid w:val="47634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link w:val="10"/>
    <w:qFormat/>
    <w:uiPriority w:val="9"/>
    <w:pPr>
      <w:spacing w:after="90"/>
      <w:jc w:val="center"/>
      <w:outlineLvl w:val="0"/>
    </w:pPr>
    <w:rPr>
      <w:b/>
      <w:bCs/>
      <w:kern w:val="36"/>
      <w:sz w:val="28"/>
      <w:szCs w:val="28"/>
    </w:rPr>
  </w:style>
  <w:style w:type="paragraph" w:styleId="3">
    <w:name w:val="heading 2"/>
    <w:basedOn w:val="1"/>
    <w:link w:val="11"/>
    <w:qFormat/>
    <w:uiPriority w:val="9"/>
    <w:pPr>
      <w:spacing w:before="180" w:after="60"/>
      <w:outlineLvl w:val="1"/>
    </w:pPr>
    <w:rPr>
      <w:b/>
      <w:bCs/>
      <w:color w:val="000000"/>
      <w:sz w:val="22"/>
      <w:szCs w:val="2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footer"/>
    <w:basedOn w:val="1"/>
    <w:link w:val="20"/>
    <w:unhideWhenUsed/>
    <w:qFormat/>
    <w:uiPriority w:val="99"/>
    <w:pPr>
      <w:tabs>
        <w:tab w:val="center" w:pos="4153"/>
        <w:tab w:val="right" w:pos="8306"/>
      </w:tabs>
      <w:snapToGrid w:val="0"/>
    </w:pPr>
    <w:rPr>
      <w:sz w:val="18"/>
      <w:szCs w:val="18"/>
    </w:rPr>
  </w:style>
  <w:style w:type="paragraph" w:styleId="6">
    <w:name w:val="header"/>
    <w:basedOn w:val="1"/>
    <w:link w:val="19"/>
    <w:unhideWhenUsed/>
    <w:qFormat/>
    <w:uiPriority w:val="99"/>
    <w:pP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60" w:after="60"/>
      <w:jc w:val="both"/>
    </w:pPr>
  </w:style>
  <w:style w:type="character" w:customStyle="1" w:styleId="10">
    <w:name w:val="标题 1 字符"/>
    <w:basedOn w:val="9"/>
    <w:link w:val="2"/>
    <w:qFormat/>
    <w:uiPriority w:val="9"/>
    <w:rPr>
      <w:rFonts w:asciiTheme="majorHAnsi" w:hAnsiTheme="majorHAnsi" w:eastAsiaTheme="majorEastAsia" w:cstheme="majorBidi"/>
      <w:color w:val="104862" w:themeColor="accent1" w:themeShade="BF"/>
      <w:sz w:val="48"/>
      <w:szCs w:val="48"/>
    </w:rPr>
  </w:style>
  <w:style w:type="character" w:customStyle="1" w:styleId="11">
    <w:name w:val="标题 2 字符"/>
    <w:basedOn w:val="9"/>
    <w:link w:val="3"/>
    <w:semiHidden/>
    <w:qFormat/>
    <w:uiPriority w:val="9"/>
    <w:rPr>
      <w:rFonts w:asciiTheme="majorHAnsi" w:hAnsiTheme="majorHAnsi" w:eastAsiaTheme="majorEastAsia" w:cstheme="majorBidi"/>
      <w:color w:val="104862" w:themeColor="accent1" w:themeShade="BF"/>
      <w:sz w:val="40"/>
      <w:szCs w:val="40"/>
    </w:rPr>
  </w:style>
  <w:style w:type="paragraph" w:customStyle="1" w:styleId="12">
    <w:name w:val="msonormal"/>
    <w:basedOn w:val="1"/>
    <w:qFormat/>
    <w:uiPriority w:val="0"/>
    <w:pPr>
      <w:spacing w:before="60" w:after="60"/>
      <w:jc w:val="both"/>
    </w:pPr>
  </w:style>
  <w:style w:type="paragraph" w:customStyle="1" w:styleId="13">
    <w:name w:val="authors"/>
    <w:basedOn w:val="1"/>
    <w:qFormat/>
    <w:uiPriority w:val="0"/>
    <w:pPr>
      <w:spacing w:before="30" w:after="30"/>
      <w:jc w:val="center"/>
    </w:pPr>
    <w:rPr>
      <w:sz w:val="22"/>
      <w:szCs w:val="22"/>
    </w:rPr>
  </w:style>
  <w:style w:type="paragraph" w:customStyle="1" w:styleId="14">
    <w:name w:val="affil"/>
    <w:basedOn w:val="1"/>
    <w:uiPriority w:val="0"/>
    <w:pPr>
      <w:spacing w:before="15" w:after="15"/>
      <w:jc w:val="center"/>
    </w:pPr>
    <w:rPr>
      <w:color w:val="000000"/>
      <w:sz w:val="19"/>
      <w:szCs w:val="19"/>
    </w:rPr>
  </w:style>
  <w:style w:type="paragraph" w:customStyle="1" w:styleId="15">
    <w:name w:val="abstract"/>
    <w:basedOn w:val="1"/>
    <w:qFormat/>
    <w:uiPriority w:val="0"/>
    <w:pPr>
      <w:spacing w:before="90" w:after="90"/>
      <w:ind w:left="150" w:right="150"/>
    </w:pPr>
  </w:style>
  <w:style w:type="paragraph" w:customStyle="1" w:styleId="16">
    <w:name w:val="kw"/>
    <w:basedOn w:val="1"/>
    <w:qFormat/>
    <w:uiPriority w:val="0"/>
    <w:pPr>
      <w:spacing w:before="60" w:after="60"/>
      <w:ind w:left="150" w:right="150"/>
    </w:pPr>
  </w:style>
  <w:style w:type="paragraph" w:customStyle="1" w:styleId="17">
    <w:name w:val="refs"/>
    <w:basedOn w:val="1"/>
    <w:qFormat/>
    <w:uiPriority w:val="0"/>
    <w:pPr>
      <w:spacing w:before="100" w:beforeAutospacing="1" w:after="100" w:afterAutospacing="1"/>
    </w:pPr>
    <w:rPr>
      <w:sz w:val="18"/>
      <w:szCs w:val="18"/>
    </w:rPr>
  </w:style>
  <w:style w:type="paragraph" w:customStyle="1" w:styleId="18">
    <w:name w:val="tabcap"/>
    <w:basedOn w:val="1"/>
    <w:qFormat/>
    <w:uiPriority w:val="0"/>
    <w:pPr>
      <w:spacing w:before="60" w:after="30"/>
      <w:jc w:val="center"/>
    </w:pPr>
    <w:rPr>
      <w:sz w:val="19"/>
      <w:szCs w:val="19"/>
    </w:rPr>
  </w:style>
  <w:style w:type="character" w:customStyle="1" w:styleId="19">
    <w:name w:val="页眉 字符"/>
    <w:basedOn w:val="9"/>
    <w:link w:val="6"/>
    <w:qFormat/>
    <w:uiPriority w:val="99"/>
    <w:rPr>
      <w:rFonts w:ascii="宋体" w:hAnsi="宋体" w:eastAsia="宋体" w:cs="宋体"/>
      <w:sz w:val="18"/>
      <w:szCs w:val="18"/>
    </w:rPr>
  </w:style>
  <w:style w:type="character" w:customStyle="1" w:styleId="20">
    <w:name w:val="页脚 字符"/>
    <w:basedOn w:val="9"/>
    <w:link w:val="5"/>
    <w:qFormat/>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1242</Words>
  <Characters>2119</Characters>
  <Lines>16</Lines>
  <Paragraphs>4</Paragraphs>
  <TotalTime>4</TotalTime>
  <ScaleCrop>false</ScaleCrop>
  <LinksUpToDate>false</LinksUpToDate>
  <CharactersWithSpaces>2309</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2026-09-03T09:09:00Z</dcterms:created>
  <dc:creator>ROG</dc:creator>
  <cp:lastModifiedBy>Armstrong</cp:lastModifiedBy>
  <dcterms:modified xsi:type="dcterms:W3CDTF">2026-09-03T14:20:06Z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eyJoZGlkIjoiOGYyNTZlMDViODUxMzgxOGIyOGE4MWM0YmRlNjA5ZGYiLCJ1c2VySWQiOiI3NjA3MTEwMjMifQ==</vt:lpwstr>
  </property>
  <property fmtid="{D5CDD505-2E9C-101B-9397-08002B2CF9AE}" pid="3" name="KSOProductBuildVer">
    <vt:lpwstr>2052-12.1.0.28022</vt:lpwstr>
  </property>
  <property fmtid="{D5CDD505-2E9C-101B-9397-08002B2CF9AE}" pid="4" name="ICV">
    <vt:lpwstr>1E6A099A67E846A98124E574277AE1CF_13</vt:lpwstr>
  </property>
</Properties>
</file>