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pPr>
        <w:pStyle w:val="papertitle"/>
        <w:spacing w:before="5pt" w:after="5pt"/>
      </w:pPr>
      <w:r>
        <w:rPr>
          <w:rFonts w:ascii="Times New Roman" w:hAnsi="Times New Roman"/>
        </w:rPr>
        <w:t xml:space="preserve">Choice-Head Distillation for Dental Multiple-Choice Question Answering</w:t>
      </w:r>
    </w:p>
    <w:p>
      <w:pPr>
        <w:pStyle w:val="Author"/>
        <w:spacing w:before="5pt" w:after="5pt"/>
      </w:pPr>
    </w:p>
    <w:p>
      <w:pPr>
        <w:pStyle w:val="Author"/>
        <w:spacing w:before="5pt" w:after="5pt"/>
      </w:pPr>
    </w:p>
    <w:p>
      <w:pPr>
        <w:pStyle w:val="Author"/>
        <w:spacing w:before="5pt" w:after="5pt"/>
        <w:jc w:val="center"/>
      </w:pPr>
      <w:r>
        <w:rPr>
          <w:rFonts w:ascii="Times New Roman" w:hAnsi="Times New Roman"/>
          <w:sz w:val="18"/>
          <w:szCs w:val="18"/>
        </w:rPr>
        <w:t xml:space="preserve">Tianyuan Chen</w:t>
      </w:r>
      <w:r>
        <w:rPr>
          <w:rFonts w:ascii="Times New Roman" w:hAnsi="Times New Roman"/>
          <w:sz w:val="18"/>
          <w:szCs w:val="18"/>
          <w:vertAlign w:val="superscript"/>
        </w:rPr>
        <w:t xml:space="preserve">*</w:t>
      </w:r>
    </w:p>
    <w:p>
      <w:pPr>
        <w:pStyle w:val="Author"/>
        <w:spacing w:before="0pt" w:after="0pt"/>
        <w:jc w:val="center"/>
      </w:pPr>
      <w:r>
        <w:rPr>
          <w:rFonts w:ascii="Times New Roman" w:hAnsi="Times New Roman"/>
          <w:sz w:val="18"/>
          <w:szCs w:val="18"/>
          <w:i/>
        </w:rPr>
        <w:t xml:space="preserve">Dept. of Computer Science</w:t>
      </w:r>
    </w:p>
    <w:p>
      <w:pPr>
        <w:pStyle w:val="Author"/>
        <w:spacing w:before="0pt" w:after="0pt"/>
        <w:jc w:val="center"/>
      </w:pPr>
      <w:r>
        <w:rPr>
          <w:rFonts w:ascii="Times New Roman" w:hAnsi="Times New Roman"/>
          <w:sz w:val="18"/>
          <w:szCs w:val="18"/>
        </w:rPr>
        <w:t xml:space="preserve">Hong Kong Chu Hai College</w:t>
      </w:r>
    </w:p>
    <w:p>
      <w:pPr>
        <w:pStyle w:val="Author"/>
        <w:spacing w:before="0pt" w:after="0pt"/>
        <w:jc w:val="center"/>
      </w:pPr>
      <w:r>
        <w:rPr>
          <w:rFonts w:ascii="Times New Roman" w:hAnsi="Times New Roman"/>
          <w:sz w:val="18"/>
          <w:szCs w:val="18"/>
        </w:rPr>
        <w:t xml:space="preserve">Hong Kong SAR, China</w:t>
      </w:r>
    </w:p>
    <w:p>
      <w:pPr>
        <w:pStyle w:val="Author"/>
        <w:spacing w:before="5pt" w:after="0pt"/>
        <w:jc w:val="center"/>
      </w:pPr>
      <w:r>
        <w:rPr>
          <w:rFonts w:ascii="Times New Roman" w:hAnsi="Times New Roman"/>
          <w:sz w:val="16"/>
          <w:szCs w:val="16"/>
        </w:rPr>
        <w:t xml:space="preserve">*Corresponding author</w:t>
      </w:r>
    </w:p>
    <w:p>
      <w:pPr>
        <w:pStyle w:val="Author"/>
        <w:spacing w:before="0pt" w:after="5pt"/>
        <w:jc w:val="center"/>
      </w:pPr>
      <w:r>
        <w:rPr>
          <w:rFonts w:ascii="Times New Roman" w:hAnsi="Times New Roman"/>
          <w:sz w:val="16"/>
          <w:szCs w:val="16"/>
          <w:i/>
        </w:rPr>
        <w:t xml:space="preserve">Supervisor: Dr. Richard Tai-Chiu Hsung, Associate Professor, Dept. of Computer Science, Hong Kong Chu Hai College</w:t>
      </w:r>
    </w:p>
    <w:p>
      <w:pPr>
        <w:pStyle w:val="Author"/>
        <w:sectPr w:rsidR="001A3B3D" w:rsidSect="001A3B3D">
          <w:type w:val="continuous"/>
          <w:pgSz w:w="612pt" w:h="792pt" w:code="1"/>
          <w:pgMar w:top="54pt" w:right="44.65pt" w:bottom="72pt" w:left="44.65pt" w:header="36pt" w:footer="36pt" w:gutter="0pt"/>
          <w:cols w:space="36pt"/>
          <w:docGrid w:linePitch="360"/>
        </w:sectPr>
      </w:pPr>
    </w:p>
    <w:p>
      <w:pPr>
        <w:pStyle w:val="Abstract"/>
      </w:pPr>
      <w:r>
        <w:rPr>
          <w:rFonts w:ascii="Times New Roman" w:hAnsi="Times New Roman"/>
          <w:b/>
        </w:rPr>
        <w:t xml:space="preserve">Abstract</w:t>
      </w:r>
      <w:r>
        <w:rPr>
          <w:rFonts w:ascii="Times New Roman" w:hAnsi="Times New Roman"/>
        </w:rPr>
        <w:t xml:space="preserve">—Medical large language models achieve strong scores on exam benchmarks, but they remain expensive to deploy. This problem is pronounced in dental multiple-choice question answering, where the output space is limited to five options but many distillation methods still supervise the full vocabulary. This paper proposes Choice-Head distillation, which transfers only the teacher distribution over the answer options. The method is task-aligned, computationally lighter than vocabulary-level distillation, and compatible with black-box API teachers. Experiments use DeepSeek-V3 as the teacher and Qwen2.5-7B and Qwen2.5-14B as students on a CMExam-based resplit. On the 991-question full test set, the best 14B student reaches 89.10% accuracy, exceeding the 87.18% teacher. These results show that for structured medical multiple-choice tasks, decision-space distillation is a practical route to smaller and more deployable models.</w:t>
      </w:r>
    </w:p>
    <w:p>
      <w:pPr>
        <w:pStyle w:val="Keywords"/>
      </w:pPr>
      <w:r>
        <w:rPr>
          <w:rFonts w:ascii="Times New Roman" w:hAnsi="Times New Roman"/>
        </w:rPr>
        <w:t xml:space="preserve">Keywords—knowledge distillation, medical question answering, large language models, multiple-choice reasoning, decision-space supervision</w:t>
      </w:r>
    </w:p>
    <w:p>
      <w:pPr>
        <w:pStyle w:val="a3"/>
        <w:sectPr w:rsidR="009303D9" w:rsidSect="00C919A4">
          <w:type w:val="continuous"/>
          <w:pgSz w:w="612pt" w:h="792pt" w:code="1"/>
          <w:pgMar w:top="54pt" w:right="44.65pt" w:bottom="72pt" w:left="44.65pt" w:header="36pt" w:footer="36pt" w:gutter="0pt"/>
          <w:cols w:num="2" w:space="18pt"/>
          <w:docGrid w:linePitch="360"/>
        </w:sectPr>
      </w:pPr>
    </w:p>
    <w:p>
      <w:pPr>
        <w:pStyle w:val="1"/>
      </w:pPr>
      <w:r>
        <w:rPr>
          <w:rFonts w:ascii="Times New Roman" w:hAnsi="Times New Roman"/>
        </w:rPr>
        <w:t xml:space="preserve">Introduction</w:t>
      </w:r>
    </w:p>
    <w:p>
      <w:pPr>
        <w:pStyle w:val="a3"/>
        <w:ind w:firstLine="14.45pt"/>
      </w:pPr>
      <w:r>
        <w:rPr>
          <w:rFonts w:ascii="Times New Roman" w:hAnsi="Times New Roman"/>
        </w:rPr>
        <w:t xml:space="preserve">Knowledge distillation compresses large models by transferring soft targets to smaller students </w:t>
      </w:r>
      <w:r>
        <w:rPr>
          <w:rFonts w:ascii="Times New Roman" w:hAnsi="Times New Roman"/>
          <w:sz w:val="20"/>
          <w:szCs w:val="20"/>
          <w:vertAlign w:val="superscript"/>
        </w:rPr>
        <w:t xml:space="preserve">[1]-[4]</w:t>
      </w:r>
      <w:r>
        <w:rPr>
          <w:rFonts w:ascii="Times New Roman" w:hAnsi="Times New Roman"/>
        </w:rPr>
        <w:t xml:space="preserve">. Recent medical and general-purpose language models also motivate this direction because strong benchmark results often come with high inference cost and limited deployability </w:t>
      </w:r>
      <w:r>
        <w:rPr>
          <w:rFonts w:ascii="Times New Roman" w:hAnsi="Times New Roman"/>
          <w:sz w:val="20"/>
          <w:szCs w:val="20"/>
          <w:vertAlign w:val="superscript"/>
        </w:rPr>
        <w:t xml:space="preserve">[5]-[7]</w:t>
      </w:r>
      <w:r>
        <w:rPr>
          <w:rFonts w:ascii="Times New Roman" w:hAnsi="Times New Roman"/>
        </w:rPr>
        <w:t xml:space="preserve">. In exam-style medical QA, this trade-off is especially important because the deployment target is often a smaller assistant model rather than the largest available teacher.</w:t>
      </w:r>
    </w:p>
    <w:p>
      <w:pPr>
        <w:pStyle w:val="a3"/>
        <w:ind w:firstLine="14.45pt"/>
      </w:pPr>
      <w:r>
        <w:rPr>
          <w:rFonts w:ascii="Times New Roman" w:hAnsi="Times New Roman"/>
        </w:rPr>
        <w:t xml:space="preserve">This paper studies dental multiple-choice question answering, a five-option decision task. The task structure is simple, but many distillation pipelines still use full-vocabulary logits or free-form targets. That design is inefficient for a fixed-choice problem and is hard to use with API teachers that do not expose internal logits.</w:t>
      </w:r>
    </w:p>
    <w:p>
      <w:pPr>
        <w:pStyle w:val="a3"/>
        <w:ind w:firstLine="14.45pt"/>
      </w:pPr>
      <w:r>
        <w:rPr>
          <w:rFonts w:ascii="Times New Roman" w:hAnsi="Times New Roman"/>
        </w:rPr>
        <w:t xml:space="preserve">Another practical issue is evaluation reliability. Earlier small-test-set medical QA settings can make model ranking unstable because a difference of one or two questions already changes the reported accuracy by several points. This paper therefore emphasizes a larger CMExam-based resplit with a 991-question main test set. The larger benchmark is not a cosmetic change. It is necessary to judge whether a student-over-teacher result reflects a real transfer effect rather than seed noise or a favorable sample slice.</w:t>
      </w:r>
    </w:p>
    <w:p>
      <w:pPr>
        <w:pStyle w:val="a3"/>
        <w:ind w:firstLine="14.45pt"/>
      </w:pPr>
      <w:r>
        <w:rPr>
          <w:rFonts w:ascii="Times New Roman" w:hAnsi="Times New Roman"/>
        </w:rPr>
        <w:t xml:space="preserve">We address this mismatch with Choice-Head distillation. The method transfers only the teacher distribution over the five answer options. This paper makes two contributions. First, it presents a task-aligned distillation objective for five-option medical multiple-choice tasks. Second, it shows that this formulation can produce a student that outperforms its teacher: a Qwen2.5-14B student distilled from DeepSeek-V3 reaches 89.10% accuracy on a 991-question CMExam test set, above the teacher accuracy of 87.18%.</w:t>
      </w:r>
    </w:p>
    <w:p>
      <w:pPr>
        <w:pStyle w:val="a3"/>
        <w:ind w:firstLine="14.45pt"/>
      </w:pPr>
      <w:r>
        <w:rPr>
          <w:rFonts w:ascii="Times New Roman" w:hAnsi="Times New Roman"/>
        </w:rPr>
        <w:t xml:space="preserve">Fig. 1 shows the difference between full-vocabulary distillation and the proposed decision-space distillation.</w:t>
      </w:r>
    </w:p>
    <w:p>
      <w:pPr>
        <w:pStyle w:val="1"/>
      </w:pPr>
      <w:r>
        <w:rPr>
          <w:rFonts w:ascii="Times New Roman" w:hAnsi="Times New Roman"/>
        </w:rPr>
        <w:t xml:space="preserve">Related Work</w:t>
      </w:r>
    </w:p>
    <w:p>
      <w:pPr>
        <w:pStyle w:val="a3"/>
        <w:ind w:firstLine="14.45pt"/>
      </w:pPr>
      <w:r>
        <w:rPr>
          <w:rFonts w:ascii="Times New Roman" w:hAnsi="Times New Roman"/>
        </w:rPr>
        <w:t xml:space="preserve">Classic distillation transfers softened target distributions from a teacher to a student </w:t>
      </w:r>
      <w:r>
        <w:rPr>
          <w:rFonts w:ascii="Times New Roman" w:hAnsi="Times New Roman"/>
          <w:sz w:val="20"/>
          <w:szCs w:val="20"/>
          <w:vertAlign w:val="superscript"/>
        </w:rPr>
        <w:t xml:space="preserve">[1]</w:t>
      </w:r>
      <w:r>
        <w:rPr>
          <w:rFonts w:ascii="Times New Roman" w:hAnsi="Times New Roman"/>
        </w:rPr>
        <w:t xml:space="preserve">. Later work extends this idea to compact transformer models, parameter-efficient adaptation, and toolkits for large-scale compression </w:t>
      </w:r>
      <w:r>
        <w:rPr>
          <w:rFonts w:ascii="Times New Roman" w:hAnsi="Times New Roman"/>
          <w:sz w:val="20"/>
          <w:szCs w:val="20"/>
          <w:vertAlign w:val="superscript"/>
        </w:rPr>
        <w:t xml:space="preserve">[2]-[4]</w:t>
      </w:r>
      <w:r>
        <w:rPr>
          <w:rFonts w:ascii="Times New Roman" w:hAnsi="Times New Roman"/>
        </w:rPr>
        <w:t xml:space="preserve">. In language models, the usual target remains the token vocabulary distribution.</w:t>
      </w:r>
    </w:p>
    <w:p>
      <w:pPr>
        <w:pStyle w:val="a3"/>
        <w:ind w:firstLine="14.45pt"/>
      </w:pPr>
      <w:r>
        <w:rPr>
          <w:rFonts w:ascii="Times New Roman" w:hAnsi="Times New Roman"/>
        </w:rPr>
        <w:t xml:space="preserve">For medical QA, stronger teachers and larger evaluation sets have improved reported performance </w:t>
      </w:r>
      <w:r>
        <w:rPr>
          <w:rFonts w:ascii="Times New Roman" w:hAnsi="Times New Roman"/>
          <w:sz w:val="20"/>
          <w:szCs w:val="20"/>
          <w:vertAlign w:val="superscript"/>
        </w:rPr>
        <w:t xml:space="preserve">[6]</w:t>
      </w:r>
      <w:r>
        <w:rPr>
          <w:rFonts w:ascii="Times New Roman" w:hAnsi="Times New Roman"/>
        </w:rPr>
        <w:t xml:space="preserve">, </w:t>
      </w:r>
      <w:r>
        <w:rPr>
          <w:rFonts w:ascii="Times New Roman" w:hAnsi="Times New Roman"/>
          <w:sz w:val="20"/>
          <w:szCs w:val="20"/>
          <w:vertAlign w:val="superscript"/>
        </w:rPr>
        <w:t xml:space="preserve">[7]</w:t>
      </w:r>
      <w:r>
        <w:rPr>
          <w:rFonts w:ascii="Times New Roman" w:hAnsi="Times New Roman"/>
        </w:rPr>
        <w:t xml:space="preserve">. However, less attention has been given to the question of whether the supervision target itself should change when the downstream task is a fixed-choice exam. Our method differs from generic LLM distillation because it treats the answer-option distribution, not the full vocabulary, as the transfer object.</w:t>
      </w:r>
    </w:p>
    <w:p>
      <w:pPr>
        <w:pStyle w:val="a3"/>
        <w:ind w:firstLine="14.45pt"/>
      </w:pPr>
      <w:r>
        <w:rPr>
          <w:rFonts w:ascii="Times New Roman" w:hAnsi="Times New Roman"/>
        </w:rPr>
        <w:t xml:space="preserve">This distinction matters because the downstream task is classification-like even though the underlying models are generative. In open-ended generation, a vocabulary-level target may be justified because many output tokens are semantically relevant. In a five-option exam, most of the vocabulary is unrelated to the final decision. A task-aligned target can therefore simplify training while preserving the uncertainty structure that still influences the answer choice.</w:t>
      </w:r>
    </w:p>
    <w:p>
      <w:pPr>
        <w:pStyle w:val="1"/>
      </w:pPr>
      <w:r>
        <w:rPr>
          <w:rFonts w:ascii="Times New Roman" w:hAnsi="Times New Roman"/>
        </w:rPr>
        <w:t xml:space="preserve">Method</w:t>
      </w:r>
    </w:p>
    <w:p>
      <w:pPr>
        <w:pStyle w:val="2"/>
      </w:pPr>
      <w:r>
        <w:rPr>
          <w:rFonts w:ascii="Times New Roman" w:hAnsi="Times New Roman"/>
        </w:rPr>
        <w:t xml:space="preserve">Problem Setting</w:t>
      </w:r>
    </w:p>
    <w:p>
      <w:pPr>
        <w:pStyle w:val="a3"/>
        <w:ind w:firstLine="14.45pt"/>
      </w:pPr>
      <w:r>
        <w:rPr>
          <w:rFonts w:ascii="Times New Roman" w:hAnsi="Times New Roman"/>
        </w:rPr>
        <w:t xml:space="preserve">Given a multiple-choice question x with five candidate answers, the goal is to predict the correct option y ∈ {A, B, C, D, E}. Let p be the teacher distribution over the five options and p be the student distribution over the same options.</w:t>
      </w:r>
    </w:p>
    <w:p>
      <w:pPr>
        <w:pStyle w:val="a3"/>
        <w:ind w:firstLine="14.45pt"/>
      </w:pPr>
      <w:r>
        <w:rPr>
          <w:rFonts w:ascii="Times New Roman" w:hAnsi="Times New Roman"/>
        </w:rPr>
        <w:t xml:space="preserve">Traditional distillation minimizes divergence over the full token vocabulary. In contrast, we distill only the distribution over the decision-relevant option set.</w:t>
      </w:r>
    </w:p>
    <w:p>
      <w:pPr>
        <w:pStyle w:val="2"/>
      </w:pPr>
      <w:r>
        <w:rPr>
          <w:rFonts w:ascii="Times New Roman" w:hAnsi="Times New Roman"/>
        </w:rPr>
        <w:t xml:space="preserve">Choice-Head Distillation</w:t>
      </w:r>
    </w:p>
    <w:p>
      <w:pPr>
        <w:pStyle w:val="a3"/>
        <w:ind w:firstLine="14.45pt"/>
      </w:pPr>
      <w:r>
        <w:rPr>
          <w:rFonts w:ascii="Times New Roman" w:hAnsi="Times New Roman"/>
        </w:rPr>
        <w:t xml:space="preserve">Stage 1 training combines distillation and ground-truth supervision:</w:t>
      </w:r>
    </w:p>
    <w:p>
      <w:pPr>
        <w:pStyle w:val="equation"/>
      </w:pPr>
      <w:r>
        <w:rPr>
          <w:rFonts w:ascii="Times New Roman" w:hAnsi="Times New Roman"/>
        </w:rPr>
        <w:t xml:space="preserve">	</w:t>
      </w:r>
      <w:r>
        <w:rPr>
          <w:rFonts w:ascii="Times New Roman" w:hAnsi="Times New Roman"/>
          <w:i/>
        </w:rPr>
        <w:t xml:space="preserve">L</w:t>
      </w:r>
      <w:r>
        <w:rPr>
          <w:rFonts w:ascii="Times New Roman" w:hAnsi="Times New Roman"/>
        </w:rPr>
        <w:t xml:space="preserve"> = </w:t>
      </w:r>
      <w:r>
        <w:rPr>
          <w:rFonts w:ascii="Times New Roman" w:hAnsi="Times New Roman"/>
          <w:i/>
        </w:rPr>
        <w:t xml:space="preserve">α</w:t>
      </w:r>
      <w:r>
        <w:rPr>
          <w:rFonts w:ascii="Times New Roman" w:hAnsi="Times New Roman"/>
        </w:rPr>
        <w:t xml:space="preserve">D</w:t>
      </w:r>
      <w:r>
        <w:rPr>
          <w:rFonts w:ascii="Times New Roman" w:hAnsi="Times New Roman"/>
          <w:vertAlign w:val="subscript"/>
        </w:rPr>
        <w:t xml:space="preserve">KL</w:t>
      </w:r>
      <w:r>
        <w:rPr>
          <w:rFonts w:ascii="Times New Roman" w:hAnsi="Times New Roman"/>
        </w:rPr>
        <w:t xml:space="preserve">(</w:t>
      </w:r>
      <w:r>
        <w:rPr>
          <w:rFonts w:ascii="Times New Roman" w:hAnsi="Times New Roman"/>
          <w:i/>
        </w:rPr>
        <w:t xml:space="preserve">p</w:t>
      </w:r>
      <w:r>
        <w:rPr>
          <w:rFonts w:ascii="Times New Roman" w:hAnsi="Times New Roman"/>
          <w:vertAlign w:val="subscript"/>
        </w:rPr>
        <w:t xml:space="preserve">T</w:t>
      </w:r>
      <w:r>
        <w:rPr>
          <w:rFonts w:ascii="Times New Roman" w:hAnsi="Times New Roman"/>
        </w:rPr>
        <w:t xml:space="preserve"> ∥ </w:t>
      </w:r>
      <w:r>
        <w:rPr>
          <w:rFonts w:ascii="Times New Roman" w:hAnsi="Times New Roman"/>
          <w:i/>
        </w:rPr>
        <w:t xml:space="preserve">p</w:t>
      </w:r>
      <w:r>
        <w:rPr>
          <w:rFonts w:ascii="Times New Roman" w:hAnsi="Times New Roman"/>
          <w:vertAlign w:val="subscript"/>
        </w:rPr>
        <w:t xml:space="preserve">S</w:t>
      </w:r>
      <w:r>
        <w:rPr>
          <w:rFonts w:ascii="Times New Roman" w:hAnsi="Times New Roman"/>
        </w:rPr>
        <w:t xml:space="preserve">) + (1−</w:t>
      </w:r>
      <w:r>
        <w:rPr>
          <w:rFonts w:ascii="Times New Roman" w:hAnsi="Times New Roman"/>
          <w:i/>
        </w:rPr>
        <w:t xml:space="preserve">α</w:t>
      </w:r>
      <w:r>
        <w:rPr>
          <w:rFonts w:ascii="Times New Roman" w:hAnsi="Times New Roman"/>
        </w:rPr>
        <w:t xml:space="preserve">)</w:t>
      </w:r>
      <w:r>
        <w:rPr>
          <w:rFonts w:ascii="Times New Roman" w:hAnsi="Times New Roman"/>
          <w:i/>
        </w:rPr>
        <w:t xml:space="preserve">L</w:t>
      </w:r>
      <w:r>
        <w:rPr>
          <w:rFonts w:ascii="Times New Roman" w:hAnsi="Times New Roman"/>
          <w:vertAlign w:val="subscript"/>
        </w:rPr>
        <w:t xml:space="preserve">CE</w:t>
      </w:r>
      <w:r>
        <w:rPr>
          <w:rFonts w:ascii="Times New Roman" w:hAnsi="Times New Roman"/>
        </w:rPr>
        <w:t xml:space="preserve">	(1)</w:t>
      </w:r>
    </w:p>
    <w:p>
      <w:pPr>
        <w:pStyle w:val="a3"/>
        <w:ind w:firstLine="14.45pt"/>
      </w:pPr>
      <w:r>
        <w:rPr>
          <w:rFonts w:ascii="Times New Roman" w:hAnsi="Times New Roman"/>
        </w:rPr>
        <w:t xml:space="preserve">In the main setting, α = 0.35. This objective has three direct advantages over vocabulary-level distillation. It matches the task output space, removes irrelevant supervision dimensions, and works with black-box teachers.</w:t>
      </w:r>
    </w:p>
    <w:p>
      <w:pPr>
        <w:pStyle w:val="a3"/>
        <w:ind w:firstLine="14.45pt"/>
      </w:pPr>
      <w:r>
        <w:rPr>
          <w:rFonts w:ascii="Times New Roman" w:hAnsi="Times New Roman"/>
        </w:rPr>
        <w:t xml:space="preserve">The method is also lightweight in a practical sense. It does not require hidden-state matching, rationale generation, or full-logit access. The teacher only needs to provide a calibrated relative preference over the five answer options. This makes the pipeline easier to deploy when the strongest available teacher is an API model rather than a locally hosted white-box model.</w:t>
      </w:r>
    </w:p>
    <w:p>
      <w:pPr>
        <w:pStyle w:val="a3"/>
        <w:ind w:firstLine="14.45pt"/>
      </w:pPr>
      <w:r>
        <w:rPr>
          <w:rFonts w:ascii="Times New Roman" w:hAnsi="Times New Roman"/>
        </w:rPr>
        <w:t xml:space="preserve">Fig. 2 shows the Choice-Head training pipeline.</w:t>
      </w:r>
    </w:p>
    <w:p>
      <w:pPr>
        <w:pStyle w:val="2"/>
      </w:pPr>
      <w:r>
        <w:rPr>
          <w:rFonts w:ascii="Times New Roman" w:hAnsi="Times New Roman"/>
        </w:rPr>
        <w:t xml:space="preserve">Training Strategy</w:t>
      </w:r>
    </w:p>
    <w:p>
      <w:pPr>
        <w:pStyle w:val="a3"/>
        <w:ind w:firstLine="14.45pt"/>
      </w:pPr>
      <w:r>
        <w:rPr>
          <w:rFonts w:ascii="Times New Roman" w:hAnsi="Times New Roman"/>
        </w:rPr>
        <w:t xml:space="preserve">The broader project also tested a second stage that applies ground-truth supervised fine-tuning after Stage 1. For the strongest 14B student, however, Stage 2 does not help and can be mildly harmful. The best-performing 14B configuration in this paper therefore uses Stage 1 only.</w:t>
      </w:r>
    </w:p>
    <w:p>
      <w:pPr>
        <w:pStyle w:val="a3"/>
        <w:ind w:firstLine="14.45pt"/>
      </w:pPr>
      <w:r>
        <w:rPr>
          <w:rFonts w:ascii="Times New Roman" w:hAnsi="Times New Roman"/>
        </w:rPr>
        <w:t xml:space="preserve">This observation is important because it clarifies the role of the two stages. Stage 1 injects teacher structure by teaching the student how the options relate to each other. Stage 2, in contrast, sharpens the model toward the hard gold label. For weaker students, that extra correction can be useful. For stronger students, it can become over-calibration: the hard-label update may flatten the soft option geometry that made the distilled model effective in the first place. The best 14B configuration in this work therefore stops after Stage 1 instead of assuming that a longer pipeline must be better.</w:t>
      </w:r>
    </w:p>
    <w:p>
      <w:pPr>
        <w:pStyle w:val="1"/>
      </w:pPr>
      <w:r>
        <w:rPr>
          <w:rFonts w:ascii="Times New Roman" w:hAnsi="Times New Roman"/>
        </w:rPr>
        <w:t xml:space="preserve">Experimental Setup</w:t>
      </w:r>
    </w:p>
    <w:p>
      <w:pPr>
        <w:pStyle w:val="a3"/>
        <w:ind w:firstLine="14.45pt"/>
      </w:pPr>
      <w:r>
        <w:rPr>
          <w:rFonts w:ascii="Times New Roman" w:hAnsi="Times New Roman"/>
        </w:rPr>
        <w:t xml:space="preserve">The evaluation uses a CMExam-based resplit with 6,591 single-choice medical questions across seven subjects </w:t>
      </w:r>
      <w:r>
        <w:rPr>
          <w:rFonts w:ascii="Times New Roman" w:hAnsi="Times New Roman"/>
          <w:sz w:val="20"/>
          <w:szCs w:val="20"/>
          <w:vertAlign w:val="superscript"/>
        </w:rPr>
        <w:t xml:space="preserve">[7]</w:t>
      </w:r>
      <w:r>
        <w:rPr>
          <w:rFonts w:ascii="Times New Roman" w:hAnsi="Times New Roman"/>
        </w:rPr>
        <w:t xml:space="preserve">. The train, validation, and test splits contain 4,608, 991, and 991 questions. A 125-question dental subset is retained for specialty-focused analysis.</w:t>
      </w:r>
    </w:p>
    <w:p>
      <w:pPr>
        <w:pStyle w:val="a3"/>
        <w:ind w:firstLine="14.45pt"/>
      </w:pPr>
      <w:r>
        <w:rPr>
          <w:rFonts w:ascii="Times New Roman" w:hAnsi="Times New Roman"/>
        </w:rPr>
        <w:t xml:space="preserve">The resplit follows a 70/15/15 partition and is stratified by difficulty, which keeps the large test set more representative than the small specialty-only setting used in earlier experiments. This matters for interpretation. A 991-question test does not eliminate uncertainty, but it substantially reduces the chance that a strong result is caused by a lucky sample rather than by a stable improvement in decision quality.</w:t>
      </w:r>
    </w:p>
    <w:p>
      <w:pPr>
        <w:pStyle w:val="a3"/>
        <w:ind w:firstLine="14.45pt"/>
      </w:pPr>
      <w:r>
        <w:rPr>
          <w:rFonts w:ascii="Times New Roman" w:hAnsi="Times New Roman"/>
        </w:rPr>
        <w:t xml:space="preserve">The teacher is DeepSeek-V3 </w:t>
      </w:r>
      <w:r>
        <w:rPr>
          <w:rFonts w:ascii="Times New Roman" w:hAnsi="Times New Roman"/>
          <w:sz w:val="20"/>
          <w:szCs w:val="20"/>
          <w:vertAlign w:val="superscript"/>
        </w:rPr>
        <w:t xml:space="preserve">[6]</w:t>
      </w:r>
      <w:r>
        <w:rPr>
          <w:rFonts w:ascii="Times New Roman" w:hAnsi="Times New Roman"/>
        </w:rPr>
        <w:t xml:space="preserve">. The students are Qwen2.5-7B-Instruct and Qwen2.5-14B-Instruct </w:t>
      </w:r>
      <w:r>
        <w:rPr>
          <w:rFonts w:ascii="Times New Roman" w:hAnsi="Times New Roman"/>
          <w:sz w:val="20"/>
          <w:szCs w:val="20"/>
          <w:vertAlign w:val="superscript"/>
        </w:rPr>
        <w:t xml:space="preserve">[5]</w:t>
      </w:r>
      <w:r>
        <w:rPr>
          <w:rFonts w:ascii="Times New Roman" w:hAnsi="Times New Roman"/>
        </w:rPr>
        <w:t xml:space="preserve">. Training uses LoRA with rank 16 and LoRA alpha 32 </w:t>
      </w:r>
      <w:r>
        <w:rPr>
          <w:rFonts w:ascii="Times New Roman" w:hAnsi="Times New Roman"/>
          <w:sz w:val="20"/>
          <w:szCs w:val="20"/>
          <w:vertAlign w:val="superscript"/>
        </w:rPr>
        <w:t xml:space="preserve">[3]</w:t>
      </w:r>
      <w:r>
        <w:rPr>
          <w:rFonts w:ascii="Times New Roman" w:hAnsi="Times New Roman"/>
        </w:rPr>
        <w:t xml:space="preserve">. For the main 14B setting, Stage 1 is run for one epoch with learning rate 1×10⁻⁴.</w:t>
      </w:r>
    </w:p>
    <w:p>
      <w:pPr>
        <w:pStyle w:val="a3"/>
        <w:ind w:firstLine="14.45pt"/>
      </w:pPr>
      <w:r>
        <w:rPr>
          <w:rFonts w:ascii="Times New Roman" w:hAnsi="Times New Roman"/>
        </w:rPr>
        <w:t xml:space="preserve">Teacher labels cover the full training split. In the full-data setting, the teacher and ground truth disagree on about 12.2% of the training questions. This disagreement is useful rather than purely harmful: it indicates that the teacher provides nontrivial relative preferences instead of merely repeating the gold label. At the same time, the disagreement rate is not so high that the teacher becomes unreliable as a transfer source.</w:t>
      </w:r>
    </w:p>
    <w:p>
      <w:pPr>
        <w:pStyle w:val="a3"/>
        <w:ind w:firstLine="14.45pt"/>
      </w:pPr>
      <w:r>
        <w:rPr>
          <w:rFonts w:ascii="Times New Roman" w:hAnsi="Times New Roman"/>
        </w:rPr>
        <w:t xml:space="preserve">Evaluation reports both the 991-question full test set and the 125-question dental subset. The former is the main benchmark used for claims about overall effectiveness. The latter is retained for domain-specific inspection, but its smaller size makes it more sensitive to variance and therefore less suitable as the sole basis for a central conclusion.</w:t>
      </w:r>
    </w:p>
    <w:p>
      <w:pPr>
        <w:pStyle w:val="1"/>
      </w:pPr>
      <w:r>
        <w:rPr>
          <w:rFonts w:ascii="Times New Roman" w:hAnsi="Times New Roman"/>
        </w:rPr>
        <w:t xml:space="preserve">Results and Discussion</w:t>
      </w:r>
    </w:p>
    <w:p>
      <w:pPr>
        <w:pStyle w:val="tablehead"/>
      </w:pPr>
      <w:r>
        <w:rPr>
          <w:rFonts w:ascii="Times New Roman" w:hAnsi="Times New Roman"/>
        </w:rPr>
        <w:t xml:space="preserve">Table I. Main results on the CMExam full-data and dental test sets.</w:t>
      </w:r>
    </w:p>
    <w:tbl>
      <w:tblPr>
        <w:tblW w:w="0pt" w:type="dxa"/>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ayout w:type="fixed"/>
      </w:tblPr>
      <w:tblGrid>
        <w:gridCol w:w="3600"/>
        <w:gridCol w:w="3600"/>
        <w:gridCol w:w="1800"/>
        <w:gridCol w:w="1800"/>
      </w:tblGrid>
      <w:tr>
        <w:trPr>
          <w:tblHeader/>
          <w:cantSplit/>
        </w:trPr>
        <w:tc>
          <w:tcPr>
            <w:tcBorders>
              <w:bottom w:val="single" w:sz="4" w:space="0" w:color="000000"/>
            </w:tcBorders>
          </w:tcPr>
          <w:p>
            <w:pPr>
              <w:pStyle w:val="tablecolhead"/>
              <w:jc w:val="center"/>
            </w:pPr>
            <w:r>
              <w:rPr>
                <w:rFonts w:ascii="Times New Roman" w:hAnsi="Times New Roman"/>
                <w:sz w:val="16"/>
                <w:szCs w:val="16"/>
                <w:b/>
              </w:rPr>
              <w:t xml:space="preserve">Model</w:t>
            </w:r>
          </w:p>
        </w:tc>
        <w:tc>
          <w:tcPr>
            <w:tcBorders>
              <w:bottom w:val="single" w:sz="4" w:space="0" w:color="000000"/>
            </w:tcBorders>
          </w:tcPr>
          <w:p>
            <w:pPr>
              <w:pStyle w:val="tablecolhead"/>
              <w:jc w:val="center"/>
            </w:pPr>
            <w:r>
              <w:rPr>
                <w:rFonts w:ascii="Times New Roman" w:hAnsi="Times New Roman"/>
                <w:sz w:val="16"/>
                <w:szCs w:val="16"/>
                <w:b/>
              </w:rPr>
              <w:t xml:space="preserve">Config</w:t>
            </w:r>
          </w:p>
        </w:tc>
        <w:tc>
          <w:tcPr>
            <w:tcBorders>
              <w:bottom w:val="single" w:sz="4" w:space="0" w:color="000000"/>
            </w:tcBorders>
          </w:tcPr>
          <w:p>
            <w:pPr>
              <w:pStyle w:val="tablecolhead"/>
              <w:jc w:val="center"/>
            </w:pPr>
            <w:r>
              <w:rPr>
                <w:rFonts w:ascii="Times New Roman" w:hAnsi="Times New Roman"/>
                <w:sz w:val="16"/>
                <w:szCs w:val="16"/>
                <w:b/>
              </w:rPr>
              <w:t xml:space="preserve">Full Test Acc.</w:t>
            </w:r>
          </w:p>
        </w:tc>
        <w:tc>
          <w:tcPr>
            <w:tcBorders>
              <w:bottom w:val="single" w:sz="4" w:space="0" w:color="000000"/>
            </w:tcBorders>
          </w:tcPr>
          <w:p>
            <w:pPr>
              <w:pStyle w:val="tablecolhead"/>
              <w:jc w:val="center"/>
            </w:pPr>
            <w:r>
              <w:rPr>
                <w:rFonts w:ascii="Times New Roman" w:hAnsi="Times New Roman"/>
                <w:sz w:val="16"/>
                <w:szCs w:val="16"/>
                <w:b/>
              </w:rPr>
              <w:t xml:space="preserve">Dental Test Acc.</w:t>
            </w:r>
          </w:p>
        </w:tc>
      </w:tr>
      <w:tr>
        <w:trPr>
          <w:cantSplit/>
        </w:trPr>
        <w:tc>
          <w:tcPr/>
          <w:p>
            <w:pPr>
              <w:pStyle w:val="tablecopy"/>
            </w:pPr>
            <w:r>
              <w:rPr>
                <w:rFonts w:ascii="Times New Roman" w:hAnsi="Times New Roman"/>
                <w:sz w:val="16"/>
                <w:szCs w:val="16"/>
              </w:rPr>
              <w:t xml:space="preserve">Qwen2.5-7B</w:t>
            </w:r>
          </w:p>
        </w:tc>
        <w:tc>
          <w:tcPr/>
          <w:p>
            <w:pPr>
              <w:pStyle w:val="tablecopy"/>
            </w:pPr>
            <w:r>
              <w:rPr>
                <w:rFonts w:ascii="Times New Roman" w:hAnsi="Times New Roman"/>
                <w:sz w:val="16"/>
                <w:szCs w:val="16"/>
              </w:rPr>
              <w:t xml:space="preserve">Zero-shot</w:t>
            </w:r>
          </w:p>
        </w:tc>
        <w:tc>
          <w:tcPr/>
          <w:p>
            <w:pPr>
              <w:pStyle w:val="tablecopy"/>
              <w:jc w:val="center"/>
            </w:pPr>
            <w:r>
              <w:rPr>
                <w:rFonts w:ascii="Times New Roman" w:hAnsi="Times New Roman"/>
                <w:sz w:val="16"/>
                <w:szCs w:val="16"/>
              </w:rPr>
              <w:t xml:space="preserve">76.49%</w:t>
            </w:r>
          </w:p>
        </w:tc>
        <w:tc>
          <w:tcPr/>
          <w:p>
            <w:pPr>
              <w:pStyle w:val="tablecopy"/>
              <w:jc w:val="center"/>
            </w:pPr>
            <w:r>
              <w:rPr>
                <w:rFonts w:ascii="Times New Roman" w:hAnsi="Times New Roman"/>
                <w:sz w:val="16"/>
                <w:szCs w:val="16"/>
              </w:rPr>
              <w:t xml:space="preserve">68.80%</w:t>
            </w:r>
          </w:p>
        </w:tc>
      </w:tr>
      <w:tr>
        <w:trPr>
          <w:cantSplit/>
        </w:trPr>
        <w:tc>
          <w:tcPr/>
          <w:p>
            <w:pPr>
              <w:pStyle w:val="tablecopy"/>
            </w:pPr>
            <w:r>
              <w:rPr>
                <w:rFonts w:ascii="Times New Roman" w:hAnsi="Times New Roman"/>
                <w:sz w:val="16"/>
                <w:szCs w:val="16"/>
              </w:rPr>
              <w:t xml:space="preserve">Qwen2.5-14B</w:t>
            </w:r>
          </w:p>
        </w:tc>
        <w:tc>
          <w:tcPr/>
          <w:p>
            <w:pPr>
              <w:pStyle w:val="tablecopy"/>
            </w:pPr>
            <w:r>
              <w:rPr>
                <w:rFonts w:ascii="Times New Roman" w:hAnsi="Times New Roman"/>
                <w:sz w:val="16"/>
                <w:szCs w:val="16"/>
              </w:rPr>
              <w:t xml:space="preserve">Zero-shot</w:t>
            </w:r>
          </w:p>
        </w:tc>
        <w:tc>
          <w:tcPr/>
          <w:p>
            <w:pPr>
              <w:pStyle w:val="tablecopy"/>
              <w:jc w:val="center"/>
            </w:pPr>
            <w:r>
              <w:rPr>
                <w:rFonts w:ascii="Times New Roman" w:hAnsi="Times New Roman"/>
                <w:sz w:val="16"/>
                <w:szCs w:val="16"/>
              </w:rPr>
              <w:t xml:space="preserve">83.55%</w:t>
            </w:r>
          </w:p>
        </w:tc>
        <w:tc>
          <w:tcPr/>
          <w:p>
            <w:pPr>
              <w:pStyle w:val="tablecopy"/>
              <w:jc w:val="center"/>
            </w:pPr>
            <w:r>
              <w:rPr>
                <w:rFonts w:ascii="Times New Roman" w:hAnsi="Times New Roman"/>
                <w:sz w:val="16"/>
                <w:szCs w:val="16"/>
              </w:rPr>
              <w:t xml:space="preserve">74.40%</w:t>
            </w:r>
          </w:p>
        </w:tc>
      </w:tr>
      <w:tr>
        <w:trPr>
          <w:cantSplit/>
        </w:trPr>
        <w:tc>
          <w:tcPr/>
          <w:p>
            <w:pPr>
              <w:pStyle w:val="tablecopy"/>
            </w:pPr>
            <w:r>
              <w:rPr>
                <w:rFonts w:ascii="Times New Roman" w:hAnsi="Times New Roman"/>
                <w:sz w:val="16"/>
                <w:szCs w:val="16"/>
              </w:rPr>
              <w:t xml:space="preserve">DeepSeek-V3</w:t>
            </w:r>
          </w:p>
        </w:tc>
        <w:tc>
          <w:tcPr/>
          <w:p>
            <w:pPr>
              <w:pStyle w:val="tablecopy"/>
            </w:pPr>
            <w:r>
              <w:rPr>
                <w:rFonts w:ascii="Times New Roman" w:hAnsi="Times New Roman"/>
                <w:sz w:val="16"/>
                <w:szCs w:val="16"/>
              </w:rPr>
              <w:t xml:space="preserve">Teacher</w:t>
            </w:r>
          </w:p>
        </w:tc>
        <w:tc>
          <w:tcPr/>
          <w:p>
            <w:pPr>
              <w:pStyle w:val="tablecopy"/>
              <w:jc w:val="center"/>
            </w:pPr>
            <w:r>
              <w:rPr>
                <w:rFonts w:ascii="Times New Roman" w:hAnsi="Times New Roman"/>
                <w:sz w:val="16"/>
                <w:szCs w:val="16"/>
              </w:rPr>
              <w:t xml:space="preserve">87.18%</w:t>
            </w:r>
          </w:p>
        </w:tc>
        <w:tc>
          <w:tcPr/>
          <w:p>
            <w:pPr>
              <w:pStyle w:val="tablecopy"/>
              <w:jc w:val="center"/>
            </w:pPr>
            <w:r>
              <w:rPr>
                <w:rFonts w:ascii="Times New Roman" w:hAnsi="Times New Roman"/>
                <w:sz w:val="16"/>
                <w:szCs w:val="16"/>
              </w:rPr>
              <w:t xml:space="preserve">79.20%</w:t>
            </w:r>
          </w:p>
        </w:tc>
      </w:tr>
      <w:tr>
        <w:trPr>
          <w:cantSplit/>
        </w:trPr>
        <w:tc>
          <w:tcPr/>
          <w:p>
            <w:pPr>
              <w:pStyle w:val="tablecopy"/>
            </w:pPr>
            <w:r>
              <w:rPr>
                <w:rFonts w:ascii="Times New Roman" w:hAnsi="Times New Roman"/>
                <w:sz w:val="16"/>
                <w:szCs w:val="16"/>
              </w:rPr>
              <w:t xml:space="preserve">Qwen2.5-7B</w:t>
            </w:r>
          </w:p>
        </w:tc>
        <w:tc>
          <w:tcPr/>
          <w:p>
            <w:pPr>
              <w:pStyle w:val="tablecopy"/>
            </w:pPr>
            <w:r>
              <w:rPr>
                <w:rFonts w:ascii="Times New Roman" w:hAnsi="Times New Roman"/>
                <w:sz w:val="16"/>
                <w:szCs w:val="16"/>
              </w:rPr>
              <w:t xml:space="preserve">S1 mean</w:t>
            </w:r>
          </w:p>
        </w:tc>
        <w:tc>
          <w:tcPr/>
          <w:p>
            <w:pPr>
              <w:pStyle w:val="tablecopy"/>
              <w:jc w:val="center"/>
            </w:pPr>
            <w:r>
              <w:rPr>
                <w:rFonts w:ascii="Times New Roman" w:hAnsi="Times New Roman"/>
                <w:sz w:val="16"/>
                <w:szCs w:val="16"/>
              </w:rPr>
              <w:t xml:space="preserve">85.60%</w:t>
            </w:r>
          </w:p>
        </w:tc>
        <w:tc>
          <w:tcPr/>
          <w:p>
            <w:pPr>
              <w:pStyle w:val="tablecopy"/>
              <w:jc w:val="center"/>
            </w:pPr>
            <w:r>
              <w:rPr>
                <w:rFonts w:ascii="Times New Roman" w:hAnsi="Times New Roman"/>
                <w:sz w:val="16"/>
                <w:szCs w:val="16"/>
              </w:rPr>
              <w:t xml:space="preserve">73.60%</w:t>
            </w:r>
          </w:p>
        </w:tc>
      </w:tr>
      <w:tr>
        <w:trPr>
          <w:cantSplit/>
        </w:trPr>
        <w:tc>
          <w:tcPr/>
          <w:p>
            <w:pPr>
              <w:pStyle w:val="tablecopy"/>
            </w:pPr>
            <w:r>
              <w:rPr>
                <w:rFonts w:ascii="Times New Roman" w:hAnsi="Times New Roman"/>
                <w:sz w:val="16"/>
                <w:szCs w:val="16"/>
              </w:rPr>
              <w:t xml:space="preserve">Qwen2.5-14B</w:t>
            </w:r>
          </w:p>
        </w:tc>
        <w:tc>
          <w:tcPr/>
          <w:p>
            <w:pPr>
              <w:pStyle w:val="tablecopy"/>
            </w:pPr>
            <w:r>
              <w:rPr>
                <w:rFonts w:ascii="Times New Roman" w:hAnsi="Times New Roman"/>
                <w:sz w:val="16"/>
                <w:szCs w:val="16"/>
              </w:rPr>
              <w:t xml:space="preserve">S1 mean</w:t>
            </w:r>
          </w:p>
        </w:tc>
        <w:tc>
          <w:tcPr/>
          <w:p>
            <w:pPr>
              <w:pStyle w:val="tablecopy"/>
              <w:jc w:val="center"/>
            </w:pPr>
            <w:r>
              <w:rPr>
                <w:rFonts w:ascii="Times New Roman" w:hAnsi="Times New Roman"/>
                <w:sz w:val="16"/>
                <w:szCs w:val="16"/>
              </w:rPr>
              <w:t xml:space="preserve">88.67%</w:t>
            </w:r>
          </w:p>
        </w:tc>
        <w:tc>
          <w:tcPr/>
          <w:p>
            <w:pPr>
              <w:pStyle w:val="tablecopy"/>
              <w:jc w:val="center"/>
            </w:pPr>
            <w:r>
              <w:rPr>
                <w:rFonts w:ascii="Times New Roman" w:hAnsi="Times New Roman"/>
                <w:sz w:val="16"/>
                <w:szCs w:val="16"/>
              </w:rPr>
              <w:t xml:space="preserve">79.20%</w:t>
            </w:r>
          </w:p>
        </w:tc>
      </w:tr>
      <w:tr>
        <w:trPr>
          <w:cantSplit/>
        </w:trPr>
        <w:tc>
          <w:tcPr/>
          <w:p>
            <w:pPr>
              <w:pStyle w:val="tablecopy"/>
            </w:pPr>
            <w:r>
              <w:rPr>
                <w:rFonts w:ascii="Times New Roman" w:hAnsi="Times New Roman"/>
                <w:sz w:val="16"/>
                <w:szCs w:val="16"/>
              </w:rPr>
              <w:t xml:space="preserve">Qwen2.5-14B</w:t>
            </w:r>
          </w:p>
        </w:tc>
        <w:tc>
          <w:tcPr/>
          <w:p>
            <w:pPr>
              <w:pStyle w:val="tablecopy"/>
            </w:pPr>
            <w:r>
              <w:rPr>
                <w:rFonts w:ascii="Times New Roman" w:hAnsi="Times New Roman"/>
                <w:sz w:val="16"/>
                <w:szCs w:val="16"/>
              </w:rPr>
              <w:t xml:space="preserve">S1 best</w:t>
            </w:r>
          </w:p>
        </w:tc>
        <w:tc>
          <w:tcPr/>
          <w:p>
            <w:pPr>
              <w:pStyle w:val="tablecopy"/>
              <w:jc w:val="center"/>
            </w:pPr>
            <w:r>
              <w:rPr>
                <w:rFonts w:ascii="Times New Roman" w:hAnsi="Times New Roman"/>
                <w:sz w:val="16"/>
                <w:szCs w:val="16"/>
              </w:rPr>
              <w:t xml:space="preserve">89.10%</w:t>
            </w:r>
          </w:p>
        </w:tc>
        <w:tc>
          <w:tcPr/>
          <w:p>
            <w:pPr>
              <w:pStyle w:val="tablecopy"/>
              <w:jc w:val="center"/>
            </w:pPr>
            <w:r>
              <w:rPr>
                <w:rFonts w:ascii="Times New Roman" w:hAnsi="Times New Roman"/>
                <w:sz w:val="16"/>
                <w:szCs w:val="16"/>
              </w:rPr>
              <w:t xml:space="preserve">78.40%</w:t>
            </w:r>
          </w:p>
        </w:tc>
      </w:tr>
    </w:tbl>
    <w:p>
      <w:pPr>
        <w:pStyle w:val="tablefootnote"/>
      </w:pPr>
      <w:r>
        <w:rPr>
          <w:rFonts w:ascii="Times New Roman" w:hAnsi="Times New Roman"/>
        </w:rPr>
        <w:t xml:space="preserve">Full = 991-question full test set. Dental = 125-question dental subset. S1 = Stage 1 only.</w:t>
      </w:r>
    </w:p>
    <w:p>
      <w:pPr>
        <w:pStyle w:val="a3"/>
        <w:ind w:firstLine="14.45pt"/>
      </w:pPr>
      <w:r>
        <w:rPr>
          <w:rFonts w:ascii="Times New Roman" w:hAnsi="Times New Roman"/>
        </w:rPr>
        <w:t xml:space="preserve">As shown in Table I, the method improves both student sizes. On the full test set, the 7B student rises from 76.49% to 85.60%, a gain of 9.11 percentage points. The 14B student rises from 83.55% to 88.67% on average, a gain of 5.12 percentage points. The best 14B run reaches 89.10%, which exceeds the 87.18% teacher.</w:t>
      </w:r>
    </w:p>
    <w:p>
      <w:pPr>
        <w:pStyle w:val="a3"/>
        <w:ind w:firstLine="14.45pt"/>
      </w:pPr>
      <w:r>
        <w:rPr>
          <w:rFonts w:ascii="Times New Roman" w:hAnsi="Times New Roman"/>
        </w:rPr>
        <w:t xml:space="preserve">The stronger result is not only the peak score but also the stability around it. Across three seeds, the 14B distilled model ranges from 88.40% to 89.10%, a spread of only 0.70 percentage points. This is a much stronger basis for interpretation than a single standout run. The mean and the best run tell the same story: the task-aligned student is consistently competitive with, and in the best case superior to, the teacher.</w:t>
      </w:r>
    </w:p>
    <w:p>
      <w:pPr>
        <w:pStyle w:val="a3"/>
        <w:ind w:firstLine="14.45pt"/>
      </w:pPr>
      <w:r>
        <w:rPr>
          <w:rFonts w:ascii="Times New Roman" w:hAnsi="Times New Roman"/>
        </w:rPr>
        <w:t xml:space="preserve">Fig. 3 compares the 14B zero-shot baseline, the teacher, and the distilled 14B student.</w:t>
      </w:r>
    </w:p>
    <w:p>
      <w:pPr>
        <w:pStyle w:val="a3"/>
        <w:ind w:firstLine="14.45pt"/>
      </w:pPr>
      <w:r>
        <w:rPr>
          <w:rFonts w:ascii="Times New Roman" w:hAnsi="Times New Roman"/>
        </w:rPr>
        <w:t xml:space="preserve">The main conclusion should be read from the full 991-question test set rather than from the smaller dental subset. The dental subset remains useful, but its smaller size makes it more sensitive to variance. On the main benchmark, the distilled 14B student is stronger than both its zero-shot baseline and the teacher.</w:t>
      </w:r>
    </w:p>
    <w:p>
      <w:pPr>
        <w:pStyle w:val="a3"/>
        <w:ind w:firstLine="14.45pt"/>
      </w:pPr>
      <w:r>
        <w:rPr>
          <w:rFonts w:ascii="Times New Roman" w:hAnsi="Times New Roman"/>
        </w:rPr>
        <w:t xml:space="preserve">The 7B results reinforce that the method is not restricted to a single model size. The 7B student improves by more than nine points on the full test set and remains substantially above its own zero-shot baseline on the dental subset. This matters because the practical motivation of distillation is often to improve the smaller and cheaper model first. In that sense, the 14B student-over-teacher result is the strongest headline, but the 7B gains are equally important for deployment relevance.</w:t>
      </w:r>
    </w:p>
    <w:p>
      <w:pPr>
        <w:pStyle w:val="a3"/>
        <w:ind w:firstLine="14.45pt"/>
      </w:pPr>
      <w:r>
        <w:rPr>
          <w:rFonts w:ascii="Times New Roman" w:hAnsi="Times New Roman"/>
        </w:rPr>
        <w:t xml:space="preserve">The student-over-teacher result does not mean the teacher is weak. It shows that a task-aligned student can combine teacher uncertainty with direct task optimization to learn a stronger decision boundary. Another practical finding is that Stage 2 is not always beneficial. For a strong 14B student, extra ground-truth fine-tuning can erase useful soft-label structure instead of improving it.</w:t>
      </w:r>
    </w:p>
    <w:p>
      <w:pPr>
        <w:pStyle w:val="a3"/>
        <w:ind w:firstLine="14.45pt"/>
      </w:pPr>
      <w:r>
        <w:rPr>
          <w:rFonts w:ascii="Times New Roman" w:hAnsi="Times New Roman"/>
        </w:rPr>
        <w:t xml:space="preserve">Additional large-scale runs also suggest that this is not a one-off effect limited to the 14B student. In the same 991-question setting, the 7B Stage 1 mean reaches 85.60%, while the corresponding Stage 2 mean is 85.20%. The drop is small, but it points in the same direction: once the decision-space structure has already been transferred effectively, extra hard-label correction does not necessarily improve the final model. This supports the broader claim that distillation pipelines should be selected conditionally rather than mechanically extended.</w:t>
      </w:r>
    </w:p>
    <w:p>
      <w:pPr>
        <w:pStyle w:val="a3"/>
        <w:ind w:firstLine="14.45pt"/>
      </w:pPr>
      <w:r>
        <w:rPr>
          <w:rFonts w:ascii="Times New Roman" w:hAnsi="Times New Roman"/>
        </w:rPr>
        <w:t xml:space="preserve">Another important interpretation concerns why a student can exceed its teacher at all. The student is not learning every aspect of the teacher. It is learning a compressed and task-focused view of the teacher signal while also being optimized directly for the benchmark objective. That combination can act like regularized transfer: the student inherits useful uncertainty patterns but is not forced to imitate every irrelevant or noisy part of the teacher distribution.</w:t>
      </w:r>
    </w:p>
    <w:p>
      <w:pPr>
        <w:pStyle w:val="a3"/>
        <w:ind w:firstLine="14.45pt"/>
      </w:pPr>
      <w:r>
        <w:rPr>
          <w:rFonts w:ascii="Times New Roman" w:hAnsi="Times New Roman"/>
        </w:rPr>
        <w:t xml:space="preserve">Overall, the method works because it keeps only the uncertainty structure that matters for the final option choice and discards irrelevant supervision dimensions.</w:t>
      </w:r>
    </w:p>
    <w:p>
      <w:pPr>
        <w:pStyle w:val="a3"/>
        <w:ind w:firstLine="14.45pt"/>
      </w:pPr>
      <w:r>
        <w:rPr>
          <w:rFonts w:ascii="Times New Roman" w:hAnsi="Times New Roman"/>
        </w:rPr>
        <w:t xml:space="preserve">The current paper still has clear boundaries. The result is strongest for structured five-option medical exams and should not be over-generalized to open-ended clinical dialogue or rationale generation. Nevertheless, within its intended setting, the evidence is strong enough to support a practical conclusion: for standardized medical MCQ tasks, decision-space supervision is not merely a cheaper approximation to full-vocabulary distillation; it can be the better training target.</w:t>
      </w:r>
    </w:p>
    <w:p>
      <w:pPr>
        <w:pStyle w:val="1"/>
      </w:pPr>
      <w:r>
        <w:rPr>
          <w:rFonts w:ascii="Times New Roman" w:hAnsi="Times New Roman"/>
        </w:rPr>
        <w:t xml:space="preserve">Conclusion</w:t>
      </w:r>
    </w:p>
    <w:p>
      <w:pPr>
        <w:pStyle w:val="a3"/>
        <w:ind w:firstLine="14.45pt"/>
      </w:pPr>
      <w:r>
        <w:rPr>
          <w:rFonts w:ascii="Times New Roman" w:hAnsi="Times New Roman"/>
        </w:rPr>
        <w:t xml:space="preserve">This paper presented Choice-Head distillation for dental multiple-choice question answering. The method distills only the five-option answer distribution, not the full vocabulary. This makes the supervision target closer to the task and keeps the framework compatible with black-box teachers. On the 991-question CMExam-based test set, the best 14B student reaches 89.10% accuracy and exceeds the 87.18% DeepSeek-V3 teacher. For structured medical multiple-choice tasks, decision-space distillation is therefore a practical path to smaller and more deployable QA systems.</w:t>
      </w:r>
    </w:p>
    <w:p>
      <w:pPr>
        <w:pStyle w:val="a3"/>
        <w:ind w:firstLine="14.45pt"/>
      </w:pPr>
      <w:r>
        <w:rPr>
          <w:rFonts w:ascii="Times New Roman" w:hAnsi="Times New Roman"/>
        </w:rPr>
        <w:t xml:space="preserve">More broadly, the study suggests a simple design principle: when the downstream task has a small and explicit decision space, distillation should be defined in that same space unless there is strong evidence that broader supervision is needed. In this setting, the smaller target is not a compromise. It is the reason the transfer becomes both efficient and effective.</w:t>
      </w:r>
    </w:p>
    <w:p>
      <w:pPr>
        <w:pStyle w:val="5"/>
      </w:pPr>
      <w:r>
        <w:rPr>
          <w:rFonts w:ascii="Times New Roman" w:hAnsi="Times New Roman"/>
        </w:rPr>
        <w:t xml:space="preserve">References</w:t>
      </w:r>
    </w:p>
    <w:p>
      <w:pPr>
        <w:pStyle w:val="references"/>
        <w:spacing w:before="0" w:after="0"/>
        <w:ind w:start="17.70pt" w:hanging="17.70pt"/>
      </w:pPr>
      <w:r>
        <w:rPr>
          <w:rFonts w:ascii="Times New Roman" w:hAnsi="Times New Roman"/>
          <w:sz w:val="16"/>
          <w:szCs w:val="16"/>
        </w:rPr>
        <w:t xml:space="preserve">[1] G. Hinton, O. Vinyals, and J. Dean, “Distilling the Knowledge in a Neural Network,” in NIPS Deep Learning and Representation Learning Workshop, Montreal, Canada, 2015. doi: 10.48550/arXiv.1503.02531.</w:t>
      </w:r>
    </w:p>
    <w:p>
      <w:pPr>
        <w:pStyle w:val="references"/>
        <w:spacing w:before="0" w:after="0"/>
        <w:ind w:start="17.70pt" w:hanging="17.70pt"/>
      </w:pPr>
      <w:r>
        <w:rPr>
          <w:rFonts w:ascii="Times New Roman" w:hAnsi="Times New Roman"/>
          <w:sz w:val="16"/>
          <w:szCs w:val="16"/>
        </w:rPr>
        <w:t xml:space="preserve">[2] V. Sanh, L. Debut, J. Chaumond, and T. Wolf, “DistilBERT, a distilled version of BERT: smaller, faster, cheaper and lighter,” arXiv:1910.01108, 2019. doi: 10.48550/arXiv.1910.01108.</w:t>
      </w:r>
    </w:p>
    <w:p>
      <w:pPr>
        <w:pStyle w:val="references"/>
        <w:spacing w:before="0" w:after="0"/>
        <w:ind w:start="17.70pt" w:hanging="17.70pt"/>
      </w:pPr>
      <w:r>
        <w:rPr>
          <w:rFonts w:ascii="Times New Roman" w:hAnsi="Times New Roman"/>
          <w:sz w:val="16"/>
          <w:szCs w:val="16"/>
        </w:rPr>
        <w:t xml:space="preserve">[3] E. J. Hu et al., “LoRA: Low-Rank Adaptation of Large Language Models,” arXiv:2106.09685, 2021. doi: 10.48550/arXiv.2106.09685.</w:t>
      </w:r>
    </w:p>
    <w:p>
      <w:pPr>
        <w:pStyle w:val="references"/>
        <w:spacing w:before="0" w:after="0"/>
        <w:ind w:start="17.70pt" w:hanging="17.70pt"/>
      </w:pPr>
      <w:r>
        <w:rPr>
          <w:rFonts w:ascii="Times New Roman" w:hAnsi="Times New Roman"/>
          <w:sz w:val="16"/>
          <w:szCs w:val="16"/>
        </w:rPr>
        <w:t xml:space="preserve">[4] X. Liu et al., “TextBrewer: An Open-Source Knowledge Distillation Toolkit for Natural Language Processing,” arXiv:2002.12620, 2020. doi: 10.48550/arXiv.2002.12620.</w:t>
      </w:r>
    </w:p>
    <w:p>
      <w:pPr>
        <w:pStyle w:val="references"/>
        <w:spacing w:before="0" w:after="0"/>
        <w:ind w:start="17.70pt" w:hanging="17.70pt"/>
      </w:pPr>
      <w:r>
        <w:rPr>
          <w:rFonts w:ascii="Times New Roman" w:hAnsi="Times New Roman"/>
          <w:sz w:val="16"/>
          <w:szCs w:val="16"/>
        </w:rPr>
        <w:t xml:space="preserve">[5] Qwen Team, “Qwen2.5 Technical Report,” arXiv:2412.15115, 2024. doi: 10.48550/arXiv.2412.15115.</w:t>
      </w:r>
    </w:p>
    <w:p>
      <w:pPr>
        <w:pStyle w:val="references"/>
        <w:spacing w:before="0" w:after="0"/>
        <w:ind w:start="17.70pt" w:hanging="17.70pt"/>
      </w:pPr>
      <w:r>
        <w:rPr>
          <w:rFonts w:ascii="Times New Roman" w:hAnsi="Times New Roman"/>
          <w:sz w:val="16"/>
          <w:szCs w:val="16"/>
        </w:rPr>
        <w:t xml:space="preserve">[6] DeepSeek-AI, “DeepSeek-V3 Technical Report,” arXiv:2412.19437, 2024. doi: 10.48550/arXiv.2412.19437.</w:t>
      </w:r>
    </w:p>
    <w:p>
      <w:pPr>
        <w:pStyle w:val="references"/>
        <w:spacing w:before="0" w:after="0"/>
        <w:ind w:start="17.70pt" w:hanging="17.70pt"/>
      </w:pPr>
      <w:r>
        <w:rPr>
          <w:rFonts w:ascii="Times New Roman" w:hAnsi="Times New Roman"/>
          <w:sz w:val="16"/>
          <w:szCs w:val="16"/>
        </w:rPr>
        <w:t xml:space="preserve">[7] T. Liu et al., “Benchmarking Large Language Models on CMExam: A Comprehensive Chinese Medical Exam Dataset,” in Advances in Neural Information Processing Systems, 2023. doi: 10.52202/075280-2283.</w:t>
      </w:r>
    </w:p>
    <w:sectPr w:rsidR="009303D9">
      <w:pgSz w:w="612pt" w:h="792pt" w:code="1"/>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A53585C" w14:textId="77777777" w:rsidR="00207D81" w:rsidRDefault="00207D81" w:rsidP="001A3B3D">
      <w:r>
        <w:separator/>
      </w:r>
    </w:p>
  </w:endnote>
  <w:endnote w:type="continuationSeparator" w:id="0">
    <w:p w14:paraId="511F44E0" w14:textId="77777777" w:rsidR="00207D81" w:rsidRDefault="00207D8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1924F3D"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652B979" w14:textId="77777777" w:rsidR="00207D81" w:rsidRDefault="00207D81" w:rsidP="001A3B3D">
      <w:r>
        <w:separator/>
      </w:r>
    </w:p>
  </w:footnote>
  <w:footnote w:type="continuationSeparator" w:id="0">
    <w:p w14:paraId="189C9FD4" w14:textId="77777777" w:rsidR="00207D81" w:rsidRDefault="00207D8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7545524">
    <w:abstractNumId w:val="14"/>
  </w:num>
  <w:num w:numId="2" w16cid:durableId="1897735808">
    <w:abstractNumId w:val="19"/>
  </w:num>
  <w:num w:numId="3" w16cid:durableId="43450946">
    <w:abstractNumId w:val="13"/>
  </w:num>
  <w:num w:numId="4" w16cid:durableId="78018166">
    <w:abstractNumId w:val="16"/>
  </w:num>
  <w:num w:numId="5" w16cid:durableId="1164932437">
    <w:abstractNumId w:val="16"/>
  </w:num>
  <w:num w:numId="6" w16cid:durableId="691807596">
    <w:abstractNumId w:val="16"/>
  </w:num>
  <w:num w:numId="7" w16cid:durableId="43792340">
    <w:abstractNumId w:val="16"/>
  </w:num>
  <w:num w:numId="8" w16cid:durableId="2117557132">
    <w:abstractNumId w:val="18"/>
  </w:num>
  <w:num w:numId="9" w16cid:durableId="846794306">
    <w:abstractNumId w:val="20"/>
  </w:num>
  <w:num w:numId="10" w16cid:durableId="1336609886">
    <w:abstractNumId w:val="15"/>
  </w:num>
  <w:num w:numId="11" w16cid:durableId="1665816013">
    <w:abstractNumId w:val="12"/>
  </w:num>
  <w:num w:numId="12" w16cid:durableId="2087872106">
    <w:abstractNumId w:val="11"/>
  </w:num>
  <w:num w:numId="13" w16cid:durableId="791292549">
    <w:abstractNumId w:val="0"/>
  </w:num>
  <w:num w:numId="14" w16cid:durableId="1461262535">
    <w:abstractNumId w:val="10"/>
  </w:num>
  <w:num w:numId="15" w16cid:durableId="1497719601">
    <w:abstractNumId w:val="8"/>
  </w:num>
  <w:num w:numId="16" w16cid:durableId="1477181579">
    <w:abstractNumId w:val="7"/>
  </w:num>
  <w:num w:numId="17" w16cid:durableId="1515992482">
    <w:abstractNumId w:val="6"/>
  </w:num>
  <w:num w:numId="18" w16cid:durableId="390930121">
    <w:abstractNumId w:val="5"/>
  </w:num>
  <w:num w:numId="19" w16cid:durableId="557979096">
    <w:abstractNumId w:val="9"/>
  </w:num>
  <w:num w:numId="20" w16cid:durableId="1875802713">
    <w:abstractNumId w:val="4"/>
  </w:num>
  <w:num w:numId="21" w16cid:durableId="1163930338">
    <w:abstractNumId w:val="3"/>
  </w:num>
  <w:num w:numId="22" w16cid:durableId="1473406612">
    <w:abstractNumId w:val="2"/>
  </w:num>
  <w:num w:numId="23" w16cid:durableId="120849385">
    <w:abstractNumId w:val="1"/>
  </w:num>
  <w:num w:numId="24" w16cid:durableId="91678889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A2EFD"/>
    <w:rsid w:val="001A3B3D"/>
    <w:rsid w:val="001A42EA"/>
    <w:rsid w:val="001B67DC"/>
    <w:rsid w:val="001D7BCF"/>
    <w:rsid w:val="00207D81"/>
    <w:rsid w:val="002254A9"/>
    <w:rsid w:val="00233D97"/>
    <w:rsid w:val="002850E3"/>
    <w:rsid w:val="00354FCF"/>
    <w:rsid w:val="003A19E2"/>
    <w:rsid w:val="00421EC6"/>
    <w:rsid w:val="004325FB"/>
    <w:rsid w:val="004432BA"/>
    <w:rsid w:val="0044407E"/>
    <w:rsid w:val="004C1D6E"/>
    <w:rsid w:val="004D72B5"/>
    <w:rsid w:val="00547E73"/>
    <w:rsid w:val="00551B7F"/>
    <w:rsid w:val="0056610F"/>
    <w:rsid w:val="00575BCA"/>
    <w:rsid w:val="005B0344"/>
    <w:rsid w:val="005B520E"/>
    <w:rsid w:val="005E2800"/>
    <w:rsid w:val="006347CF"/>
    <w:rsid w:val="00645D22"/>
    <w:rsid w:val="00651A08"/>
    <w:rsid w:val="00654204"/>
    <w:rsid w:val="00670434"/>
    <w:rsid w:val="006A0349"/>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05D3A"/>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45FA97E"/>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TotalTime>
  <Pages>1</Pages>
  <Words>4036</Words>
  <Characters>10376</Characters>
  <Application>Microsoft Office Word</Application>
  <DocSecurity>0</DocSecurity>
  <Lines>451</Lines>
  <Paragraphs>252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Weishan Zhang</cp:lastModifiedBy>
  <cp:revision>5</cp:revision>
  <dcterms:created xsi:type="dcterms:W3CDTF">2019-01-08T18:42:00Z</dcterms:created>
  <dcterms:modified xsi:type="dcterms:W3CDTF">2025-08-27T05:52:00Z</dcterms:modified>
</cp:coreProperties>
</file>