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2F2C8">
      <w:pPr>
        <w:pStyle w:val="2"/>
        <w:rPr>
          <w:lang w:val="en-US" w:eastAsia="zh-CN"/>
        </w:rPr>
      </w:pPr>
      <w:bookmarkStart w:id="0" w:name="_Toc10566"/>
      <w:r>
        <w:t>交互规范</w:t>
      </w:r>
      <w:bookmarkEnd w:id="0"/>
    </w:p>
    <w:p w14:paraId="69C916D6">
      <w:pPr>
        <w:pStyle w:val="3"/>
      </w:pPr>
      <w:r>
        <w:t>服务暴露端口</w:t>
      </w:r>
    </w:p>
    <w:p w14:paraId="25B4D4FE">
      <w:pPr>
        <w:spacing w:line="574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用户模型服务在容器内必须监听以下固定端口：</w:t>
      </w:r>
    </w:p>
    <w:p w14:paraId="263DE875">
      <w:pPr>
        <w:spacing w:line="574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服务端口：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8000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/tcp</w:t>
      </w:r>
    </w:p>
    <w:p w14:paraId="16BDECE1">
      <w:pPr>
        <w:spacing w:line="574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健康检查端口：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8000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/tcp（路径/health）</w:t>
      </w:r>
    </w:p>
    <w:p w14:paraId="51F0B03C">
      <w:pPr>
        <w:spacing w:line="574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平台侧通过端口映射将容器内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端口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映射到宿主机动态分配端口，供评测系统调用。</w:t>
      </w:r>
    </w:p>
    <w:p w14:paraId="6F94BC13">
      <w:pPr>
        <w:pStyle w:val="3"/>
      </w:pPr>
      <w:r>
        <w:t>通用接口规范</w:t>
      </w:r>
    </w:p>
    <w:p w14:paraId="3B8BDF83">
      <w:pPr>
        <w:spacing w:line="574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所有模型服务必须实现以下HTTP接口：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45249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0F2056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接口</w:t>
            </w:r>
          </w:p>
        </w:tc>
        <w:tc>
          <w:p w14:paraId="46DD24BB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方法</w:t>
            </w:r>
          </w:p>
        </w:tc>
        <w:tc>
          <w:p w14:paraId="4E6E1C09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说明</w:t>
            </w:r>
          </w:p>
        </w:tc>
      </w:tr>
      <w:tr w14:paraId="489EF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F23C3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/health</w:t>
            </w:r>
          </w:p>
        </w:tc>
        <w:tc>
          <w:p w14:paraId="40DCDD17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GET</w:t>
            </w:r>
          </w:p>
        </w:tc>
        <w:tc>
          <w:p w14:paraId="5A6B766A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健康检查，返回HTTP</w:t>
            </w:r>
            <w:r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200及状态信息</w:t>
            </w:r>
          </w:p>
        </w:tc>
      </w:tr>
      <w:tr w14:paraId="0175E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0A570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/predict</w:t>
            </w:r>
          </w:p>
        </w:tc>
        <w:tc>
          <w:p w14:paraId="3D28A842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POST</w:t>
            </w:r>
          </w:p>
        </w:tc>
        <w:tc>
          <w:p w14:paraId="1B543598">
            <w:pPr>
              <w:pStyle w:val="9"/>
              <w:jc w:val="left"/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模型推理主接口（具体字段由每次检测任务另行规定）</w:t>
            </w:r>
          </w:p>
        </w:tc>
      </w:tr>
    </w:tbl>
    <w:p w14:paraId="53990D00">
      <w:pPr>
        <w:pStyle w:val="4"/>
      </w:pPr>
    </w:p>
    <w:p w14:paraId="30519B51">
      <w:pPr>
        <w:pStyle w:val="5"/>
        <w:rPr>
          <w:rFonts w:ascii="Times New Roman" w:hAnsi="Times New Roman" w:eastAsia="楷体" w:cs="Times New Roman"/>
          <w:b w:val="0"/>
          <w:bCs/>
          <w:kern w:val="2"/>
          <w:sz w:val="32"/>
          <w:szCs w:val="32"/>
          <w:lang w:val="en-US" w:eastAsia="zh-CN" w:bidi="ar-SA"/>
        </w:rPr>
      </w:pPr>
      <w:r>
        <w:rPr>
          <w:rFonts w:ascii="Times New Roman" w:hAnsi="Times New Roman" w:eastAsia="楷体" w:cs="Times New Roman"/>
          <w:b w:val="0"/>
          <w:bCs/>
          <w:kern w:val="2"/>
          <w:sz w:val="32"/>
          <w:szCs w:val="32"/>
          <w:lang w:val="en-US" w:eastAsia="zh-CN" w:bidi="ar-SA"/>
        </w:rPr>
        <w:t>健康检查接口</w:t>
      </w:r>
    </w:p>
    <w:p w14:paraId="4940F156">
      <w:pPr>
        <w:spacing w:line="574" w:lineRule="exact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请求：</w:t>
      </w:r>
    </w:p>
    <w:p w14:paraId="15224220">
      <w:pPr>
        <w:spacing w:line="574" w:lineRule="exact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GET/health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HTTP/1.1</w:t>
      </w:r>
    </w:p>
    <w:p w14:paraId="70045318">
      <w:pPr>
        <w:spacing w:line="574" w:lineRule="exact"/>
        <w:rPr>
          <w:rFonts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  <w:lang w:val="en-US" w:eastAsia="zh-CN"/>
        </w:rPr>
        <w:t>正常响应：</w:t>
      </w:r>
    </w:p>
    <w:p w14:paraId="336A7015">
      <w:pPr>
        <w:spacing w:line="574" w:lineRule="exact"/>
        <w:ind w:left="420" w:hanging="420" w:hangingChars="200"/>
        <w:rPr>
          <w:rFonts w:ascii="Times New Roman" w:hAnsi="Times New Roman" w:eastAsia="仿宋_GB2312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仿宋_GB2312" w:cs="Times New Roman"/>
          <w:sz w:val="21"/>
          <w:szCs w:val="21"/>
          <w:lang w:val="en-US" w:eastAsia="zh-CN"/>
        </w:rPr>
        <w:t>{</w:t>
      </w:r>
      <w:r>
        <w:rPr>
          <w:rFonts w:ascii="Times New Roman" w:hAnsi="Times New Roman" w:eastAsia="仿宋_GB2312" w:cs="Times New Roman"/>
          <w:sz w:val="21"/>
          <w:szCs w:val="21"/>
          <w:lang w:val="en-US" w:eastAsia="zh-CN"/>
        </w:rPr>
        <w:br w:type="textWrapping"/>
      </w:r>
      <w:r>
        <w:rPr>
          <w:rFonts w:ascii="Times New Roman" w:hAnsi="Times New Roman" w:eastAsia="仿宋_GB2312" w:cs="Times New Roman"/>
          <w:sz w:val="21"/>
          <w:szCs w:val="21"/>
          <w:lang w:val="en-US" w:eastAsia="zh-CN"/>
        </w:rPr>
        <w:t>"status":"healthy",</w:t>
      </w:r>
      <w:r>
        <w:rPr>
          <w:rFonts w:ascii="Times New Roman" w:hAnsi="Times New Roman" w:eastAsia="仿宋_GB2312" w:cs="Times New Roman"/>
          <w:sz w:val="21"/>
          <w:szCs w:val="21"/>
          <w:lang w:val="en-US" w:eastAsia="zh-CN"/>
        </w:rPr>
        <w:br w:type="textWrapping"/>
      </w:r>
      <w:r>
        <w:rPr>
          <w:rFonts w:ascii="Times New Roman" w:hAnsi="Times New Roman" w:eastAsia="仿宋_GB2312" w:cs="Times New Roman"/>
          <w:sz w:val="21"/>
          <w:szCs w:val="21"/>
          <w:lang w:val="en-US" w:eastAsia="zh-CN"/>
        </w:rPr>
        <w:t>"timestamp":"2026-08-09T14:00:00Z"</w:t>
      </w:r>
    </w:p>
    <w:p w14:paraId="0446B3EF">
      <w:pPr>
        <w:spacing w:line="574" w:lineRule="exact"/>
        <w:rPr>
          <w:rFonts w:ascii="Times New Roman" w:hAnsi="Times New Roman" w:eastAsia="仿宋_GB2312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仿宋_GB2312" w:cs="Times New Roman"/>
          <w:sz w:val="21"/>
          <w:szCs w:val="21"/>
          <w:lang w:val="en-US" w:eastAsia="zh-CN"/>
        </w:rPr>
        <w:t>}</w:t>
      </w:r>
    </w:p>
    <w:p w14:paraId="0FC8E46D">
      <w:pPr>
        <w:pStyle w:val="5"/>
        <w:rPr>
          <w:rFonts w:ascii="Times New Roman" w:hAnsi="Times New Roman" w:eastAsia="楷体" w:cs="Times New Roman"/>
          <w:b w:val="0"/>
          <w:bCs/>
          <w:kern w:val="2"/>
          <w:sz w:val="32"/>
          <w:szCs w:val="32"/>
          <w:lang w:val="en-US" w:eastAsia="zh-CN" w:bidi="ar-SA"/>
        </w:rPr>
      </w:pPr>
      <w:r>
        <w:rPr>
          <w:rFonts w:ascii="Times New Roman" w:hAnsi="Times New Roman" w:eastAsia="楷体" w:cs="Times New Roman"/>
          <w:b w:val="0"/>
          <w:bCs/>
          <w:kern w:val="2"/>
          <w:sz w:val="32"/>
          <w:szCs w:val="32"/>
          <w:lang w:val="en-US" w:eastAsia="zh-CN" w:bidi="ar-SA"/>
        </w:rPr>
        <w:t>推理接口（通用框架）</w:t>
      </w:r>
    </w:p>
    <w:p w14:paraId="4E881EF7">
      <w:pPr>
        <w:pStyle w:val="11"/>
        <w:rPr>
          <w:rFonts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请求：</w:t>
      </w:r>
    </w:p>
    <w:p w14:paraId="4D7EE6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POST/predict HTTP/1.1</w:t>
      </w:r>
    </w:p>
    <w:p w14:paraId="7BF291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Content-Type:application/json</w:t>
      </w:r>
    </w:p>
    <w:p w14:paraId="69361A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Payload:</w:t>
      </w:r>
    </w:p>
    <w:p w14:paraId="79A3ED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{</w:t>
      </w:r>
    </w:p>
    <w:p w14:paraId="00EADF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420" w:firstLineChars="20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"input":{/*具体格式以检测任务细则为准*/},</w:t>
      </w:r>
    </w:p>
    <w:p w14:paraId="46CAAC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420" w:firstLineChars="20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"case_id":"/*测试数据样例的编号*/"</w:t>
      </w:r>
    </w:p>
    <w:p w14:paraId="032E2B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}</w:t>
      </w:r>
    </w:p>
    <w:p w14:paraId="5E1F94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//响应</w:t>
      </w:r>
    </w:p>
    <w:p w14:paraId="523B7B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{</w:t>
      </w:r>
    </w:p>
    <w:p w14:paraId="4D0D53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420" w:firstLineChars="20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"output":{/* 具体格式以检测任务细则为准*/},</w:t>
      </w:r>
    </w:p>
    <w:p w14:paraId="099C61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right="0" w:firstLine="420" w:firstLineChars="20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"case_id":"/*测试数据样例的编号，原样返回*/",</w:t>
      </w:r>
    </w:p>
    <w:p w14:paraId="24E734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420" w:firstLineChars="20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"error_code":null,      //正常时为null或省略</w:t>
      </w:r>
    </w:p>
    <w:p w14:paraId="320404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420" w:firstLineChars="20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"error_msg":null        //正常时为null或省略</w:t>
      </w:r>
    </w:p>
    <w:p w14:paraId="2E7622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  <w:t>}</w:t>
      </w:r>
    </w:p>
    <w:p w14:paraId="4AA770D9">
      <w:pPr>
        <w:pStyle w:val="11"/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建议的错误码规范：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2"/>
        <w:gridCol w:w="1784"/>
        <w:gridCol w:w="3340"/>
      </w:tblGrid>
      <w:tr w14:paraId="57B96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5EDB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错误码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1CFD1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触发场景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C9D6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响应示例</w:t>
            </w:r>
          </w:p>
        </w:tc>
      </w:tr>
      <w:tr w14:paraId="4FA6D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5A69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INPUT_FORMAT_INVALID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6DF9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input字段JSON结构不符合本次任务细则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42628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"input.field_amustbe integer"</w:t>
            </w:r>
          </w:p>
        </w:tc>
      </w:tr>
      <w:tr w14:paraId="001B5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BE81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INPUT_MISSING_FIELD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4DCAD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缺少任务细则规定的必填字段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6126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"missing required field: input.text"</w:t>
            </w:r>
          </w:p>
        </w:tc>
      </w:tr>
      <w:tr w14:paraId="2A1B2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4BFF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INPUT_VALUE_OUT_OF_RANGE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2D02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字段类型对但数值超范围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C81E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"max_length must be &lt;= 4096"</w:t>
            </w:r>
          </w:p>
        </w:tc>
      </w:tr>
      <w:tr w14:paraId="16CAF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9CFA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MODEL_INFERENCE_ERROR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6C75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模型前向传播异常（如输入过长导致显存爆）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30EE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"CUDA out of memory during forward"</w:t>
            </w:r>
          </w:p>
        </w:tc>
      </w:tr>
      <w:tr w14:paraId="61399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953E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MODEL_NOT_READY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A911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模型尚未加载完成即收到请求（启动阶段）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063A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"model weights still loading"</w:t>
            </w:r>
          </w:p>
        </w:tc>
      </w:tr>
      <w:tr w14:paraId="26E0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65B0E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RESOURCE_TIMEOUT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F1A4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单条推理超过任务规定时限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137DB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"inference exceeded 30s limit"</w:t>
            </w:r>
          </w:p>
        </w:tc>
      </w:tr>
      <w:tr w14:paraId="032D6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80B1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SYSTEM_INTERNAL_ERROR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BDF9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服务代码未捕获的异常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2AF1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20" w:lineRule="atLeast"/>
              <w:ind w:left="0" w:right="0"/>
              <w:jc w:val="left"/>
              <w:textAlignment w:val="top"/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  <w:lang w:val="en-US" w:eastAsia="zh-CN" w:bidi="ar-SA"/>
              </w:rPr>
              <w:t>"error_msg": "unexpected error in predict: ..."</w:t>
            </w:r>
          </w:p>
        </w:tc>
      </w:tr>
    </w:tbl>
    <w:p w14:paraId="553E32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 w:firstLine="0"/>
        <w:jc w:val="left"/>
        <w:textAlignment w:val="baseline"/>
        <w:rPr>
          <w:rFonts w:hint="eastAsia" w:ascii="Times New Roman" w:hAnsi="Times New Roman" w:eastAsia="仿宋_GB2312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  <w:t>遵循错误码规范可以减少调试所需要的时间精力。</w:t>
      </w:r>
    </w:p>
    <w:p w14:paraId="53920054">
      <w:pPr>
        <w:spacing w:line="574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/>
          <w:kern w:val="2"/>
          <w:sz w:val="32"/>
          <w:szCs w:val="32"/>
          <w:lang w:val="en-US" w:eastAsia="zh-CN" w:bidi="ar-SA"/>
        </w:rPr>
        <w:t>#</w:t>
      </w:r>
      <w:bookmarkStart w:id="1" w:name="_GoBack"/>
      <w:bookmarkEnd w:id="1"/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平台会给每个问题至多10分钟的时间进行响应。如果逾期没有响应系统将强制终止容器运行。接下来的测试无法进行。</w:t>
      </w:r>
    </w:p>
    <w:p w14:paraId="0875EAB0">
      <w:pPr>
        <w:spacing w:line="574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故希望技术提供方能够合理估计响应需要的时间。如果觉察到可能已经超时，请返回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RESOURCE_TIMEOUT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超时状态信息，这样后续的测试仍然可以进行。</w:t>
      </w:r>
    </w:p>
    <w:p w14:paraId="70C4E7F7">
      <w:pPr>
        <w:rPr>
          <w:lang w:val="en-US" w:eastAsia="zh-CN"/>
        </w:rPr>
      </w:pPr>
    </w:p>
    <w:p w14:paraId="245B6290">
      <w:pPr>
        <w:pStyle w:val="3"/>
        <w:rPr>
          <w:rFonts w:ascii="仿宋_GB2312" w:eastAsia="仿宋_GB2312" w:hAnsiTheme="minorHAnsi" w:cstheme="minorBidi"/>
          <w:b/>
          <w:bCs/>
          <w:kern w:val="2"/>
          <w:sz w:val="32"/>
          <w:szCs w:val="32"/>
          <w:lang w:val="en-US" w:eastAsia="zh-CN" w:bidi="ar-SA"/>
        </w:rPr>
      </w:pPr>
      <w:r>
        <w:t>具体任务规范</w:t>
      </w:r>
    </w:p>
    <w:p w14:paraId="41F478EE">
      <w:pPr>
        <w:spacing w:line="574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针对每一次具体的检测任务，平台将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在测试任务描述中追加</w:t>
      </w:r>
      <w:r>
        <w:rPr>
          <w:rFonts w:ascii="Times New Roman" w:hAnsi="Times New Roman" w:eastAsia="仿宋_GB2312" w:cs="Times New Roman"/>
          <w:sz w:val="32"/>
          <w:szCs w:val="32"/>
        </w:rPr>
        <w:t>明确规定：</w:t>
      </w:r>
    </w:p>
    <w:p w14:paraId="41406B99">
      <w:pPr>
        <w:spacing w:line="574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sz w:val="32"/>
          <w:szCs w:val="32"/>
        </w:rPr>
        <w:t>POST /predict 请求中 input 字段的数据类型、格式与约束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</w:p>
    <w:p w14:paraId="5F2FB9A9">
      <w:pPr>
        <w:spacing w:line="574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sz w:val="32"/>
          <w:szCs w:val="32"/>
        </w:rPr>
        <w:t>POST /predict 响应中 output 字段的数据类型、格式与约束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。</w:t>
      </w:r>
    </w:p>
    <w:p w14:paraId="5B69F1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altName w:val="方正楷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8D0697"/>
    <w:multiLevelType w:val="multilevel"/>
    <w:tmpl w:val="098D0697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2"/>
      <w:lvlText w:val="%1.%2"/>
      <w:lvlJc w:val="left"/>
      <w:pPr>
        <w:ind w:left="1569" w:hanging="576"/>
      </w:pPr>
      <w:rPr>
        <w:rFonts w:hint="default" w:ascii="Times New Roman" w:hAnsi="Times New Roman" w:cs="Times New Roman"/>
        <w:b w:val="0"/>
      </w:rPr>
    </w:lvl>
    <w:lvl w:ilvl="2" w:tentative="0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 w:ascii="Times New Roman" w:hAnsi="Times New Roman" w:cs="Times New Roman"/>
        <w:b w:val="0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A422F"/>
    <w:rsid w:val="024A422F"/>
    <w:rsid w:val="37292890"/>
    <w:rsid w:val="3F7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574" w:lineRule="exact"/>
      <w:ind w:left="0" w:firstLine="0"/>
      <w:outlineLvl w:val="1"/>
    </w:pPr>
    <w:rPr>
      <w:rFonts w:ascii="Times New Roman" w:hAnsi="Times New Roman" w:eastAsia="楷体" w:cs="Times New Roman"/>
      <w:bCs/>
      <w:sz w:val="32"/>
      <w:szCs w:val="32"/>
    </w:rPr>
  </w:style>
  <w:style w:type="paragraph" w:styleId="3">
    <w:name w:val="heading 3"/>
    <w:basedOn w:val="1"/>
    <w:next w:val="4"/>
    <w:unhideWhenUsed/>
    <w:qFormat/>
    <w:uiPriority w:val="0"/>
    <w:pPr>
      <w:keepNext/>
      <w:keepLines/>
      <w:numPr>
        <w:ilvl w:val="2"/>
        <w:numId w:val="1"/>
      </w:numPr>
      <w:spacing w:line="572" w:lineRule="exact"/>
      <w:outlineLvl w:val="2"/>
    </w:pPr>
    <w:rPr>
      <w:rFonts w:ascii="仿宋_GB2312" w:eastAsia="仿宋_GB2312"/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">
    <w:name w:val="Compact"/>
    <w:basedOn w:val="4"/>
    <w:qFormat/>
    <w:uiPriority w:val="0"/>
    <w:pPr>
      <w:spacing w:before="36" w:after="36"/>
    </w:pPr>
  </w:style>
  <w:style w:type="table" w:customStyle="1" w:styleId="1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1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电规总院</Company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2026-08-19T16:41:00Z</dcterms:created>
  <dc:creator>皇甫存青</dc:creator>
  <cp:lastModifiedBy>huawei</cp:lastModifiedBy>
  <dcterms:modified xsi:type="dcterms:W3CDTF">2026-08-22T14:17:27Z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7C323490CA658E6AF73E896AB68566B3_43</vt:lpwstr>
  </property>
  <property fmtid="{D5CDD505-2E9C-101B-9397-08002B2CF9AE}" pid="4" name="KSOTemplateDocerSaveRecord">
    <vt:lpwstr>eyJoZGlkIjoiZTJjZTY2MjUwZTEwMmM3NzhkMDYwMDgyMmY5OGI1NmIiLCJ1c2VySWQiOiI4MzYyNTA4MzEifQ==</vt:lpwstr>
  </property>
</Properties>
</file>