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6"/>
          <w:szCs w:val="26"/>
        </w:rPr>
        <w:t xml:space="preserve">NASKAH NARASI PAPARAN</w:t>
      </w:r>
    </w:p>
    <w:p>
      <w:pPr>
        <w:spacing w:after="40"/>
        <w:jc w:val="center"/>
      </w:pPr>
      <w:r>
        <w:rPr>
          <w:rFonts w:ascii="Arial" w:cs="Arial" w:eastAsia="Arial" w:hAnsi="Arial"/>
          <w:b/>
          <w:bCs/>
          <w:sz w:val="24"/>
          <w:szCs w:val="24"/>
        </w:rPr>
        <w:t xml:space="preserve">BALAI HARTA PENINGGALAN MEDAN</w:t>
      </w:r>
    </w:p>
    <w:p>
      <w:pPr>
        <w:spacing w:after="40"/>
        <w:jc w:val="center"/>
      </w:pPr>
      <w:r>
        <w:rPr>
          <w:rFonts w:ascii="Arial" w:cs="Arial" w:eastAsia="Arial" w:hAnsi="Arial"/>
          <w:b/>
          <w:bCs/>
          <w:color w:val="14284B"/>
          <w:sz w:val="24"/>
          <w:szCs w:val="24"/>
        </w:rPr>
        <w:t xml:space="preserve">Klaster 1: Tumpang Tindih Kewenangan (Kewenangan dan Pembagian Peran Kurator)</w:t>
      </w:r>
    </w:p>
    <w:p>
      <w:pPr>
        <w:pBdr>
          <w:bottom w:val="double" w:color="1A1E26" w:sz="6"/>
        </w:pBdr>
        <w:spacing w:after="240"/>
        <w:jc w:val="center"/>
      </w:pPr>
      <w:r>
        <w:rPr>
          <w:rFonts w:ascii="Arial" w:cs="Arial" w:eastAsia="Arial" w:hAnsi="Arial"/>
          <w:sz w:val="22"/>
          <w:szCs w:val="22"/>
        </w:rPr>
        <w:t xml:space="preserve">Rapat Dengar Pendapat Komisi XIII DPR RI tentang RUU Profesi Kurator, 6 Oktober 2026</w:t>
      </w:r>
    </w:p>
    <w:p>
      <w:pPr>
        <w:spacing w:after="140" w:line="300"/>
        <w:jc w:val="left"/>
      </w:pPr>
      <w:r>
        <w:rPr>
          <w:rFonts w:ascii="Arial" w:cs="Arial" w:eastAsia="Arial" w:hAnsi="Arial"/>
          <w:i/>
          <w:iCs/>
          <w:color w:val="4A5568"/>
          <w:sz w:val="20"/>
          <w:szCs w:val="20"/>
        </w:rPr>
        <w:t xml:space="preserve">Naskah ini mengiringi paparan dua slide. Slide 1 memuat masalah, sikap, bukti, dan jawaban Klaster 1; slide 2 memuat usulan pasal dan catatan. Seluruh isi bersumber pada Bahan Masukan BHP Medan, Poin 1: Kewenangan dan Pembagian Peran Kurator (Medan, 2 Oktober 2026). Perkiraan waktu paparan 7 sampai 8 menit.</w:t>
      </w:r>
    </w:p>
    <w:p>
      <w:pPr>
        <w:pStyle w:val="Heading1"/>
        <w:spacing w:after="120" w:before="280"/>
      </w:pPr>
      <w:r>
        <w:rPr>
          <w:rFonts w:ascii="Arial" w:cs="Arial" w:eastAsia="Arial" w:hAnsi="Arial"/>
          <w:b/>
          <w:bCs/>
          <w:color w:val="14284B"/>
          <w:sz w:val="26"/>
          <w:szCs w:val="26"/>
        </w:rPr>
        <w:t xml:space="preserve">Pembuka</w:t>
      </w:r>
    </w:p>
    <w:p>
      <w:pPr>
        <w:spacing w:after="140" w:line="300"/>
        <w:jc w:val="both"/>
      </w:pPr>
      <w:r>
        <w:rPr>
          <w:rFonts w:ascii="Arial" w:cs="Arial" w:eastAsia="Arial" w:hAnsi="Arial"/>
          <w:sz w:val="22"/>
          <w:szCs w:val="22"/>
        </w:rPr>
        <w:t xml:space="preserve">Terima kasih, Pimpinan. Izinkan Balai Harta Peninggalan Medan menyampaikan masukan untuk Klaster 1, yaitu tumpang tindih kewenangan. Kami akan menyampaikan empat hal secara berurutan: masalahnya, sikap kami, bukti dari perkara yang sedang kami tangani, dan jawaban atas tiga pertanyaan Komisi, lalu ditutup dengan usulan rumusan pasal.</w:t>
      </w:r>
    </w:p>
    <w:p>
      <w:pPr>
        <w:pStyle w:val="Heading1"/>
        <w:spacing w:after="120" w:before="280"/>
      </w:pPr>
      <w:r>
        <w:rPr>
          <w:rFonts w:ascii="Arial" w:cs="Arial" w:eastAsia="Arial" w:hAnsi="Arial"/>
          <w:b/>
          <w:bCs/>
          <w:color w:val="14284B"/>
          <w:sz w:val="26"/>
          <w:szCs w:val="26"/>
        </w:rPr>
        <w:t xml:space="preserve">1. Masalah: kurator tidak hanya orang perseorangan</w:t>
      </w:r>
    </w:p>
    <w:p>
      <w:pPr>
        <w:spacing w:after="140" w:line="300"/>
        <w:jc w:val="both"/>
      </w:pPr>
      <w:r>
        <w:rPr>
          <w:rFonts w:ascii="Arial" w:cs="Arial" w:eastAsia="Arial" w:hAnsi="Arial"/>
          <w:sz w:val="22"/>
          <w:szCs w:val="22"/>
        </w:rPr>
        <w:t xml:space="preserve">(Slide 1, kolom kiri.) </w:t>
      </w:r>
      <w:r>
        <w:rPr>
          <w:rFonts w:ascii="Arial" w:cs="Arial" w:eastAsia="Arial" w:hAnsi="Arial"/>
          <w:sz w:val="22"/>
          <w:szCs w:val="22"/>
        </w:rPr>
        <w:t xml:space="preserve">RUU Profesi Kurator akan mengatur profesi kurator, padahal kurator tidak hanya orang perseorangan. BHP juga menjalankan tugas kurator berdasarkan undang-undang. Apabila RUU hanya disusun untuk kurator perorangan, kedudukan BHP menjadi tidak jelas: apakah BHP ikut aturan izin dan sertifikasi profesi, siapa yang membina dan mengawasinya, dan bagaimana pembagian perannya dengan kurator privat.</w:t>
      </w:r>
    </w:p>
    <w:p>
      <w:pPr>
        <w:spacing w:after="140" w:line="300"/>
        <w:jc w:val="both"/>
      </w:pPr>
      <w:r>
        <w:rPr>
          <w:rFonts w:ascii="Arial" w:cs="Arial" w:eastAsia="Arial" w:hAnsi="Arial"/>
          <w:sz w:val="22"/>
          <w:szCs w:val="22"/>
        </w:rPr>
        <w:t xml:space="preserve">Tiga hal inilah yang kami jawab melalui empat sikap berikut.</w:t>
      </w:r>
    </w:p>
    <w:p>
      <w:pPr>
        <w:pStyle w:val="Heading1"/>
        <w:spacing w:after="120" w:before="280"/>
      </w:pPr>
      <w:r>
        <w:rPr>
          <w:rFonts w:ascii="Arial" w:cs="Arial" w:eastAsia="Arial" w:hAnsi="Arial"/>
          <w:b/>
          <w:bCs/>
          <w:color w:val="14284B"/>
          <w:sz w:val="26"/>
          <w:szCs w:val="26"/>
        </w:rPr>
        <w:t xml:space="preserve">2. Sikap BHP Medan</w:t>
      </w:r>
    </w:p>
    <w:p>
      <w:pPr>
        <w:spacing w:after="140" w:line="300"/>
        <w:jc w:val="both"/>
      </w:pPr>
      <w:r>
        <w:rPr>
          <w:rFonts w:ascii="Arial" w:cs="Arial" w:eastAsia="Arial" w:hAnsi="Arial"/>
          <w:sz w:val="22"/>
          <w:szCs w:val="22"/>
        </w:rPr>
        <w:t xml:space="preserve">(Slide 1, kolom tengah.) BHP Medan menyampaikan empat sikap.</w:t>
      </w:r>
    </w:p>
    <w:p>
      <w:pPr>
        <w:spacing w:after="100" w:line="300"/>
        <w:ind w:left="540" w:hanging="540"/>
        <w:jc w:val="both"/>
      </w:pPr>
      <w:r>
        <w:rPr>
          <w:rFonts w:ascii="Arial" w:cs="Arial" w:eastAsia="Arial" w:hAnsi="Arial"/>
          <w:b/>
          <w:bCs/>
          <w:sz w:val="22"/>
          <w:szCs w:val="22"/>
        </w:rPr>
        <w:t xml:space="preserve">1.	</w:t>
      </w:r>
      <w:r>
        <w:rPr>
          <w:rFonts w:ascii="Arial" w:cs="Arial" w:eastAsia="Arial" w:hAnsi="Arial"/>
          <w:b/>
          <w:bCs/>
          <w:sz w:val="22"/>
          <w:szCs w:val="22"/>
        </w:rPr>
        <w:t xml:space="preserve">BHP dimuat dalam RUU sebagai lembaga negara yang menjalankan tugas kurator. </w:t>
      </w:r>
      <w:r>
        <w:rPr>
          <w:rFonts w:ascii="Arial" w:cs="Arial" w:eastAsia="Arial" w:hAnsi="Arial"/>
          <w:sz w:val="22"/>
          <w:szCs w:val="22"/>
        </w:rPr>
        <w:t xml:space="preserve">Kewenangan BHP berasal dari undang-undang, sehingga BHP tidak memerlukan izin atau pendaftaran seperti kurator perorangan. Tugasnya dijalankan oleh pejabat fungsional Kurator Keperdataan.</w:t>
      </w:r>
    </w:p>
    <w:p>
      <w:pPr>
        <w:spacing w:after="100" w:line="300"/>
        <w:ind w:left="540" w:hanging="540"/>
        <w:jc w:val="both"/>
      </w:pPr>
      <w:r>
        <w:rPr>
          <w:rFonts w:ascii="Arial" w:cs="Arial" w:eastAsia="Arial" w:hAnsi="Arial"/>
          <w:b/>
          <w:bCs/>
          <w:sz w:val="22"/>
          <w:szCs w:val="22"/>
        </w:rPr>
        <w:t xml:space="preserve">2.	</w:t>
      </w:r>
      <w:r>
        <w:rPr>
          <w:rFonts w:ascii="Arial" w:cs="Arial" w:eastAsia="Arial" w:hAnsi="Arial"/>
          <w:b/>
          <w:bCs/>
          <w:sz w:val="22"/>
          <w:szCs w:val="22"/>
        </w:rPr>
        <w:t xml:space="preserve">Satu standar profesi untuk semua kurator. </w:t>
      </w:r>
      <w:r>
        <w:rPr>
          <w:rFonts w:ascii="Arial" w:cs="Arial" w:eastAsia="Arial" w:hAnsi="Arial"/>
          <w:sz w:val="22"/>
          <w:szCs w:val="22"/>
        </w:rPr>
        <w:t xml:space="preserve">Kode etik dan standar profesi yang sama berlaku bagi BHP dan kurator perorangan. Yang berbeda hanya pembinaannya, karena BHP adalah lembaga pemerintah.</w:t>
      </w:r>
    </w:p>
    <w:p>
      <w:pPr>
        <w:spacing w:after="100" w:line="300"/>
        <w:ind w:left="540" w:hanging="540"/>
        <w:jc w:val="both"/>
      </w:pPr>
      <w:r>
        <w:rPr>
          <w:rFonts w:ascii="Arial" w:cs="Arial" w:eastAsia="Arial" w:hAnsi="Arial"/>
          <w:b/>
          <w:bCs/>
          <w:sz w:val="22"/>
          <w:szCs w:val="22"/>
        </w:rPr>
        <w:t xml:space="preserve">3.	</w:t>
      </w:r>
      <w:r>
        <w:rPr>
          <w:rFonts w:ascii="Arial" w:cs="Arial" w:eastAsia="Arial" w:hAnsi="Arial"/>
          <w:b/>
          <w:bCs/>
          <w:sz w:val="22"/>
          <w:szCs w:val="22"/>
        </w:rPr>
        <w:t xml:space="preserve">Pembagian peran BHP dan kurator perorangan ditegaskan. </w:t>
      </w:r>
      <w:r>
        <w:rPr>
          <w:rFonts w:ascii="Arial" w:cs="Arial" w:eastAsia="Arial" w:hAnsi="Arial"/>
          <w:sz w:val="22"/>
          <w:szCs w:val="22"/>
        </w:rPr>
        <w:t xml:space="preserve">BHP menangani perkara yang menyangkut kepentingan publik atau tidak diminati, seperti perkara pekerja dan perkara dengan harta kecil. Kurator perorangan menangani perkara bisnis atas pilihan para pihak. RUU Profesi Kurator memuat prinsipnya, sedangkan rinciannya diatur dalam RUU Kepailitan dan PKPU.</w:t>
      </w:r>
    </w:p>
    <w:p>
      <w:pPr>
        <w:spacing w:after="100" w:line="300"/>
        <w:ind w:left="540" w:hanging="540"/>
        <w:jc w:val="both"/>
      </w:pPr>
      <w:r>
        <w:rPr>
          <w:rFonts w:ascii="Arial" w:cs="Arial" w:eastAsia="Arial" w:hAnsi="Arial"/>
          <w:b/>
          <w:bCs/>
          <w:sz w:val="22"/>
          <w:szCs w:val="22"/>
        </w:rPr>
        <w:t xml:space="preserve">4.	</w:t>
      </w:r>
      <w:r>
        <w:rPr>
          <w:rFonts w:ascii="Arial" w:cs="Arial" w:eastAsia="Arial" w:hAnsi="Arial"/>
          <w:b/>
          <w:bCs/>
          <w:sz w:val="22"/>
          <w:szCs w:val="22"/>
        </w:rPr>
        <w:t xml:space="preserve">Koordinasi antarlembaga diatur dengan jelas. </w:t>
      </w:r>
      <w:r>
        <w:rPr>
          <w:rFonts w:ascii="Arial" w:cs="Arial" w:eastAsia="Arial" w:hAnsi="Arial"/>
          <w:sz w:val="22"/>
          <w:szCs w:val="22"/>
        </w:rPr>
        <w:t xml:space="preserve">Kementerian membina, Hakim Pengawas mengawasi perkara, organisasi profesi menegakkan etik kurator perorangan, dan BHP menjadi simpul data di wilayahnya. BHP tidak ditempatkan sebagai pengawas kurator privat, karena BHP sendiri adalah kurator.</w:t>
      </w:r>
    </w:p>
    <w:p>
      <w:pPr>
        <w:pStyle w:val="Heading1"/>
        <w:spacing w:after="120" w:before="280"/>
      </w:pPr>
      <w:r>
        <w:rPr>
          <w:rFonts w:ascii="Arial" w:cs="Arial" w:eastAsia="Arial" w:hAnsi="Arial"/>
          <w:b/>
          <w:bCs/>
          <w:color w:val="14284B"/>
          <w:sz w:val="26"/>
          <w:szCs w:val="26"/>
        </w:rPr>
        <w:t xml:space="preserve">3. Bukti: pengalaman BHP Medan</w:t>
      </w:r>
    </w:p>
    <w:p>
      <w:pPr>
        <w:spacing w:after="140" w:line="300"/>
        <w:jc w:val="both"/>
      </w:pPr>
      <w:r>
        <w:rPr>
          <w:rFonts w:ascii="Arial" w:cs="Arial" w:eastAsia="Arial" w:hAnsi="Arial"/>
          <w:sz w:val="22"/>
          <w:szCs w:val="22"/>
        </w:rPr>
        <w:t xml:space="preserve">(Slide 1, kolom kanan.) </w:t>
      </w:r>
      <w:r>
        <w:rPr>
          <w:rFonts w:ascii="Arial" w:cs="Arial" w:eastAsia="Arial" w:hAnsi="Arial"/>
          <w:sz w:val="22"/>
          <w:szCs w:val="22"/>
        </w:rPr>
        <w:t xml:space="preserve">BHP Medan saat ini menangani 9 perkara kepailitan yang masih berjalan dengan total tagihan sekitar Rp47,35 miliar. Seluruhnya jatuh ke BHP karena pemohon tidak mengusulkan kurator. Selain itu, BHP Medan telah menyelesaikan perkara lain, antara lain PT Jasa Prima Mandiri yang ditangani bersama kurator perorangan.</w:t>
      </w:r>
    </w:p>
    <w:p>
      <w:pPr>
        <w:spacing w:after="100" w:line="300"/>
        <w:ind w:left="540" w:hanging="540"/>
        <w:jc w:val="both"/>
      </w:pPr>
      <w:r>
        <w:rPr>
          <w:rFonts w:ascii="Arial" w:cs="Arial" w:eastAsia="Arial" w:hAnsi="Arial"/>
          <w:b/>
          <w:bCs/>
          <w:sz w:val="22"/>
          <w:szCs w:val="22"/>
        </w:rPr>
        <w:t xml:space="preserve">a.	</w:t>
      </w:r>
      <w:r>
        <w:rPr>
          <w:rFonts w:ascii="Arial" w:cs="Arial" w:eastAsia="Arial" w:hAnsi="Arial"/>
          <w:b/>
          <w:bCs/>
          <w:sz w:val="22"/>
          <w:szCs w:val="22"/>
        </w:rPr>
        <w:t xml:space="preserve">Hartanya kecil. </w:t>
      </w:r>
      <w:r>
        <w:rPr>
          <w:rFonts w:ascii="Arial" w:cs="Arial" w:eastAsia="Arial" w:hAnsi="Arial"/>
          <w:sz w:val="22"/>
          <w:szCs w:val="22"/>
        </w:rPr>
        <w:t xml:space="preserve">Pada empat perkara yang sudah dinilai, harta pailit hanya 12% sampai 40% dari tagihan. Perkara seperti ini tidak menarik bagi kurator yang bekerja atas dasar imbalan.</w:t>
      </w:r>
    </w:p>
    <w:p>
      <w:pPr>
        <w:spacing w:after="100" w:line="300"/>
        <w:ind w:left="540" w:hanging="540"/>
        <w:jc w:val="both"/>
      </w:pPr>
      <w:r>
        <w:rPr>
          <w:rFonts w:ascii="Arial" w:cs="Arial" w:eastAsia="Arial" w:hAnsi="Arial"/>
          <w:b/>
          <w:bCs/>
          <w:sz w:val="22"/>
          <w:szCs w:val="22"/>
        </w:rPr>
        <w:t xml:space="preserve">b.	</w:t>
      </w:r>
      <w:r>
        <w:rPr>
          <w:rFonts w:ascii="Arial" w:cs="Arial" w:eastAsia="Arial" w:hAnsi="Arial"/>
          <w:b/>
          <w:bCs/>
          <w:sz w:val="22"/>
          <w:szCs w:val="22"/>
        </w:rPr>
        <w:t xml:space="preserve">Perkaranya panjang. </w:t>
      </w:r>
      <w:r>
        <w:rPr>
          <w:rFonts w:ascii="Arial" w:cs="Arial" w:eastAsia="Arial" w:hAnsi="Arial"/>
          <w:sz w:val="22"/>
          <w:szCs w:val="22"/>
        </w:rPr>
        <w:t xml:space="preserve">Enam dari sembilan perkara berjalan lebih dari lima tahun, yang terlama sejak 2016. Kurator perorangan bisa berhenti atau meninggal dunia, sedangkan BHP tetap berjalan sebagai lembaga.</w:t>
      </w:r>
    </w:p>
    <w:p>
      <w:pPr>
        <w:spacing w:after="100" w:line="300"/>
        <w:ind w:left="540" w:hanging="540"/>
        <w:jc w:val="both"/>
      </w:pPr>
      <w:r>
        <w:rPr>
          <w:rFonts w:ascii="Arial" w:cs="Arial" w:eastAsia="Arial" w:hAnsi="Arial"/>
          <w:b/>
          <w:bCs/>
          <w:sz w:val="22"/>
          <w:szCs w:val="22"/>
        </w:rPr>
        <w:t xml:space="preserve">c.	</w:t>
      </w:r>
      <w:r>
        <w:rPr>
          <w:rFonts w:ascii="Arial" w:cs="Arial" w:eastAsia="Arial" w:hAnsi="Arial"/>
          <w:b/>
          <w:bCs/>
          <w:sz w:val="22"/>
          <w:szCs w:val="22"/>
        </w:rPr>
        <w:t xml:space="preserve">Menyangkut hak pekerja dan uang negara. </w:t>
      </w:r>
      <w:r>
        <w:rPr>
          <w:rFonts w:ascii="Arial" w:cs="Arial" w:eastAsia="Arial" w:hAnsi="Arial"/>
          <w:sz w:val="22"/>
          <w:szCs w:val="22"/>
        </w:rPr>
        <w:t xml:space="preserve">Pada PT Rata Makmur, permohonan diajukan pekerja dan pengadilan menunjuk BHP Medan sebagai pengurus lalu kurator. Tagihan para pekerja pemohon sudah lunas, sisanya tagihan pajak.</w:t>
      </w:r>
    </w:p>
    <w:p>
      <w:pPr>
        <w:spacing w:after="100" w:line="300"/>
        <w:ind w:left="540" w:hanging="540"/>
        <w:jc w:val="both"/>
      </w:pPr>
      <w:r>
        <w:rPr>
          <w:rFonts w:ascii="Arial" w:cs="Arial" w:eastAsia="Arial" w:hAnsi="Arial"/>
          <w:b/>
          <w:bCs/>
          <w:sz w:val="22"/>
          <w:szCs w:val="22"/>
        </w:rPr>
        <w:t xml:space="preserve">d.	</w:t>
      </w:r>
      <w:r>
        <w:rPr>
          <w:rFonts w:ascii="Arial" w:cs="Arial" w:eastAsia="Arial" w:hAnsi="Arial"/>
          <w:b/>
          <w:bCs/>
          <w:sz w:val="22"/>
          <w:szCs w:val="22"/>
        </w:rPr>
        <w:t xml:space="preserve">Debitor menghilang. </w:t>
      </w:r>
      <w:r>
        <w:rPr>
          <w:rFonts w:ascii="Arial" w:cs="Arial" w:eastAsia="Arial" w:hAnsi="Arial"/>
          <w:sz w:val="22"/>
          <w:szCs w:val="22"/>
        </w:rPr>
        <w:t xml:space="preserve">Pada CV Hitado, debitor tidak ditemukan sekitar lima tahun sehingga penyelesaian perkara tertahan.</w:t>
      </w:r>
    </w:p>
    <w:p>
      <w:pPr>
        <w:spacing w:after="140" w:line="300"/>
        <w:jc w:val="both"/>
      </w:pPr>
      <w:r>
        <w:rPr>
          <w:rFonts w:ascii="Arial" w:cs="Arial" w:eastAsia="Arial" w:hAnsi="Arial"/>
          <w:sz w:val="22"/>
          <w:szCs w:val="22"/>
        </w:rPr>
        <w:t xml:space="preserve">Secara nasional, Laporan Tahunan Mahkamah Agung 2025 mencatat perkara niaga naik 19,18%, dari 782 menjadi 932 perkara. Data perbandingan perkara BHP dan kurator privat belum tersedia, karena pengadilan tidak mencatat siapa kurator yang diangkat.</w:t>
      </w:r>
    </w:p>
    <w:p>
      <w:pPr>
        <w:spacing w:after="140" w:line="300"/>
        <w:jc w:val="both"/>
      </w:pPr>
      <w:r>
        <w:rPr>
          <w:rFonts w:ascii="Arial" w:cs="Arial" w:eastAsia="Arial" w:hAnsi="Arial"/>
          <w:sz w:val="22"/>
          <w:szCs w:val="22"/>
        </w:rPr>
        <w:t xml:space="preserve">Dari data ini jelas: perkara yang jatuh ke BHP adalah perkara yang tidak diambil pihak lain. Pembagian peran yang kami usulkan bukan teori, melainkan sudah terjadi di lapangan.</w:t>
      </w:r>
    </w:p>
    <w:p>
      <w:pPr>
        <w:pStyle w:val="Heading1"/>
        <w:spacing w:after="120" w:before="280"/>
      </w:pPr>
      <w:r>
        <w:rPr>
          <w:rFonts w:ascii="Arial" w:cs="Arial" w:eastAsia="Arial" w:hAnsi="Arial"/>
          <w:b/>
          <w:bCs/>
          <w:color w:val="14284B"/>
          <w:sz w:val="26"/>
          <w:szCs w:val="26"/>
        </w:rPr>
        <w:t xml:space="preserve">4. Jawaban atas tiga pertanyaan Klaster 1</w:t>
      </w:r>
    </w:p>
    <w:p>
      <w:pPr>
        <w:spacing w:after="140" w:line="300"/>
        <w:jc w:val="both"/>
      </w:pPr>
      <w:r>
        <w:rPr>
          <w:rFonts w:ascii="Arial" w:cs="Arial" w:eastAsia="Arial" w:hAnsi="Arial"/>
          <w:sz w:val="22"/>
          <w:szCs w:val="22"/>
        </w:rPr>
        <w:t xml:space="preserve">(Slide 1, bagian bawah.)</w:t>
      </w:r>
    </w:p>
    <w:p>
      <w:pPr>
        <w:spacing w:after="140" w:line="300"/>
        <w:jc w:val="both"/>
      </w:pPr>
      <w:r>
        <w:rPr>
          <w:rFonts w:ascii="Arial" w:cs="Arial" w:eastAsia="Arial" w:hAnsi="Arial"/>
          <w:b/>
          <w:bCs/>
          <w:sz w:val="22"/>
          <w:szCs w:val="22"/>
        </w:rPr>
        <w:t xml:space="preserve">Pertanyaan pertama: Bagaimana mekanisme BHP sebagai kurator, dan adakah kendala dengan kurator privat?</w:t>
      </w:r>
    </w:p>
    <w:p>
      <w:pPr>
        <w:spacing w:after="140" w:line="300"/>
        <w:jc w:val="both"/>
      </w:pPr>
      <w:r>
        <w:rPr>
          <w:rFonts w:ascii="Arial" w:cs="Arial" w:eastAsia="Arial" w:hAnsi="Arial"/>
          <w:sz w:val="22"/>
          <w:szCs w:val="22"/>
        </w:rPr>
        <w:t xml:space="preserve">Setelah ditunjuk pengadilan, Kepala BHP menugaskan tim Kurator Keperdataan. Tim mengurus, menilai, dan menjual harta di bawah pengawasan Hakim Pengawas, lalu melapor secara berkala. Imbalan jasa BHP disetor ke kas negara.</w:t>
      </w:r>
    </w:p>
    <w:p>
      <w:pPr>
        <w:spacing w:after="140" w:line="300"/>
        <w:jc w:val="both"/>
      </w:pPr>
      <w:r>
        <w:rPr>
          <w:rFonts w:ascii="Arial" w:cs="Arial" w:eastAsia="Arial" w:hAnsi="Arial"/>
          <w:sz w:val="22"/>
          <w:szCs w:val="22"/>
        </w:rPr>
        <w:t xml:space="preserve">BHP Medan pernah bertugas bersama kurator perorangan dalam kepailitan PT Jasa Prima Mandiri (Nomor 1/Pdt.Sus-Pailit/2015/PN Niaga Mdn). BHP Medan diangkat sebagai kurator dalam putusan pailit, kemudian Kiki Nasirhadi, S.H. diangkat sebagai kurator tambahan pada Mei 2015. Kerja sama berjalan baik. Harta senilai Rp12,85 miliar berhasil dibereskan, dan kepailitan berakhir pada Mei 2019, sekitar empat tahun.</w:t>
      </w:r>
    </w:p>
    <w:p>
      <w:pPr>
        <w:spacing w:after="140" w:line="300"/>
        <w:jc w:val="both"/>
      </w:pPr>
      <w:r>
        <w:rPr>
          <w:rFonts w:ascii="Arial" w:cs="Arial" w:eastAsia="Arial" w:hAnsi="Arial"/>
          <w:sz w:val="22"/>
          <w:szCs w:val="22"/>
        </w:rPr>
        <w:t xml:space="preserve">Kendalanya ada pada imbalan jasa. Karena aturannya berbeda, imbalan BHP dihitung sebagai PNBP sebesar 8% dari nilai bersih hasil penjualan, yaitu Rp379,8 juta, sedangkan imbalan kurator tambahan dihitung dari nilai kotor dan ditetapkan 5%, yaitu Rp642,7 juta. Akibatnya, kurator tambahan memperoleh imbalan lebih besar daripada BHP sebagai kurator yang diangkat lebih dahulu, karena tidak ada aturan pembagian imbalan berdasarkan porsi tugas. Aturan juga belum mengatur pembagian tugas dan tanggung jawab di antara keduanya.</w:t>
      </w:r>
    </w:p>
    <w:p>
      <w:pPr>
        <w:spacing w:after="140" w:line="300"/>
        <w:jc w:val="both"/>
      </w:pPr>
      <w:r>
        <w:rPr>
          <w:rFonts w:ascii="Arial" w:cs="Arial" w:eastAsia="Arial" w:hAnsi="Arial"/>
          <w:b/>
          <w:bCs/>
          <w:sz w:val="22"/>
          <w:szCs w:val="22"/>
        </w:rPr>
        <w:t xml:space="preserve">Pertanyaan kedua: Perlukah pemisahan tegas peran BHP sebagai balai harta atau wali pengawas dengan peran kurator privat?</w:t>
      </w:r>
    </w:p>
    <w:p>
      <w:pPr>
        <w:spacing w:after="140" w:line="300"/>
        <w:jc w:val="both"/>
      </w:pPr>
      <w:r>
        <w:rPr>
          <w:rFonts w:ascii="Arial" w:cs="Arial" w:eastAsia="Arial" w:hAnsi="Arial"/>
          <w:sz w:val="22"/>
          <w:szCs w:val="22"/>
        </w:rPr>
        <w:t xml:space="preserve">Tidak perlu memisahkan BHP dari tugas kurator. Yang diperlukan adalah pembagian peran yang jelas, karena tiga alasan.</w:t>
      </w:r>
    </w:p>
    <w:p>
      <w:pPr>
        <w:spacing w:after="100" w:line="300"/>
        <w:ind w:left="540" w:hanging="540"/>
        <w:jc w:val="both"/>
      </w:pPr>
      <w:r>
        <w:rPr>
          <w:rFonts w:ascii="Arial" w:cs="Arial" w:eastAsia="Arial" w:hAnsi="Arial"/>
          <w:b/>
          <w:bCs/>
          <w:sz w:val="22"/>
          <w:szCs w:val="22"/>
        </w:rPr>
        <w:t xml:space="preserve">a.	</w:t>
      </w:r>
      <w:r>
        <w:rPr>
          <w:rFonts w:ascii="Arial" w:cs="Arial" w:eastAsia="Arial" w:hAnsi="Arial"/>
          <w:sz w:val="22"/>
          <w:szCs w:val="22"/>
        </w:rPr>
        <w:t xml:space="preserve">Tanpa BHP, perkara yang tidak diminati kurator privat tidak punya pelaksana.</w:t>
      </w:r>
    </w:p>
    <w:p>
      <w:pPr>
        <w:spacing w:after="100" w:line="300"/>
        <w:ind w:left="540" w:hanging="540"/>
        <w:jc w:val="both"/>
      </w:pPr>
      <w:r>
        <w:rPr>
          <w:rFonts w:ascii="Arial" w:cs="Arial" w:eastAsia="Arial" w:hAnsi="Arial"/>
          <w:b/>
          <w:bCs/>
          <w:sz w:val="22"/>
          <w:szCs w:val="22"/>
        </w:rPr>
        <w:t xml:space="preserve">b.	</w:t>
      </w:r>
      <w:r>
        <w:rPr>
          <w:rFonts w:ascii="Arial" w:cs="Arial" w:eastAsia="Arial" w:hAnsi="Arial"/>
          <w:sz w:val="22"/>
          <w:szCs w:val="22"/>
        </w:rPr>
        <w:t xml:space="preserve">BHP tidak berebut perkara dengan kurator privat. Yang ditangani BHP adalah perkara yang tidak diambil pihak lain.</w:t>
      </w:r>
    </w:p>
    <w:p>
      <w:pPr>
        <w:spacing w:after="100" w:line="300"/>
        <w:ind w:left="540" w:hanging="540"/>
        <w:jc w:val="both"/>
      </w:pPr>
      <w:r>
        <w:rPr>
          <w:rFonts w:ascii="Arial" w:cs="Arial" w:eastAsia="Arial" w:hAnsi="Arial"/>
          <w:b/>
          <w:bCs/>
          <w:sz w:val="22"/>
          <w:szCs w:val="22"/>
        </w:rPr>
        <w:t xml:space="preserve">c.	</w:t>
      </w:r>
      <w:r>
        <w:rPr>
          <w:rFonts w:ascii="Arial" w:cs="Arial" w:eastAsia="Arial" w:hAnsi="Arial"/>
          <w:sz w:val="22"/>
          <w:szCs w:val="22"/>
        </w:rPr>
        <w:t xml:space="preserve">Pengalaman BHP mengurus warisan, perwalian anak, dan harta orang yang menghilang membuat BHP paling siap menangani perkara yang berkaitan dengan hal tersebut.</w:t>
      </w:r>
    </w:p>
    <w:p>
      <w:pPr>
        <w:spacing w:after="140" w:line="300"/>
        <w:jc w:val="both"/>
      </w:pPr>
      <w:r>
        <w:rPr>
          <w:rFonts w:ascii="Arial" w:cs="Arial" w:eastAsia="Arial" w:hAnsi="Arial"/>
          <w:sz w:val="22"/>
          <w:szCs w:val="22"/>
        </w:rPr>
        <w:t xml:space="preserve">Perlu dicatat, wali pengawas adalah tugas BHP dalam perwalian anak (Pasal 366 KUHPerdata), bukan pengawas kurator.</w:t>
      </w:r>
    </w:p>
    <w:p>
      <w:pPr>
        <w:spacing w:after="140" w:line="300"/>
        <w:jc w:val="both"/>
      </w:pPr>
      <w:r>
        <w:rPr>
          <w:rFonts w:ascii="Arial" w:cs="Arial" w:eastAsia="Arial" w:hAnsi="Arial"/>
          <w:b/>
          <w:bCs/>
          <w:sz w:val="22"/>
          <w:szCs w:val="22"/>
        </w:rPr>
        <w:t xml:space="preserve">Pertanyaan ketiga: Bagaimana pandangan BHP tentang kewajiban memakai BHP pada kasus tertentu?</w:t>
      </w:r>
    </w:p>
    <w:p>
      <w:pPr>
        <w:spacing w:after="140" w:line="300"/>
        <w:jc w:val="both"/>
      </w:pPr>
      <w:r>
        <w:rPr>
          <w:rFonts w:ascii="Arial" w:cs="Arial" w:eastAsia="Arial" w:hAnsi="Arial"/>
          <w:sz w:val="22"/>
          <w:szCs w:val="22"/>
        </w:rPr>
        <w:t xml:space="preserve">BHP Medan setuju, terutama untuk perkara debitor yang meninggal tanpa ahli waris atau hartanya tidak terurus, debitor yang tidak diketahui keberadaannya, perkara pekerja, perkara dengan harta kecil, dan perkara yang kehilangan kurator. Di luar itu, para pihak tetap bebas memilih kurator. RUU Profesi Kurator cukup memuat dasar penugasan ini, sedangkan kriteria dan tata cara penunjukannya diatur dalam RUU Kepailitan dan PKPU.</w:t>
      </w:r>
    </w:p>
    <w:p>
      <w:pPr>
        <w:pStyle w:val="Heading1"/>
        <w:spacing w:after="120" w:before="280"/>
      </w:pPr>
      <w:r>
        <w:rPr>
          <w:rFonts w:ascii="Arial" w:cs="Arial" w:eastAsia="Arial" w:hAnsi="Arial"/>
          <w:b/>
          <w:bCs/>
          <w:color w:val="14284B"/>
          <w:sz w:val="26"/>
          <w:szCs w:val="26"/>
        </w:rPr>
        <w:t xml:space="preserve">5. Usulan rumusan pasal untuk RUU Profesi Kurator</w:t>
      </w:r>
    </w:p>
    <w:p>
      <w:pPr>
        <w:spacing w:after="140" w:line="300"/>
        <w:jc w:val="both"/>
      </w:pPr>
      <w:r>
        <w:rPr>
          <w:rFonts w:ascii="Arial" w:cs="Arial" w:eastAsia="Arial" w:hAnsi="Arial"/>
          <w:sz w:val="22"/>
          <w:szCs w:val="22"/>
        </w:rPr>
        <w:t xml:space="preserve">(Slide 2.) Dari empat sikap tadi, kami menyiapkan empat rumusan pasal yang dapat langsung dipakai. Satu sikap, satu pasal.</w:t>
      </w:r>
    </w:p>
    <w:p>
      <w:pPr>
        <w:spacing w:after="60" w:before="160"/>
      </w:pPr>
      <w:r>
        <w:rPr>
          <w:rFonts w:ascii="Arial" w:cs="Arial" w:eastAsia="Arial" w:hAnsi="Arial"/>
          <w:b/>
          <w:bCs/>
          <w:color w:val="14284B"/>
          <w:sz w:val="22"/>
          <w:szCs w:val="22"/>
        </w:rPr>
        <w:t xml:space="preserve">Pasal A (Kedudukan BHP)</w:t>
      </w:r>
    </w:p>
    <w:p>
      <w:pPr>
        <w:spacing w:after="100" w:line="300"/>
        <w:ind w:left="540" w:hanging="540"/>
        <w:jc w:val="both"/>
      </w:pPr>
      <w:r>
        <w:rPr>
          <w:rFonts w:ascii="Arial" w:cs="Arial" w:eastAsia="Arial" w:hAnsi="Arial"/>
          <w:b/>
          <w:bCs/>
          <w:sz w:val="22"/>
          <w:szCs w:val="22"/>
        </w:rPr>
        <w:t xml:space="preserve">(1)	</w:t>
      </w:r>
      <w:r>
        <w:rPr>
          <w:rFonts w:ascii="Arial" w:cs="Arial" w:eastAsia="Arial" w:hAnsi="Arial"/>
          <w:sz w:val="22"/>
          <w:szCs w:val="22"/>
        </w:rPr>
        <w:t xml:space="preserve">Kurator terdiri atas Balai Harta Peninggalan dan Kurator perseorangan.</w:t>
      </w:r>
    </w:p>
    <w:p>
      <w:pPr>
        <w:spacing w:after="100" w:line="300"/>
        <w:ind w:left="540" w:hanging="540"/>
        <w:jc w:val="both"/>
      </w:pPr>
      <w:r>
        <w:rPr>
          <w:rFonts w:ascii="Arial" w:cs="Arial" w:eastAsia="Arial" w:hAnsi="Arial"/>
          <w:b/>
          <w:bCs/>
          <w:sz w:val="22"/>
          <w:szCs w:val="22"/>
        </w:rPr>
        <w:t xml:space="preserve">(2)	</w:t>
      </w:r>
      <w:r>
        <w:rPr>
          <w:rFonts w:ascii="Arial" w:cs="Arial" w:eastAsia="Arial" w:hAnsi="Arial"/>
          <w:sz w:val="22"/>
          <w:szCs w:val="22"/>
        </w:rPr>
        <w:t xml:space="preserve">Balai Harta Peninggalan merupakan lembaga negara yang menjalankan tugas Kurator dan Pengurus berdasarkan undang-undang, dan tidak memerlukan izin atau pendaftaran.</w:t>
      </w:r>
    </w:p>
    <w:p>
      <w:pPr>
        <w:spacing w:after="100" w:line="300"/>
        <w:ind w:left="540" w:hanging="540"/>
        <w:jc w:val="both"/>
      </w:pPr>
      <w:r>
        <w:rPr>
          <w:rFonts w:ascii="Arial" w:cs="Arial" w:eastAsia="Arial" w:hAnsi="Arial"/>
          <w:b/>
          <w:bCs/>
          <w:sz w:val="22"/>
          <w:szCs w:val="22"/>
        </w:rPr>
        <w:t xml:space="preserve">(3)	</w:t>
      </w:r>
      <w:r>
        <w:rPr>
          <w:rFonts w:ascii="Arial" w:cs="Arial" w:eastAsia="Arial" w:hAnsi="Arial"/>
          <w:sz w:val="22"/>
          <w:szCs w:val="22"/>
        </w:rPr>
        <w:t xml:space="preserve">Tugas Kurator dan Pengurus pada Balai Harta Peninggalan dilaksanakan oleh pejabat fungsional Kurator Keperdataan.</w:t>
      </w:r>
    </w:p>
    <w:p>
      <w:pPr>
        <w:spacing w:after="140" w:line="300"/>
        <w:jc w:val="both"/>
      </w:pPr>
      <w:r>
        <w:rPr>
          <w:rFonts w:ascii="Arial" w:cs="Arial" w:eastAsia="Arial" w:hAnsi="Arial"/>
          <w:b/>
          <w:bCs/>
          <w:i/>
          <w:iCs/>
          <w:color w:val="8A6100"/>
          <w:sz w:val="22"/>
          <w:szCs w:val="22"/>
        </w:rPr>
        <w:t xml:space="preserve">Analisis. </w:t>
      </w:r>
      <w:r>
        <w:rPr>
          <w:rFonts w:ascii="Arial" w:cs="Arial" w:eastAsia="Arial" w:hAnsi="Arial"/>
          <w:i/>
          <w:iCs/>
          <w:sz w:val="22"/>
          <w:szCs w:val="22"/>
        </w:rPr>
        <w:t xml:space="preserve">Pasal ini memastikan BHP masuk dalam sistem profesi kurator tanpa harus mengikuti aturan izin yang dirancang untuk orang perseorangan.</w:t>
      </w:r>
    </w:p>
    <w:p>
      <w:pPr>
        <w:spacing w:after="60" w:before="160"/>
      </w:pPr>
      <w:r>
        <w:rPr>
          <w:rFonts w:ascii="Arial" w:cs="Arial" w:eastAsia="Arial" w:hAnsi="Arial"/>
          <w:b/>
          <w:bCs/>
          <w:color w:val="14284B"/>
          <w:sz w:val="22"/>
          <w:szCs w:val="22"/>
        </w:rPr>
        <w:t xml:space="preserve">Pasal B (Pembagian Peran)</w:t>
      </w:r>
    </w:p>
    <w:p>
      <w:pPr>
        <w:spacing w:after="100" w:line="300"/>
        <w:ind w:left="540" w:hanging="540"/>
        <w:jc w:val="both"/>
      </w:pPr>
      <w:r>
        <w:rPr>
          <w:rFonts w:ascii="Arial" w:cs="Arial" w:eastAsia="Arial" w:hAnsi="Arial"/>
          <w:b/>
          <w:bCs/>
          <w:sz w:val="22"/>
          <w:szCs w:val="22"/>
        </w:rPr>
        <w:t xml:space="preserve">(1)	</w:t>
      </w:r>
      <w:r>
        <w:rPr>
          <w:rFonts w:ascii="Arial" w:cs="Arial" w:eastAsia="Arial" w:hAnsi="Arial"/>
          <w:sz w:val="22"/>
          <w:szCs w:val="22"/>
        </w:rPr>
        <w:t xml:space="preserve">Balai Harta Peninggalan menjalankan tugas Kurator dan Pengurus pada perkara yang menyangkut kepentingan publik, hak pekerja, harta peninggalan yang tidak terurus, Debitor yang tidak diketahui keberadaannya, dan perkara dengan nilai harta kecil.</w:t>
      </w:r>
    </w:p>
    <w:p>
      <w:pPr>
        <w:spacing w:after="100" w:line="300"/>
        <w:ind w:left="540" w:hanging="540"/>
        <w:jc w:val="both"/>
      </w:pPr>
      <w:r>
        <w:rPr>
          <w:rFonts w:ascii="Arial" w:cs="Arial" w:eastAsia="Arial" w:hAnsi="Arial"/>
          <w:b/>
          <w:bCs/>
          <w:sz w:val="22"/>
          <w:szCs w:val="22"/>
        </w:rPr>
        <w:t xml:space="preserve">(2)	</w:t>
      </w:r>
      <w:r>
        <w:rPr>
          <w:rFonts w:ascii="Arial" w:cs="Arial" w:eastAsia="Arial" w:hAnsi="Arial"/>
          <w:sz w:val="22"/>
          <w:szCs w:val="22"/>
        </w:rPr>
        <w:t xml:space="preserve">Di luar perkara sebagaimana dimaksud pada ayat (1), Kurator dan Pengurus diangkat berdasarkan usulan para pihak.</w:t>
      </w:r>
    </w:p>
    <w:p>
      <w:pPr>
        <w:spacing w:after="100" w:line="300"/>
        <w:ind w:left="540" w:hanging="540"/>
        <w:jc w:val="both"/>
      </w:pPr>
      <w:r>
        <w:rPr>
          <w:rFonts w:ascii="Arial" w:cs="Arial" w:eastAsia="Arial" w:hAnsi="Arial"/>
          <w:b/>
          <w:bCs/>
          <w:sz w:val="22"/>
          <w:szCs w:val="22"/>
        </w:rPr>
        <w:t xml:space="preserve">(3)	</w:t>
      </w:r>
      <w:r>
        <w:rPr>
          <w:rFonts w:ascii="Arial" w:cs="Arial" w:eastAsia="Arial" w:hAnsi="Arial"/>
          <w:sz w:val="22"/>
          <w:szCs w:val="22"/>
        </w:rPr>
        <w:t xml:space="preserve">Kriteria dan tata cara penunjukan sebagaimana dimaksud pada ayat (1) diatur dalam undang-undang mengenai kepailitan dan penundaan kewajiban pembayaran utang.</w:t>
      </w:r>
    </w:p>
    <w:p>
      <w:pPr>
        <w:spacing w:after="140" w:line="300"/>
        <w:jc w:val="both"/>
      </w:pPr>
      <w:r>
        <w:rPr>
          <w:rFonts w:ascii="Arial" w:cs="Arial" w:eastAsia="Arial" w:hAnsi="Arial"/>
          <w:b/>
          <w:bCs/>
          <w:i/>
          <w:iCs/>
          <w:color w:val="8A6100"/>
          <w:sz w:val="22"/>
          <w:szCs w:val="22"/>
        </w:rPr>
        <w:t xml:space="preserve">Analisis. </w:t>
      </w:r>
      <w:r>
        <w:rPr>
          <w:rFonts w:ascii="Arial" w:cs="Arial" w:eastAsia="Arial" w:hAnsi="Arial"/>
          <w:i/>
          <w:iCs/>
          <w:sz w:val="22"/>
          <w:szCs w:val="22"/>
        </w:rPr>
        <w:t xml:space="preserve">Pasal ini memberi kepastian pembagian peran tanpa mengulang materi hukum acara kepailitan, sehingga RUU Profesi Kurator tetap selaras dengan RUU Kepailitan dan PKPU.</w:t>
      </w:r>
    </w:p>
    <w:p>
      <w:pPr>
        <w:spacing w:after="60" w:before="160"/>
      </w:pPr>
      <w:r>
        <w:rPr>
          <w:rFonts w:ascii="Arial" w:cs="Arial" w:eastAsia="Arial" w:hAnsi="Arial"/>
          <w:b/>
          <w:bCs/>
          <w:color w:val="14284B"/>
          <w:sz w:val="22"/>
          <w:szCs w:val="22"/>
        </w:rPr>
        <w:t xml:space="preserve">Pasal C (Standar dan Pembinaan BHP)</w:t>
      </w:r>
    </w:p>
    <w:p>
      <w:pPr>
        <w:spacing w:after="100" w:line="300"/>
        <w:ind w:left="540" w:hanging="540"/>
        <w:jc w:val="both"/>
      </w:pPr>
      <w:r>
        <w:rPr>
          <w:rFonts w:ascii="Arial" w:cs="Arial" w:eastAsia="Arial" w:hAnsi="Arial"/>
          <w:b/>
          <w:bCs/>
          <w:sz w:val="22"/>
          <w:szCs w:val="22"/>
        </w:rPr>
        <w:t xml:space="preserve">(1)	</w:t>
      </w:r>
      <w:r>
        <w:rPr>
          <w:rFonts w:ascii="Arial" w:cs="Arial" w:eastAsia="Arial" w:hAnsi="Arial"/>
          <w:sz w:val="22"/>
          <w:szCs w:val="22"/>
        </w:rPr>
        <w:t xml:space="preserve">Balai Harta Peninggalan tunduk pada standar profesi dan kode etik Kurator yang sama dengan Kurator perseorangan.</w:t>
      </w:r>
    </w:p>
    <w:p>
      <w:pPr>
        <w:spacing w:after="100" w:line="300"/>
        <w:ind w:left="540" w:hanging="540"/>
        <w:jc w:val="both"/>
      </w:pPr>
      <w:r>
        <w:rPr>
          <w:rFonts w:ascii="Arial" w:cs="Arial" w:eastAsia="Arial" w:hAnsi="Arial"/>
          <w:b/>
          <w:bCs/>
          <w:sz w:val="22"/>
          <w:szCs w:val="22"/>
        </w:rPr>
        <w:t xml:space="preserve">(2)	</w:t>
      </w:r>
      <w:r>
        <w:rPr>
          <w:rFonts w:ascii="Arial" w:cs="Arial" w:eastAsia="Arial" w:hAnsi="Arial"/>
          <w:sz w:val="22"/>
          <w:szCs w:val="22"/>
        </w:rPr>
        <w:t xml:space="preserve">Pembinaan dan pengawasan terhadap Balai Harta Peninggalan dilakukan oleh Menteri dengan melibatkan unsur lembaga pengawas profesi.</w:t>
      </w:r>
    </w:p>
    <w:p>
      <w:pPr>
        <w:spacing w:after="140" w:line="300"/>
        <w:jc w:val="both"/>
      </w:pPr>
      <w:r>
        <w:rPr>
          <w:rFonts w:ascii="Arial" w:cs="Arial" w:eastAsia="Arial" w:hAnsi="Arial"/>
          <w:b/>
          <w:bCs/>
          <w:i/>
          <w:iCs/>
          <w:color w:val="8A6100"/>
          <w:sz w:val="22"/>
          <w:szCs w:val="22"/>
        </w:rPr>
        <w:t xml:space="preserve">Analisis. </w:t>
      </w:r>
      <w:r>
        <w:rPr>
          <w:rFonts w:ascii="Arial" w:cs="Arial" w:eastAsia="Arial" w:hAnsi="Arial"/>
          <w:i/>
          <w:iCs/>
          <w:sz w:val="22"/>
          <w:szCs w:val="22"/>
        </w:rPr>
        <w:t xml:space="preserve">Status lembaga negara tidak boleh menjadi keistimewaan. Standarnya satu, hanya jalur pembinaannya yang menyesuaikan.</w:t>
      </w:r>
    </w:p>
    <w:p>
      <w:pPr>
        <w:spacing w:after="60" w:before="160"/>
      </w:pPr>
      <w:r>
        <w:rPr>
          <w:rFonts w:ascii="Arial" w:cs="Arial" w:eastAsia="Arial" w:hAnsi="Arial"/>
          <w:b/>
          <w:bCs/>
          <w:color w:val="14284B"/>
          <w:sz w:val="22"/>
          <w:szCs w:val="22"/>
        </w:rPr>
        <w:t xml:space="preserve">Pasal D (Koordinasi dan Penugasan Bersama)</w:t>
      </w:r>
    </w:p>
    <w:p>
      <w:pPr>
        <w:spacing w:after="100" w:line="300"/>
        <w:ind w:left="540" w:hanging="540"/>
        <w:jc w:val="both"/>
      </w:pPr>
      <w:r>
        <w:rPr>
          <w:rFonts w:ascii="Arial" w:cs="Arial" w:eastAsia="Arial" w:hAnsi="Arial"/>
          <w:b/>
          <w:bCs/>
          <w:sz w:val="22"/>
          <w:szCs w:val="22"/>
        </w:rPr>
        <w:t xml:space="preserve">(1)	</w:t>
      </w:r>
      <w:r>
        <w:rPr>
          <w:rFonts w:ascii="Arial" w:cs="Arial" w:eastAsia="Arial" w:hAnsi="Arial"/>
          <w:sz w:val="22"/>
          <w:szCs w:val="22"/>
        </w:rPr>
        <w:t xml:space="preserve">Dalam hal Balai Harta Peninggalan dan Kurator perseorangan ditunjuk dalam perkara yang sama, masing-masing bertanggung jawab atas tugas yang ditetapkan baginya, dan imbalan jasa dibagi sesuai porsi tugas.</w:t>
      </w:r>
    </w:p>
    <w:p>
      <w:pPr>
        <w:spacing w:after="100" w:line="300"/>
        <w:ind w:left="540" w:hanging="540"/>
        <w:jc w:val="both"/>
      </w:pPr>
      <w:r>
        <w:rPr>
          <w:rFonts w:ascii="Arial" w:cs="Arial" w:eastAsia="Arial" w:hAnsi="Arial"/>
          <w:b/>
          <w:bCs/>
          <w:sz w:val="22"/>
          <w:szCs w:val="22"/>
        </w:rPr>
        <w:t xml:space="preserve">(2)	</w:t>
      </w:r>
      <w:r>
        <w:rPr>
          <w:rFonts w:ascii="Arial" w:cs="Arial" w:eastAsia="Arial" w:hAnsi="Arial"/>
          <w:sz w:val="22"/>
          <w:szCs w:val="22"/>
        </w:rPr>
        <w:t xml:space="preserve">Bagian imbalan jasa Balai Harta Peninggalan merupakan Penerimaan Negara Bukan Pajak.</w:t>
      </w:r>
    </w:p>
    <w:p>
      <w:pPr>
        <w:spacing w:after="100" w:line="300"/>
        <w:ind w:left="540" w:hanging="540"/>
        <w:jc w:val="both"/>
      </w:pPr>
      <w:r>
        <w:rPr>
          <w:rFonts w:ascii="Arial" w:cs="Arial" w:eastAsia="Arial" w:hAnsi="Arial"/>
          <w:b/>
          <w:bCs/>
          <w:sz w:val="22"/>
          <w:szCs w:val="22"/>
        </w:rPr>
        <w:t xml:space="preserve">(3)	</w:t>
      </w:r>
      <w:r>
        <w:rPr>
          <w:rFonts w:ascii="Arial" w:cs="Arial" w:eastAsia="Arial" w:hAnsi="Arial"/>
          <w:sz w:val="22"/>
          <w:szCs w:val="22"/>
        </w:rPr>
        <w:t xml:space="preserve">Setiap Kurator wajib mengungkapkan hubungan yang dapat menimbulkan benturan kepentingan.</w:t>
      </w:r>
    </w:p>
    <w:p>
      <w:pPr>
        <w:spacing w:after="100" w:line="300"/>
        <w:ind w:left="540" w:hanging="540"/>
        <w:jc w:val="both"/>
      </w:pPr>
      <w:r>
        <w:rPr>
          <w:rFonts w:ascii="Arial" w:cs="Arial" w:eastAsia="Arial" w:hAnsi="Arial"/>
          <w:b/>
          <w:bCs/>
          <w:sz w:val="22"/>
          <w:szCs w:val="22"/>
        </w:rPr>
        <w:t xml:space="preserve">(4)	</w:t>
      </w:r>
      <w:r>
        <w:rPr>
          <w:rFonts w:ascii="Arial" w:cs="Arial" w:eastAsia="Arial" w:hAnsi="Arial"/>
          <w:sz w:val="22"/>
          <w:szCs w:val="22"/>
        </w:rPr>
        <w:t xml:space="preserve">Menteri menyelenggarakan data Kurator dan perkara yang terintegrasi, dan Balai Harta Peninggalan menjadi simpul data di wilayah kerjanya.</w:t>
      </w:r>
    </w:p>
    <w:p>
      <w:pPr>
        <w:spacing w:after="140" w:line="300"/>
        <w:jc w:val="both"/>
      </w:pPr>
      <w:r>
        <w:rPr>
          <w:rFonts w:ascii="Arial" w:cs="Arial" w:eastAsia="Arial" w:hAnsi="Arial"/>
          <w:b/>
          <w:bCs/>
          <w:i/>
          <w:iCs/>
          <w:color w:val="8A6100"/>
          <w:sz w:val="22"/>
          <w:szCs w:val="22"/>
        </w:rPr>
        <w:t xml:space="preserve">Analisis. </w:t>
      </w:r>
      <w:r>
        <w:rPr>
          <w:rFonts w:ascii="Arial" w:cs="Arial" w:eastAsia="Arial" w:hAnsi="Arial"/>
          <w:i/>
          <w:iCs/>
          <w:sz w:val="22"/>
          <w:szCs w:val="22"/>
        </w:rPr>
        <w:t xml:space="preserve">Pada perkara PT Jasa Prima Mandiri, imbalan BHP dan kurator tambahan dihitung dengan aturan yang berbeda tanpa melihat porsi tugas. Pasal ini mencegah hal tersebut, menjaga independensi, dan menyediakan data yang saat ini belum ada, termasuk perbandingan perkara BHP dan kurator perorangan.</w:t>
      </w:r>
    </w:p>
    <w:p>
      <w:pPr>
        <w:pStyle w:val="Heading1"/>
        <w:spacing w:after="120" w:before="280"/>
      </w:pPr>
      <w:r>
        <w:rPr>
          <w:rFonts w:ascii="Arial" w:cs="Arial" w:eastAsia="Arial" w:hAnsi="Arial"/>
          <w:b/>
          <w:bCs/>
          <w:color w:val="14284B"/>
          <w:sz w:val="26"/>
          <w:szCs w:val="26"/>
        </w:rPr>
        <w:t xml:space="preserve">6. Catatan untuk RUU Kepailitan dan PKPU</w:t>
      </w:r>
    </w:p>
    <w:p>
      <w:pPr>
        <w:spacing w:after="140" w:line="300"/>
        <w:jc w:val="both"/>
      </w:pPr>
      <w:r>
        <w:rPr>
          <w:rFonts w:ascii="Arial" w:cs="Arial" w:eastAsia="Arial" w:hAnsi="Arial"/>
          <w:sz w:val="22"/>
          <w:szCs w:val="22"/>
        </w:rPr>
        <w:t xml:space="preserve">Beberapa hal lebih tepat diatur dalam RUU Kepailitan dan PKPU, yaitu kewenangan BHP menjadi pengurus PKPU, kriteria dan tata cara penunjukan BHP pada perkara tertentu, kepailitan harta peninggalan tanpa ahli waris, dan kelanjutan perkara apabila debitor menghilang. Kedua RUU perlu disusun selaras sejak awal.</w:t>
      </w:r>
    </w:p>
    <w:p>
      <w:pPr>
        <w:pStyle w:val="Heading1"/>
        <w:spacing w:after="120" w:before="280"/>
      </w:pPr>
      <w:r>
        <w:rPr>
          <w:rFonts w:ascii="Arial" w:cs="Arial" w:eastAsia="Arial" w:hAnsi="Arial"/>
          <w:b/>
          <w:bCs/>
          <w:color w:val="14284B"/>
          <w:sz w:val="26"/>
          <w:szCs w:val="26"/>
        </w:rPr>
        <w:t xml:space="preserve">Penutup</w:t>
      </w:r>
    </w:p>
    <w:p>
      <w:pPr>
        <w:spacing w:after="140" w:line="300"/>
        <w:jc w:val="both"/>
      </w:pPr>
      <w:r>
        <w:rPr>
          <w:rFonts w:ascii="Arial" w:cs="Arial" w:eastAsia="Arial" w:hAnsi="Arial"/>
          <w:sz w:val="22"/>
          <w:szCs w:val="22"/>
        </w:rPr>
        <w:t xml:space="preserve">Demikian masukan BHP Medan untuk Klaster 1. Intinya satu: BHP dimuat dalam RUU sebagai lembaga negara yang menjalankan tugas kurator, dengan satu standar profesi untuk semua kurator, pembagian peran yang jelas, dan koordinasi antarlembaga yang tegas. Terima kasih.</w:t>
      </w:r>
    </w:p>
    <w:p>
      <w:pPr>
        <w:spacing w:before="400"/>
        <w:ind w:left="5000"/>
        <w:jc w:val="left"/>
      </w:pPr>
      <w:r>
        <w:rPr>
          <w:rFonts w:ascii="Arial" w:cs="Arial" w:eastAsia="Arial" w:hAnsi="Arial"/>
          <w:sz w:val="22"/>
          <w:szCs w:val="22"/>
        </w:rPr>
        <w:t xml:space="preserve">Medan, 2 Oktober 2026</w:t>
      </w:r>
    </w:p>
    <w:p>
      <w:pPr>
        <w:ind w:left="5000"/>
      </w:pPr>
      <w:r>
        <w:rPr>
          <w:rFonts w:ascii="Arial" w:cs="Arial" w:eastAsia="Arial" w:hAnsi="Arial"/>
          <w:sz w:val="22"/>
          <w:szCs w:val="22"/>
        </w:rPr>
        <w:t xml:space="preserve">Kepala Balai Harta Peninggalan Medan,</w:t>
      </w:r>
    </w:p>
    <w:p>
      <w:pPr>
        <w:spacing w:before="700"/>
        <w:ind w:left="5000"/>
      </w:pPr>
      <w:r>
        <w:rPr>
          <w:rFonts w:ascii="Arial" w:cs="Arial" w:eastAsia="Arial" w:hAnsi="Arial"/>
          <w:b/>
          <w:bCs/>
          <w:sz w:val="22"/>
          <w:szCs w:val="22"/>
          <w:u w:val="single"/>
        </w:rPr>
        <w:t xml:space="preserve">Syafriadi Lubis, M.H.</w:t>
      </w:r>
    </w:p>
    <w:sectPr>
      <w:footerReference w:type="default" r:id="rId7"/>
      <w:pgSz w:w="11906" w:h="16838" w:orient="portrait"/>
      <w:pgMar w:top="1134" w:right="1134"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5568"/>
        <w:sz w:val="16"/>
        <w:szCs w:val="16"/>
      </w:rPr>
      <w:t xml:space="preserve">BHP Medan · Klaster 1 Tumpang Tindih Kewenangan · Narasi · hal. </w:t>
    </w:r>
    <w:r>
      <w:rPr>
        <w:rFonts w:ascii="Arial" w:cs="Arial" w:eastAsia="Arial" w:hAnsi="Arial"/>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Naskah Narasi BHP Medan, Klaster 1 Tumpang Tindih Kewenangan</dc:title>
  <dc:creator>Balai Harta Peninggalan Medan</dc:creator>
  <cp:lastModifiedBy>Un-named</cp:lastModifiedBy>
  <cp:revision>1</cp:revision>
  <dcterms:created xsi:type="dcterms:W3CDTF">2026-10-03T08:40:06.694Z</dcterms:created>
  <dcterms:modified xsi:type="dcterms:W3CDTF">2026-10-03T08:40:06.694Z</dcterms:modified>
</cp:coreProperties>
</file>

<file path=docProps/custom.xml><?xml version="1.0" encoding="utf-8"?>
<Properties xmlns="http://schemas.openxmlformats.org/officeDocument/2006/custom-properties" xmlns:vt="http://schemas.openxmlformats.org/officeDocument/2006/docPropsVTypes"/>
</file>