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265"/>
        <w:gridCol w:w="3241"/>
        <w:gridCol w:w="1131"/>
        <w:gridCol w:w="2398"/>
      </w:tblGrid>
      <w:tr>
        <w:trPr>
          <w:trHeight w:val="315" w:hRule="auto"/>
          <w:jc w:val="left"/>
          <w:cantSplit w:val="1"/>
        </w:trPr>
        <w:tc>
          <w:tcPr>
            <w:tcW w:w="226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of Student</w:t>
            </w:r>
          </w:p>
        </w:tc>
        <w:tc>
          <w:tcPr>
            <w:tcW w:w="32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Arthur Leonard LESMANA</w:t>
            </w:r>
          </w:p>
        </w:tc>
        <w:tc>
          <w:tcPr>
            <w:tcW w:w="11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4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ID</w:t>
            </w:r>
          </w:p>
        </w:tc>
        <w:tc>
          <w:tcPr>
            <w:tcW w:w="23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18780</w:t>
            </w:r>
          </w:p>
        </w:tc>
      </w:tr>
    </w:tbl>
    <w:p>
      <w:pPr>
        <w:spacing w:before="100" w:after="100" w:line="259"/>
        <w:ind w:right="0" w:left="0" w:firstLine="0"/>
        <w:jc w:val="left"/>
        <w:rPr>
          <w:rFonts w:ascii="Calibri" w:hAnsi="Calibri" w:cs="Calibri" w:eastAsia="Calibri"/>
          <w:color w:val="auto"/>
          <w:spacing w:val="0"/>
          <w:position w:val="0"/>
          <w:sz w:val="22"/>
          <w:shd w:fill="auto" w:val="clear"/>
        </w:rPr>
      </w:pPr>
    </w:p>
    <w:p>
      <w:pPr>
        <w:spacing w:before="100" w:after="102"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00" w:after="102"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All my assessments and works could be found in this link: </w:t>
      </w:r>
      <w:hyperlink xmlns:r="http://schemas.openxmlformats.org/officeDocument/2006/relationships" r:id="docRId0">
        <w:r>
          <w:rPr>
            <w:rFonts w:ascii="Calibri" w:hAnsi="Calibri" w:cs="Calibri" w:eastAsia="Calibri"/>
            <w:color w:val="0000FF"/>
            <w:spacing w:val="0"/>
            <w:position w:val="0"/>
            <w:sz w:val="22"/>
            <w:u w:val="single"/>
            <w:shd w:fill="FFFF00" w:val="clear"/>
          </w:rPr>
          <w:t xml:space="preserve">https://arthleo.github.io/ict2/</w:t>
        </w:r>
      </w:hyperlink>
    </w:p>
    <w:p>
      <w:pPr>
        <w:spacing w:before="100" w:after="102"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00" w:after="10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2"/>
          <w:shd w:fill="auto" w:val="clear"/>
        </w:rPr>
        <w:t xml:space="preserve"> </w:t>
      </w:r>
      <w:r>
        <w:rPr>
          <w:rFonts w:ascii="Cambria" w:hAnsi="Cambria" w:cs="Cambria" w:eastAsia="Cambria"/>
          <w:b/>
          <w:color w:val="0F243E"/>
          <w:spacing w:val="0"/>
          <w:position w:val="0"/>
          <w:sz w:val="48"/>
          <w:shd w:fill="auto" w:val="clear"/>
        </w:rPr>
        <w:t xml:space="preserve">Assessment 1 </w:t>
      </w:r>
      <w:r>
        <w:rPr>
          <w:rFonts w:ascii="Cambria" w:hAnsi="Cambria" w:cs="Cambria" w:eastAsia="Cambria"/>
          <w:b/>
          <w:color w:val="0F243E"/>
          <w:spacing w:val="0"/>
          <w:position w:val="0"/>
          <w:sz w:val="48"/>
          <w:shd w:fill="auto" w:val="clear"/>
        </w:rPr>
        <w:t xml:space="preserve">–</w:t>
      </w:r>
      <w:r>
        <w:rPr>
          <w:rFonts w:ascii="Cambria" w:hAnsi="Cambria" w:cs="Cambria" w:eastAsia="Cambria"/>
          <w:b/>
          <w:color w:val="0F243E"/>
          <w:spacing w:val="0"/>
          <w:position w:val="0"/>
          <w:sz w:val="40"/>
          <w:shd w:fill="auto" w:val="clear"/>
        </w:rPr>
        <w:t xml:space="preserve"> Presentation </w:t>
      </w:r>
    </w:p>
    <w:p>
      <w:pPr>
        <w:spacing w:before="100" w:after="337" w:line="259"/>
        <w:ind w:right="-10" w:left="-29" w:firstLine="0"/>
        <w:jc w:val="left"/>
        <w:rPr>
          <w:rFonts w:ascii="Calibri" w:hAnsi="Calibri" w:cs="Calibri" w:eastAsia="Calibri"/>
          <w:color w:val="auto"/>
          <w:spacing w:val="0"/>
          <w:position w:val="0"/>
          <w:sz w:val="22"/>
          <w:shd w:fill="auto" w:val="clear"/>
        </w:rPr>
      </w:pPr>
    </w:p>
    <w:p>
      <w:pPr>
        <w:spacing w:before="100" w:after="0" w:line="259"/>
        <w:ind w:right="0" w:left="-5" w:firstLine="0"/>
        <w:jc w:val="left"/>
        <w:rPr>
          <w:rFonts w:ascii="Calibri" w:hAnsi="Calibri" w:cs="Calibri" w:eastAsia="Calibri"/>
          <w:color w:val="auto"/>
          <w:spacing w:val="0"/>
          <w:position w:val="0"/>
          <w:sz w:val="22"/>
          <w:shd w:fill="auto" w:val="clear"/>
        </w:rPr>
      </w:pPr>
      <w:r>
        <w:rPr>
          <w:rFonts w:ascii="Cambria" w:hAnsi="Cambria" w:cs="Cambria" w:eastAsia="Cambria"/>
          <w:b/>
          <w:i/>
          <w:color w:val="0F243E"/>
          <w:spacing w:val="0"/>
          <w:position w:val="0"/>
          <w:sz w:val="22"/>
          <w:shd w:fill="auto" w:val="clear"/>
        </w:rPr>
        <w:t xml:space="preserve">Instructions: </w:t>
      </w:r>
    </w:p>
    <w:p>
      <w:pPr>
        <w:spacing w:before="100" w:after="110" w:line="276"/>
        <w:ind w:right="44"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analyse a case scenarios and complete tasks mentioned after scenario. </w:t>
      </w:r>
    </w:p>
    <w:p>
      <w:pPr>
        <w:spacing w:before="100" w:after="213" w:line="276"/>
        <w:ind w:right="44"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demonstrate your develop ICT solution ability to identify the solution, determine client support and manage the team in development an awareness of cyber security in workplace.</w:t>
      </w:r>
      <w:r>
        <w:rPr>
          <w:rFonts w:ascii="Calibri" w:hAnsi="Calibri" w:cs="Calibri" w:eastAsia="Calibri"/>
          <w:b/>
          <w:color w:val="auto"/>
          <w:spacing w:val="0"/>
          <w:position w:val="0"/>
          <w:sz w:val="22"/>
          <w:shd w:fill="auto" w:val="clear"/>
        </w:rPr>
        <w:t xml:space="preserve"> </w:t>
      </w:r>
    </w:p>
    <w:p>
      <w:pPr>
        <w:spacing w:before="100" w:after="0" w:line="259"/>
        <w:ind w:right="0" w:left="-5" w:firstLine="0"/>
        <w:jc w:val="left"/>
        <w:rPr>
          <w:rFonts w:ascii="Calibri" w:hAnsi="Calibri" w:cs="Calibri" w:eastAsia="Calibri"/>
          <w:color w:val="auto"/>
          <w:spacing w:val="0"/>
          <w:position w:val="0"/>
          <w:sz w:val="22"/>
          <w:shd w:fill="auto" w:val="clear"/>
        </w:rPr>
      </w:pPr>
      <w:r>
        <w:rPr>
          <w:rFonts w:ascii="Cambria" w:hAnsi="Cambria" w:cs="Cambria" w:eastAsia="Cambria"/>
          <w:b/>
          <w:i/>
          <w:color w:val="0F243E"/>
          <w:spacing w:val="0"/>
          <w:position w:val="0"/>
          <w:sz w:val="22"/>
          <w:shd w:fill="auto" w:val="clear"/>
        </w:rPr>
        <w:t xml:space="preserve">Duration: </w:t>
      </w:r>
    </w:p>
    <w:p>
      <w:pPr>
        <w:spacing w:before="100" w:after="206" w:line="276"/>
        <w:ind w:right="44"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Trainer will set the duration of the assessment. </w:t>
      </w:r>
    </w:p>
    <w:p>
      <w:pPr>
        <w:spacing w:before="100" w:after="0" w:line="259"/>
        <w:ind w:right="0" w:left="-5" w:firstLine="0"/>
        <w:jc w:val="left"/>
        <w:rPr>
          <w:rFonts w:ascii="Calibri" w:hAnsi="Calibri" w:cs="Calibri" w:eastAsia="Calibri"/>
          <w:color w:val="auto"/>
          <w:spacing w:val="0"/>
          <w:position w:val="0"/>
          <w:sz w:val="22"/>
          <w:shd w:fill="auto" w:val="clear"/>
        </w:rPr>
      </w:pPr>
      <w:r>
        <w:rPr>
          <w:rFonts w:ascii="Cambria" w:hAnsi="Cambria" w:cs="Cambria" w:eastAsia="Cambria"/>
          <w:b/>
          <w:i/>
          <w:color w:val="0F243E"/>
          <w:spacing w:val="0"/>
          <w:position w:val="0"/>
          <w:sz w:val="22"/>
          <w:shd w:fill="auto" w:val="clear"/>
        </w:rPr>
        <w:t xml:space="preserve">Evidence required: </w:t>
      </w:r>
    </w:p>
    <w:tbl>
      <w:tblPr/>
      <w:tblGrid>
        <w:gridCol w:w="1808"/>
        <w:gridCol w:w="4961"/>
        <w:gridCol w:w="1559"/>
      </w:tblGrid>
      <w:tr>
        <w:trPr>
          <w:trHeight w:val="467" w:hRule="auto"/>
          <w:jc w:val="left"/>
        </w:trPr>
        <w:tc>
          <w:tcPr>
            <w:tcW w:w="1808" w:type="dxa"/>
            <w:tcBorders>
              <w:top w:val="single" w:color="ffffff" w:sz="4"/>
              <w:left w:val="single" w:color="ffffff" w:sz="4"/>
              <w:bottom w:val="single" w:color="ffffff" w:sz="4"/>
              <w:right w:val="single" w:color="ffffff" w:sz="4"/>
            </w:tcBorders>
            <w:shd w:color="auto" w:fill="000000" w:val="clear"/>
            <w:tcMar>
              <w:left w:w="110" w:type="dxa"/>
              <w:right w:w="110" w:type="dxa"/>
            </w:tcMar>
            <w:vAlign w:val="bottom"/>
          </w:tcPr>
          <w:p>
            <w:pPr>
              <w:spacing w:before="100" w:after="0" w:line="259"/>
              <w:ind w:right="0" w:left="0" w:firstLine="0"/>
              <w:jc w:val="left"/>
              <w:rPr>
                <w:spacing w:val="0"/>
                <w:position w:val="0"/>
                <w:sz w:val="22"/>
                <w:shd w:fill="auto" w:val="clear"/>
              </w:rPr>
            </w:pPr>
            <w:r>
              <w:rPr>
                <w:rFonts w:ascii="Cambria" w:hAnsi="Cambria" w:cs="Cambria" w:eastAsia="Cambria"/>
                <w:i/>
                <w:color w:val="FFFFFF"/>
                <w:spacing w:val="0"/>
                <w:position w:val="0"/>
                <w:sz w:val="22"/>
                <w:shd w:fill="auto" w:val="clear"/>
              </w:rPr>
              <w:t xml:space="preserve">Tasks </w:t>
            </w:r>
          </w:p>
        </w:tc>
        <w:tc>
          <w:tcPr>
            <w:tcW w:w="4961" w:type="dxa"/>
            <w:tcBorders>
              <w:top w:val="single" w:color="ffffff" w:sz="4"/>
              <w:left w:val="single" w:color="ffffff" w:sz="4"/>
              <w:bottom w:val="single" w:color="ffffff" w:sz="4"/>
              <w:right w:val="single" w:color="ffffff" w:sz="4"/>
            </w:tcBorders>
            <w:shd w:color="auto" w:fill="000000" w:val="clear"/>
            <w:tcMar>
              <w:left w:w="110" w:type="dxa"/>
              <w:right w:w="110" w:type="dxa"/>
            </w:tcMar>
            <w:vAlign w:val="bottom"/>
          </w:tcPr>
          <w:p>
            <w:pPr>
              <w:spacing w:before="100" w:after="0" w:line="259"/>
              <w:ind w:right="0" w:left="1" w:firstLine="0"/>
              <w:jc w:val="left"/>
              <w:rPr>
                <w:spacing w:val="0"/>
                <w:position w:val="0"/>
                <w:sz w:val="22"/>
                <w:shd w:fill="auto" w:val="clear"/>
              </w:rPr>
            </w:pPr>
            <w:r>
              <w:rPr>
                <w:rFonts w:ascii="Cambria" w:hAnsi="Cambria" w:cs="Cambria" w:eastAsia="Cambria"/>
                <w:i/>
                <w:color w:val="FFFFFF"/>
                <w:spacing w:val="0"/>
                <w:position w:val="0"/>
                <w:sz w:val="22"/>
                <w:shd w:fill="auto" w:val="clear"/>
              </w:rPr>
              <w:t xml:space="preserve">Evidence </w:t>
            </w:r>
          </w:p>
        </w:tc>
        <w:tc>
          <w:tcPr>
            <w:tcW w:w="1559" w:type="dxa"/>
            <w:tcBorders>
              <w:top w:val="single" w:color="ffffff" w:sz="4"/>
              <w:left w:val="single" w:color="ffffff" w:sz="4"/>
              <w:bottom w:val="single" w:color="ffffff" w:sz="4"/>
              <w:right w:val="single" w:color="ffffff" w:sz="4"/>
            </w:tcBorders>
            <w:shd w:color="auto" w:fill="000000" w:val="clear"/>
            <w:tcMar>
              <w:left w:w="110" w:type="dxa"/>
              <w:right w:w="110" w:type="dxa"/>
            </w:tcMar>
            <w:vAlign w:val="bottom"/>
          </w:tcPr>
          <w:p>
            <w:pPr>
              <w:spacing w:before="100" w:after="0" w:line="259"/>
              <w:ind w:right="0" w:left="1" w:firstLine="0"/>
              <w:jc w:val="left"/>
              <w:rPr>
                <w:spacing w:val="0"/>
                <w:position w:val="0"/>
                <w:sz w:val="22"/>
                <w:shd w:fill="auto" w:val="clear"/>
              </w:rPr>
            </w:pPr>
            <w:r>
              <w:rPr>
                <w:rFonts w:ascii="Cambria" w:hAnsi="Cambria" w:cs="Cambria" w:eastAsia="Cambria"/>
                <w:i/>
                <w:color w:val="FFFFFF"/>
                <w:spacing w:val="0"/>
                <w:position w:val="0"/>
                <w:sz w:val="22"/>
                <w:shd w:fill="auto" w:val="clear"/>
              </w:rPr>
              <w:t xml:space="preserve">Submission </w:t>
            </w:r>
          </w:p>
        </w:tc>
      </w:tr>
      <w:tr>
        <w:trPr>
          <w:trHeight w:val="1470" w:hRule="auto"/>
          <w:jc w:val="left"/>
        </w:trPr>
        <w:tc>
          <w:tcPr>
            <w:tcW w:w="1808" w:type="dxa"/>
            <w:tcBorders>
              <w:top w:val="single" w:color="ffffff" w:sz="4"/>
              <w:left w:val="single" w:color="ffffff" w:sz="4"/>
              <w:bottom w:val="single" w:color="ffffff" w:sz="4"/>
              <w:right w:val="single" w:color="ffffff" w:sz="4"/>
            </w:tcBorders>
            <w:shd w:color="auto" w:fill="c0c0c0" w:val="clear"/>
            <w:tcMar>
              <w:left w:w="110" w:type="dxa"/>
              <w:right w:w="110" w:type="dxa"/>
            </w:tcMar>
            <w:vAlign w:val="top"/>
          </w:tcPr>
          <w:p>
            <w:pPr>
              <w:spacing w:before="10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issue and  </w:t>
            </w:r>
          </w:p>
        </w:tc>
        <w:tc>
          <w:tcPr>
            <w:tcW w:w="4961" w:type="dxa"/>
            <w:tcBorders>
              <w:top w:val="single" w:color="ffffff" w:sz="4"/>
              <w:left w:val="single" w:color="ffffff" w:sz="4"/>
              <w:bottom w:val="single" w:color="ffffff" w:sz="4"/>
              <w:right w:val="single" w:color="ffffff" w:sz="4"/>
            </w:tcBorders>
            <w:shd w:color="auto" w:fill="c0c0c0" w:val="clear"/>
            <w:tcMar>
              <w:left w:w="110" w:type="dxa"/>
              <w:right w:w="110" w:type="dxa"/>
            </w:tcMar>
            <w:vAlign w:val="top"/>
          </w:tcPr>
          <w:p>
            <w:pPr>
              <w:spacing w:before="100" w:after="0" w:line="259"/>
              <w:ind w:right="0" w:left="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complete issue report and selected solution, including a presentation. </w:t>
            </w:r>
          </w:p>
        </w:tc>
        <w:tc>
          <w:tcPr>
            <w:tcW w:w="1559" w:type="dxa"/>
            <w:tcBorders>
              <w:top w:val="single" w:color="ffffff" w:sz="4"/>
              <w:left w:val="single" w:color="ffffff" w:sz="4"/>
              <w:bottom w:val="single" w:color="ffffff" w:sz="4"/>
              <w:right w:val="single" w:color="ffffff" w:sz="4"/>
            </w:tcBorders>
            <w:shd w:color="auto" w:fill="c0c0c0" w:val="clear"/>
            <w:tcMar>
              <w:left w:w="110" w:type="dxa"/>
              <w:right w:w="110" w:type="dxa"/>
            </w:tcMar>
            <w:vAlign w:val="center"/>
          </w:tcPr>
          <w:p>
            <w:pPr>
              <w:spacing w:before="100" w:after="0" w:line="259"/>
              <w:ind w:right="0" w:left="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Presentation in front of the class and the trainer. Also, in printing </w:t>
            </w:r>
          </w:p>
        </w:tc>
      </w:tr>
    </w:tbl>
    <w:p>
      <w:pPr>
        <w:spacing w:before="100" w:after="167" w:line="259"/>
        <w:ind w:right="0" w:left="0" w:firstLine="0"/>
        <w:jc w:val="left"/>
        <w:rPr>
          <w:rFonts w:ascii="Calibri" w:hAnsi="Calibri" w:cs="Calibri" w:eastAsia="Calibri"/>
          <w:caps w:val="true"/>
          <w:color w:val="FFFFFF"/>
          <w:spacing w:val="15"/>
          <w:position w:val="0"/>
          <w:sz w:val="22"/>
          <w:shd w:fill="4472C4" w:val="clear"/>
        </w:rPr>
      </w:pPr>
      <w:r>
        <w:rPr>
          <w:rFonts w:ascii="Calibri" w:hAnsi="Calibri" w:cs="Calibri" w:eastAsia="Calibri"/>
          <w:color w:val="auto"/>
          <w:spacing w:val="0"/>
          <w:position w:val="0"/>
          <w:sz w:val="22"/>
          <w:shd w:fill="auto" w:val="clear"/>
        </w:rPr>
        <w:t xml:space="preserve"> </w:t>
      </w:r>
    </w:p>
    <w:p>
      <w:pPr>
        <w:spacing w:before="100" w:after="72" w:line="276"/>
        <w:ind w:right="44" w:left="-5"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Heaven Systems, established in 1999, is a prominent provider of transportation solutions for residential, commercial, and logistics needs. They serve both businesses and individuals worldwide, emphasizing innovation, quality, and customer service. The company faced a rising number of phishing emails in recent times, causing productivity issues and data breach concerns. Despite multiple security layers, some sophisticated phishing emails still infiltrated employee inboxes. IT Director David Potter noted that these emails often appeared legitimate, making it challenging to discern their malicious nature. </w:t>
      </w:r>
      <w:r>
        <w:rPr>
          <w:rFonts w:ascii="Calibri" w:hAnsi="Calibri" w:cs="Calibri" w:eastAsia="Calibri"/>
          <w:color w:val="auto"/>
          <w:spacing w:val="0"/>
          <w:position w:val="0"/>
          <w:sz w:val="22"/>
          <w:shd w:fill="FFFF00" w:val="clear"/>
        </w:rPr>
        <w:t xml:space="preserve">Refer to employee background statistic shown below: </w:t>
      </w:r>
    </w:p>
    <w:p>
      <w:pPr>
        <w:spacing w:before="100" w:after="72" w:line="240"/>
        <w:ind w:right="44" w:left="-5" w:firstLine="0"/>
        <w:jc w:val="left"/>
        <w:rPr>
          <w:rFonts w:ascii="Calibri" w:hAnsi="Calibri" w:cs="Calibri" w:eastAsia="Calibri"/>
          <w:color w:val="auto"/>
          <w:spacing w:val="0"/>
          <w:position w:val="0"/>
          <w:sz w:val="22"/>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00" w:after="76" w:line="276"/>
        <w:ind w:right="44" w:left="-5"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To enhance employee awareness and response to phishing emails, the company conducts annual training and tests with mock phishing attacks. Employees who click on these simulated phishing emails must retake the security training, which some were avoiding to prevent mistakes. Some individuals opted to forward all suspicious emails to IT, creating a time-consuming investigation process for the IT team.</w:t>
      </w:r>
    </w:p>
    <w:p>
      <w:pPr>
        <w:spacing w:before="100" w:after="76" w:line="276"/>
        <w:ind w:right="44" w:left="-5"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In response to this issue, the company, under your management as the IT project manager, implemented MailMon, an automated phishing incident reporting and response service, to detect Spear-Phishing. This service allows end users to report suspicious emails directly from their inbox, thereby accelerating the analysis and response to potentially harmful emails. MailMon is compatible with Microsoft Exchange 2013 and newer, as well as Office365, and it is deployed as an Outlook plug-in, including the Outlook App for Android and iOS devices.</w:t>
      </w:r>
    </w:p>
    <w:p>
      <w:pPr>
        <w:spacing w:before="100" w:after="76" w:line="276"/>
        <w:ind w:right="44" w:left="-5"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To address the challenges of a complex reporting system and to improve overall cyber security awareness, your team, which now includes three new IT staff members, will work to ensure that employees, including the existing IT department, become familiar with MailMon. This initiative aims to streamline the response to cyber threats and optimize the use of resources within the company. </w:t>
      </w:r>
    </w:p>
    <w:p>
      <w:pPr>
        <w:spacing w:before="100" w:after="76" w:line="240"/>
        <w:ind w:right="44" w:left="-5" w:firstLine="0"/>
        <w:jc w:val="left"/>
        <w:rPr>
          <w:rFonts w:ascii="Calibri" w:hAnsi="Calibri" w:cs="Calibri" w:eastAsia="Calibri"/>
          <w:color w:val="auto"/>
          <w:spacing w:val="0"/>
          <w:position w:val="0"/>
          <w:sz w:val="22"/>
          <w:shd w:fill="auto" w:val="clear"/>
        </w:rPr>
      </w:pPr>
      <w:r>
        <w:object w:dxaOrig="8640" w:dyaOrig="3750">
          <v:rect xmlns:o="urn:schemas-microsoft-com:office:office" xmlns:v="urn:schemas-microsoft-com:vml" id="rectole0000000001" style="width:432.000000pt;height:187.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100" w:after="102" w:line="259"/>
        <w:ind w:right="2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Email Analytics</w:t>
      </w:r>
    </w:p>
    <w:p>
      <w:pPr>
        <w:spacing w:before="100" w:after="102" w:line="259"/>
        <w:ind w:right="20" w:left="0" w:firstLine="0"/>
        <w:jc w:val="center"/>
        <w:rPr>
          <w:rFonts w:ascii="Calibri" w:hAnsi="Calibri" w:cs="Calibri" w:eastAsia="Calibri"/>
          <w:color w:val="auto"/>
          <w:spacing w:val="0"/>
          <w:position w:val="0"/>
          <w:sz w:val="22"/>
          <w:shd w:fill="auto" w:val="clear"/>
        </w:rPr>
      </w:pPr>
    </w:p>
    <w:p>
      <w:pPr>
        <w:spacing w:before="100" w:after="0" w:line="276"/>
        <w:ind w:right="0" w:left="-5" w:firstLine="0"/>
        <w:jc w:val="left"/>
        <w:rPr>
          <w:rFonts w:ascii="Calibri" w:hAnsi="Calibri" w:cs="Calibri" w:eastAsia="Calibri"/>
          <w:color w:val="auto"/>
          <w:spacing w:val="0"/>
          <w:position w:val="0"/>
          <w:sz w:val="22"/>
          <w:shd w:fill="auto" w:val="clear"/>
        </w:rPr>
      </w:pPr>
      <w:r>
        <w:rPr>
          <w:rFonts w:ascii="Calibri" w:hAnsi="Calibri" w:cs="Calibri" w:eastAsia="Calibri"/>
          <w:caps w:val="true"/>
          <w:color w:val="FFFFFF"/>
          <w:spacing w:val="15"/>
          <w:position w:val="0"/>
          <w:sz w:val="22"/>
          <w:shd w:fill="4472C4" w:val="clear"/>
        </w:rPr>
        <w:t xml:space="preserve">Heaven Systems internal IT Service Agreement </w:t>
      </w:r>
    </w:p>
    <w:tbl>
      <w:tblPr/>
      <w:tblGrid>
        <w:gridCol w:w="1560"/>
        <w:gridCol w:w="4109"/>
        <w:gridCol w:w="3467"/>
      </w:tblGrid>
      <w:tr>
        <w:trPr>
          <w:trHeight w:val="413" w:hRule="auto"/>
          <w:jc w:val="left"/>
        </w:trPr>
        <w:tc>
          <w:tcPr>
            <w:tcW w:w="1560" w:type="dxa"/>
            <w:tcBorders>
              <w:top w:val="single" w:color="000000" w:sz="4"/>
              <w:left w:val="single" w:color="000000" w:sz="0"/>
              <w:bottom w:val="single" w:color="000000" w:sz="4"/>
              <w:right w:val="single" w:color="000000" w:sz="0"/>
            </w:tcBorders>
            <w:shd w:color="auto" w:fill="000000" w:val="clear"/>
            <w:tcMar>
              <w:left w:w="111" w:type="dxa"/>
              <w:right w:w="111" w:type="dxa"/>
            </w:tcMar>
            <w:vAlign w:val="top"/>
          </w:tcPr>
          <w:p>
            <w:pPr>
              <w:spacing w:before="100" w:after="0" w:line="259"/>
              <w:ind w:right="0" w:left="1" w:firstLine="0"/>
              <w:jc w:val="left"/>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Severity Level </w:t>
            </w:r>
          </w:p>
        </w:tc>
        <w:tc>
          <w:tcPr>
            <w:tcW w:w="4109" w:type="dxa"/>
            <w:tcBorders>
              <w:top w:val="single" w:color="000000" w:sz="4"/>
              <w:left w:val="single" w:color="000000" w:sz="0"/>
              <w:bottom w:val="single" w:color="000000" w:sz="4"/>
              <w:right w:val="single" w:color="000000" w:sz="0"/>
            </w:tcBorders>
            <w:shd w:color="auto" w:fill="000000" w:val="clear"/>
            <w:tcMar>
              <w:left w:w="111" w:type="dxa"/>
              <w:right w:w="111" w:type="dxa"/>
            </w:tcMar>
            <w:vAlign w:val="top"/>
          </w:tcPr>
          <w:p>
            <w:pPr>
              <w:spacing w:before="10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Description </w:t>
            </w:r>
          </w:p>
        </w:tc>
        <w:tc>
          <w:tcPr>
            <w:tcW w:w="3467" w:type="dxa"/>
            <w:tcBorders>
              <w:top w:val="single" w:color="000000" w:sz="4"/>
              <w:left w:val="single" w:color="000000" w:sz="0"/>
              <w:bottom w:val="single" w:color="000000" w:sz="4"/>
              <w:right w:val="single" w:color="000000" w:sz="0"/>
            </w:tcBorders>
            <w:shd w:color="auto" w:fill="000000" w:val="clear"/>
            <w:tcMar>
              <w:left w:w="111" w:type="dxa"/>
              <w:right w:w="111" w:type="dxa"/>
            </w:tcMar>
            <w:vAlign w:val="top"/>
          </w:tcPr>
          <w:p>
            <w:pPr>
              <w:spacing w:before="10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Target Response </w:t>
            </w:r>
          </w:p>
        </w:tc>
      </w:tr>
      <w:tr>
        <w:trPr>
          <w:trHeight w:val="414" w:hRule="auto"/>
          <w:jc w:val="left"/>
        </w:trPr>
        <w:tc>
          <w:tcPr>
            <w:tcW w:w="1560"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100" w:after="0" w:line="259"/>
              <w:ind w:right="0" w:left="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(Outage) </w:t>
            </w:r>
          </w:p>
        </w:tc>
        <w:tc>
          <w:tcPr>
            <w:tcW w:w="4109"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10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Entire Company Server down </w:t>
            </w:r>
          </w:p>
        </w:tc>
        <w:tc>
          <w:tcPr>
            <w:tcW w:w="346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10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Immediately </w:t>
            </w:r>
          </w:p>
        </w:tc>
      </w:tr>
      <w:tr>
        <w:trPr>
          <w:trHeight w:val="415" w:hRule="auto"/>
          <w:jc w:val="left"/>
        </w:trPr>
        <w:tc>
          <w:tcPr>
            <w:tcW w:w="1560"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100" w:after="0" w:line="259"/>
              <w:ind w:right="0" w:left="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(Critical) </w:t>
            </w:r>
          </w:p>
        </w:tc>
        <w:tc>
          <w:tcPr>
            <w:tcW w:w="4109"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10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Entire Department Server down </w:t>
            </w:r>
          </w:p>
        </w:tc>
        <w:tc>
          <w:tcPr>
            <w:tcW w:w="346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10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15 Minutes </w:t>
            </w:r>
          </w:p>
        </w:tc>
      </w:tr>
      <w:tr>
        <w:trPr>
          <w:trHeight w:val="413" w:hRule="auto"/>
          <w:jc w:val="left"/>
        </w:trPr>
        <w:tc>
          <w:tcPr>
            <w:tcW w:w="1560"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100" w:after="0" w:line="259"/>
              <w:ind w:right="0" w:left="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(Urgent) </w:t>
            </w:r>
          </w:p>
        </w:tc>
        <w:tc>
          <w:tcPr>
            <w:tcW w:w="4109"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10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 computer down </w:t>
            </w:r>
          </w:p>
        </w:tc>
        <w:tc>
          <w:tcPr>
            <w:tcW w:w="346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10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1 hours </w:t>
            </w:r>
          </w:p>
        </w:tc>
      </w:tr>
      <w:tr>
        <w:trPr>
          <w:trHeight w:val="660" w:hRule="auto"/>
          <w:jc w:val="left"/>
        </w:trPr>
        <w:tc>
          <w:tcPr>
            <w:tcW w:w="1560"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100" w:after="0" w:line="259"/>
              <w:ind w:right="0" w:left="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(Important) </w:t>
            </w:r>
          </w:p>
        </w:tc>
        <w:tc>
          <w:tcPr>
            <w:tcW w:w="4109"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10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 computer not work properly or potential for interrupt their routine work </w:t>
            </w:r>
          </w:p>
        </w:tc>
        <w:tc>
          <w:tcPr>
            <w:tcW w:w="346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10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3 hours </w:t>
            </w:r>
          </w:p>
        </w:tc>
      </w:tr>
      <w:tr>
        <w:trPr>
          <w:trHeight w:val="778" w:hRule="auto"/>
          <w:jc w:val="left"/>
        </w:trPr>
        <w:tc>
          <w:tcPr>
            <w:tcW w:w="1560"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100" w:after="0" w:line="259"/>
              <w:ind w:right="0" w:left="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(General) </w:t>
            </w:r>
          </w:p>
        </w:tc>
        <w:tc>
          <w:tcPr>
            <w:tcW w:w="4109"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100" w:after="1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Upgrade software </w:t>
            </w:r>
          </w:p>
          <w:p>
            <w:pPr>
              <w:spacing w:before="10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 request </w:t>
            </w:r>
          </w:p>
          <w:p>
            <w:pPr>
              <w:spacing w:before="100" w:after="0" w:line="259"/>
              <w:ind w:right="0" w:left="0" w:firstLine="0"/>
              <w:jc w:val="left"/>
              <w:rPr>
                <w:rFonts w:ascii="Calibri" w:hAnsi="Calibri" w:cs="Calibri" w:eastAsia="Calibri"/>
                <w:color w:val="auto"/>
                <w:spacing w:val="0"/>
                <w:position w:val="0"/>
                <w:sz w:val="22"/>
                <w:shd w:fill="auto" w:val="clear"/>
              </w:rPr>
            </w:pPr>
          </w:p>
          <w:p>
            <w:pPr>
              <w:spacing w:before="100" w:after="0" w:line="259"/>
              <w:ind w:right="0" w:left="0" w:firstLine="0"/>
              <w:jc w:val="left"/>
              <w:rPr>
                <w:rFonts w:ascii="Calibri" w:hAnsi="Calibri" w:cs="Calibri" w:eastAsia="Calibri"/>
                <w:color w:val="auto"/>
                <w:spacing w:val="0"/>
                <w:position w:val="0"/>
                <w:sz w:val="22"/>
                <w:shd w:fill="auto" w:val="clear"/>
              </w:rPr>
            </w:pPr>
          </w:p>
        </w:tc>
        <w:tc>
          <w:tcPr>
            <w:tcW w:w="346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10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48 hours </w:t>
            </w:r>
          </w:p>
        </w:tc>
      </w:tr>
    </w:tbl>
    <w:p>
      <w:pPr>
        <w:spacing w:before="100" w:after="239" w:line="259"/>
        <w:ind w:right="0" w:left="0" w:firstLine="0"/>
        <w:jc w:val="left"/>
        <w:rPr>
          <w:rFonts w:ascii="Calibri" w:hAnsi="Calibri" w:cs="Calibri" w:eastAsia="Calibri"/>
          <w:color w:val="auto"/>
          <w:spacing w:val="0"/>
          <w:position w:val="0"/>
          <w:sz w:val="22"/>
          <w:shd w:fill="auto" w:val="clear"/>
        </w:rPr>
      </w:pPr>
    </w:p>
    <w:p>
      <w:pPr>
        <w:spacing w:before="100" w:after="0" w:line="276"/>
        <w:ind w:right="0" w:left="0" w:firstLine="0"/>
        <w:jc w:val="left"/>
        <w:rPr>
          <w:rFonts w:ascii="Calibri" w:hAnsi="Calibri" w:cs="Calibri" w:eastAsia="Calibri"/>
          <w:caps w:val="true"/>
          <w:color w:val="FFFFFF"/>
          <w:spacing w:val="15"/>
          <w:position w:val="0"/>
          <w:sz w:val="22"/>
          <w:shd w:fill="4472C4" w:val="clear"/>
        </w:rPr>
      </w:pPr>
      <w:r>
        <w:rPr>
          <w:rFonts w:ascii="Calibri" w:hAnsi="Calibri" w:cs="Calibri" w:eastAsia="Calibri"/>
          <w:caps w:val="true"/>
          <w:color w:val="FFFFFF"/>
          <w:spacing w:val="15"/>
          <w:position w:val="0"/>
          <w:sz w:val="22"/>
          <w:shd w:fill="4472C4" w:val="clear"/>
        </w:rPr>
        <w:t xml:space="preserve">Task 1: Scope issue </w:t>
      </w:r>
    </w:p>
    <w:p>
      <w:pPr>
        <w:spacing w:before="100" w:after="111" w:line="276"/>
        <w:ind w:right="44"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in the mid of November, you are required to prepare the report for the management team on company security awareness. The report should indicate: </w:t>
      </w:r>
    </w:p>
    <w:p>
      <w:pPr>
        <w:numPr>
          <w:ilvl w:val="0"/>
          <w:numId w:val="58"/>
        </w:numPr>
        <w:spacing w:before="100" w:after="200" w:line="276"/>
        <w:ind w:right="4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company current issue:</w:t>
      </w:r>
    </w:p>
    <w:p>
      <w:pPr>
        <w:spacing w:before="100" w:after="200" w:line="276"/>
        <w:ind w:right="44" w:left="72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Artheral Company faces several security awareness challenges:</w:t>
      </w:r>
    </w:p>
    <w:p>
      <w:pPr>
        <w:numPr>
          <w:ilvl w:val="0"/>
          <w:numId w:val="60"/>
        </w:numPr>
        <w:spacing w:before="100" w:after="200" w:line="276"/>
        <w:ind w:right="44" w:left="144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Phishing Awareness: We've observed a rise in phishing attacks, and some employees have fallen victim to these scams. Despite annual training, some continue to click on suspicious links or open malicious attachments.</w:t>
      </w:r>
    </w:p>
    <w:p>
      <w:pPr>
        <w:numPr>
          <w:ilvl w:val="0"/>
          <w:numId w:val="60"/>
        </w:numPr>
        <w:spacing w:before="100" w:after="200" w:line="276"/>
        <w:ind w:right="44" w:left="144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Resistance to Training: Some employees avoid security training to prevent the inconvenience of retaking it if they make mistakes during mock phishing exercises.</w:t>
      </w:r>
    </w:p>
    <w:p>
      <w:pPr>
        <w:numPr>
          <w:ilvl w:val="0"/>
          <w:numId w:val="60"/>
        </w:numPr>
        <w:spacing w:before="100" w:after="200" w:line="276"/>
        <w:ind w:right="44" w:left="144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Over-Reporting: Some employees send all questionable emails to IT for verification, causing inefficiencies and inundating our IT department.</w:t>
      </w:r>
    </w:p>
    <w:p>
      <w:pPr>
        <w:numPr>
          <w:ilvl w:val="0"/>
          <w:numId w:val="60"/>
        </w:numPr>
        <w:spacing w:before="100" w:after="52" w:line="276"/>
        <w:ind w:right="4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for possible solution to identified issue. Each solution must be assessed on </w:t>
      </w:r>
    </w:p>
    <w:p>
      <w:pPr>
        <w:tabs>
          <w:tab w:val="right" w:pos="9001" w:leader="none"/>
        </w:tabs>
        <w:spacing w:before="100" w:after="52" w:line="276"/>
        <w:ind w:right="44" w:left="73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To address these issues, we have identified the following solutions, each assessed for its commercial potential, suitability for the target audience or purpose, and feasibility of implementation:</w:t>
      </w:r>
    </w:p>
    <w:p>
      <w:pPr>
        <w:tabs>
          <w:tab w:val="right" w:pos="9001" w:leader="none"/>
        </w:tabs>
        <w:spacing w:before="100" w:after="52" w:line="276"/>
        <w:ind w:right="44" w:left="73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Automated Email Analysis Tool (MailMon):</w:t>
      </w:r>
    </w:p>
    <w:p>
      <w:pPr>
        <w:numPr>
          <w:ilvl w:val="0"/>
          <w:numId w:val="63"/>
        </w:numPr>
        <w:tabs>
          <w:tab w:val="right" w:pos="9001" w:leader="none"/>
        </w:tabs>
        <w:spacing w:before="100" w:after="52" w:line="276"/>
        <w:ind w:right="44" w:left="145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Commercial Potential: Moderate. Such tools can be marketed as part of cybersecurity services.</w:t>
      </w:r>
    </w:p>
    <w:p>
      <w:pPr>
        <w:numPr>
          <w:ilvl w:val="0"/>
          <w:numId w:val="63"/>
        </w:numPr>
        <w:tabs>
          <w:tab w:val="right" w:pos="9001" w:leader="none"/>
        </w:tabs>
        <w:spacing w:before="100" w:after="52" w:line="276"/>
        <w:ind w:right="44" w:left="145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Suitability: Ideal for empowering employees to report suspicious emails.</w:t>
      </w:r>
    </w:p>
    <w:p>
      <w:pPr>
        <w:numPr>
          <w:ilvl w:val="0"/>
          <w:numId w:val="63"/>
        </w:numPr>
        <w:tabs>
          <w:tab w:val="right" w:pos="9001" w:leader="none"/>
        </w:tabs>
        <w:spacing w:before="100" w:after="52" w:line="276"/>
        <w:ind w:right="44" w:left="145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Feasibility: Implementation involves further training and awareness campaigns about using MailMon efficiently.</w:t>
      </w:r>
    </w:p>
    <w:p>
      <w:pPr>
        <w:tabs>
          <w:tab w:val="right" w:pos="9001" w:leader="none"/>
        </w:tabs>
        <w:spacing w:before="100" w:after="52" w:line="276"/>
        <w:ind w:right="44" w:left="73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Dedicated Security Awareness Team:</w:t>
      </w:r>
    </w:p>
    <w:p>
      <w:pPr>
        <w:numPr>
          <w:ilvl w:val="0"/>
          <w:numId w:val="65"/>
        </w:numPr>
        <w:tabs>
          <w:tab w:val="right" w:pos="9001" w:leader="none"/>
        </w:tabs>
        <w:spacing w:before="100" w:after="52" w:line="276"/>
        <w:ind w:right="44" w:left="145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Commercial Potential: Limited. Primarily an internal resource.</w:t>
      </w:r>
    </w:p>
    <w:p>
      <w:pPr>
        <w:numPr>
          <w:ilvl w:val="0"/>
          <w:numId w:val="65"/>
        </w:numPr>
        <w:tabs>
          <w:tab w:val="right" w:pos="9001" w:leader="none"/>
        </w:tabs>
        <w:spacing w:before="100" w:after="52" w:line="276"/>
        <w:ind w:right="44" w:left="145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Suitability: Ideal for continuous education and awareness campaigns.</w:t>
      </w:r>
    </w:p>
    <w:p>
      <w:pPr>
        <w:numPr>
          <w:ilvl w:val="0"/>
          <w:numId w:val="65"/>
        </w:numPr>
        <w:tabs>
          <w:tab w:val="right" w:pos="9001" w:leader="none"/>
        </w:tabs>
        <w:spacing w:before="100" w:after="52" w:line="276"/>
        <w:ind w:right="44" w:left="145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Feasibility: Establishing a dedicated team requires human resource allocation.</w:t>
      </w:r>
    </w:p>
    <w:p>
      <w:pPr>
        <w:tabs>
          <w:tab w:val="right" w:pos="9001" w:leader="none"/>
        </w:tabs>
        <w:spacing w:before="100" w:after="52" w:line="276"/>
        <w:ind w:right="44" w:left="73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Security Awareness Workshops:</w:t>
      </w:r>
    </w:p>
    <w:p>
      <w:pPr>
        <w:numPr>
          <w:ilvl w:val="0"/>
          <w:numId w:val="67"/>
        </w:numPr>
        <w:tabs>
          <w:tab w:val="right" w:pos="9001" w:leader="none"/>
        </w:tabs>
        <w:spacing w:before="100" w:after="52" w:line="276"/>
        <w:ind w:right="44" w:left="145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Commercial Potential: Limited. Targeted at internal audiences.</w:t>
      </w:r>
    </w:p>
    <w:p>
      <w:pPr>
        <w:numPr>
          <w:ilvl w:val="0"/>
          <w:numId w:val="67"/>
        </w:numPr>
        <w:tabs>
          <w:tab w:val="right" w:pos="9001" w:leader="none"/>
        </w:tabs>
        <w:spacing w:before="100" w:after="52" w:line="276"/>
        <w:ind w:right="44" w:left="145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Suitability: Effective for interactive learning and addressing specific issues.</w:t>
      </w:r>
    </w:p>
    <w:p>
      <w:pPr>
        <w:numPr>
          <w:ilvl w:val="0"/>
          <w:numId w:val="67"/>
        </w:numPr>
        <w:tabs>
          <w:tab w:val="right" w:pos="9001" w:leader="none"/>
        </w:tabs>
        <w:spacing w:before="100" w:after="52" w:line="276"/>
        <w:ind w:right="44" w:left="145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Feasibility: Requires scheduling and resource allocation for workshops.</w:t>
      </w:r>
    </w:p>
    <w:p>
      <w:pPr>
        <w:tabs>
          <w:tab w:val="right" w:pos="9001" w:leader="none"/>
        </w:tabs>
        <w:spacing w:before="100" w:after="52" w:line="276"/>
        <w:ind w:right="44" w:left="730" w:hanging="10"/>
        <w:jc w:val="left"/>
        <w:rPr>
          <w:rFonts w:ascii="Calibri" w:hAnsi="Calibri" w:cs="Calibri" w:eastAsia="Calibri"/>
          <w:color w:val="auto"/>
          <w:spacing w:val="0"/>
          <w:position w:val="0"/>
          <w:sz w:val="22"/>
          <w:shd w:fill="FFFFFF" w:val="clear"/>
        </w:rPr>
      </w:pPr>
    </w:p>
    <w:p>
      <w:pPr>
        <w:spacing w:before="100" w:after="0" w:line="276"/>
        <w:ind w:right="0" w:left="0" w:firstLine="0"/>
        <w:jc w:val="left"/>
        <w:rPr>
          <w:rFonts w:ascii="Calibri" w:hAnsi="Calibri" w:cs="Calibri" w:eastAsia="Calibri"/>
          <w:caps w:val="true"/>
          <w:color w:val="FFFFFF"/>
          <w:spacing w:val="15"/>
          <w:position w:val="0"/>
          <w:sz w:val="22"/>
          <w:shd w:fill="4472C4" w:val="clear"/>
        </w:rPr>
      </w:pPr>
      <w:r>
        <w:rPr>
          <w:rFonts w:ascii="Calibri" w:hAnsi="Calibri" w:cs="Calibri" w:eastAsia="Calibri"/>
          <w:caps w:val="true"/>
          <w:color w:val="FFFFFF"/>
          <w:spacing w:val="15"/>
          <w:position w:val="0"/>
          <w:sz w:val="22"/>
          <w:shd w:fill="4472C4" w:val="clear"/>
        </w:rPr>
        <w:t xml:space="preserve">Task 2: Selected solutions with Presentation</w:t>
      </w:r>
    </w:p>
    <w:p>
      <w:pPr>
        <w:spacing w:before="100" w:after="200" w:line="276"/>
        <w:ind w:right="0" w:left="10" w:firstLine="35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ACSC - What is Phishing on Vimeo</w:t>
        </w:r>
      </w:hyperlink>
    </w:p>
    <w:p>
      <w:pPr>
        <w:numPr>
          <w:ilvl w:val="0"/>
          <w:numId w:val="71"/>
        </w:numPr>
        <w:spacing w:before="100" w:after="200" w:line="276"/>
        <w:ind w:right="4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 a brainstorm on identified issue </w:t>
      </w:r>
    </w:p>
    <w:p>
      <w:pPr>
        <w:numPr>
          <w:ilvl w:val="0"/>
          <w:numId w:val="71"/>
        </w:numPr>
        <w:spacing w:before="100" w:after="200" w:line="276"/>
        <w:ind w:right="4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 an idea solution for identified issue </w:t>
      </w:r>
    </w:p>
    <w:p>
      <w:pPr>
        <w:numPr>
          <w:ilvl w:val="0"/>
          <w:numId w:val="71"/>
        </w:numPr>
        <w:spacing w:before="100" w:after="200" w:line="276"/>
        <w:ind w:right="4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Selected the solution and communicate to stakeholder (Your trainer) </w:t>
      </w:r>
    </w:p>
    <w:p>
      <w:pPr>
        <w:spacing w:before="100" w:after="200" w:line="276"/>
        <w:ind w:right="44"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Arial" w:hAnsi="Arial" w:cs="Arial" w:eastAsia="Arial"/>
          <w:color w:val="auto"/>
          <w:spacing w:val="0"/>
          <w:position w:val="0"/>
          <w:sz w:val="22"/>
          <w:shd w:fill="auto" w:val="clear"/>
        </w:rPr>
        <w:t xml:space="preserve"> </w:t>
      </w:r>
      <w:r>
        <w:rPr>
          <w:rFonts w:ascii="Calibri" w:hAnsi="Calibri" w:cs="Calibri" w:eastAsia="Calibri"/>
          <w:b/>
          <w:color w:val="auto"/>
          <w:spacing w:val="0"/>
          <w:position w:val="0"/>
          <w:sz w:val="22"/>
          <w:shd w:fill="FFFF00" w:val="clear"/>
        </w:rPr>
        <w:t xml:space="preserve">Prepare some (10-15) presentation slides</w:t>
      </w:r>
      <w:r>
        <w:rPr>
          <w:rFonts w:ascii="Calibri" w:hAnsi="Calibri" w:cs="Calibri" w:eastAsia="Calibri"/>
          <w:color w:val="auto"/>
          <w:spacing w:val="0"/>
          <w:position w:val="0"/>
          <w:sz w:val="22"/>
          <w:shd w:fill="auto" w:val="clear"/>
        </w:rPr>
        <w:t xml:space="preserve"> to present the following items to your trainer (All group members have to present equally) </w:t>
      </w:r>
    </w:p>
    <w:p>
      <w:pPr>
        <w:numPr>
          <w:ilvl w:val="0"/>
          <w:numId w:val="73"/>
        </w:numPr>
        <w:spacing w:before="100" w:after="200" w:line="276"/>
        <w:ind w:right="44" w:left="23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Identified issue </w:t>
      </w:r>
    </w:p>
    <w:p>
      <w:pPr>
        <w:numPr>
          <w:ilvl w:val="0"/>
          <w:numId w:val="73"/>
        </w:numPr>
        <w:spacing w:before="100" w:after="200" w:line="276"/>
        <w:ind w:right="44" w:left="23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Brainstorming evidence </w:t>
      </w:r>
    </w:p>
    <w:p>
      <w:pPr>
        <w:numPr>
          <w:ilvl w:val="0"/>
          <w:numId w:val="73"/>
        </w:numPr>
        <w:spacing w:before="100" w:after="200" w:line="276"/>
        <w:ind w:right="44" w:left="23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Selected solution </w:t>
      </w:r>
    </w:p>
    <w:p>
      <w:pPr>
        <w:numPr>
          <w:ilvl w:val="0"/>
          <w:numId w:val="73"/>
        </w:numPr>
        <w:spacing w:before="100" w:after="223" w:line="276"/>
        <w:ind w:right="4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 feedback from your trainer and finalised the solution </w:t>
      </w:r>
    </w:p>
    <w:p>
      <w:pPr>
        <w:spacing w:before="100" w:after="0" w:line="276"/>
        <w:ind w:right="0" w:left="0" w:firstLine="0"/>
        <w:jc w:val="left"/>
        <w:rPr>
          <w:rFonts w:ascii="Calibri" w:hAnsi="Calibri" w:cs="Calibri" w:eastAsia="Calibri"/>
          <w:caps w:val="true"/>
          <w:color w:val="FFFFFF"/>
          <w:spacing w:val="15"/>
          <w:position w:val="0"/>
          <w:sz w:val="22"/>
          <w:shd w:fill="4472C4" w:val="clear"/>
        </w:rPr>
      </w:pPr>
      <w:r>
        <w:rPr>
          <w:rFonts w:ascii="Calibri" w:hAnsi="Calibri" w:cs="Calibri" w:eastAsia="Calibri"/>
          <w:caps w:val="true"/>
          <w:color w:val="FFFFFF"/>
          <w:spacing w:val="15"/>
          <w:position w:val="0"/>
          <w:sz w:val="22"/>
          <w:shd w:fill="4472C4" w:val="clear"/>
        </w:rPr>
        <w:t xml:space="preserve"> Presentation </w:t>
      </w:r>
    </w:p>
    <w:p>
      <w:pPr>
        <w:spacing w:before="100" w:after="0" w:line="276"/>
        <w:ind w:right="0" w:left="0" w:firstLine="0"/>
        <w:jc w:val="left"/>
        <w:rPr>
          <w:rFonts w:ascii="Calibri" w:hAnsi="Calibri" w:cs="Calibri" w:eastAsia="Calibri"/>
          <w:caps w:val="true"/>
          <w:color w:val="FFFFFF"/>
          <w:spacing w:val="15"/>
          <w:position w:val="0"/>
          <w:sz w:val="22"/>
          <w:shd w:fill="4472C4" w:val="clear"/>
        </w:rPr>
      </w:pPr>
    </w:p>
    <w:p>
      <w:pPr>
        <w:spacing w:before="100" w:after="121"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My Presentation could be seen from this slideshow link:</w:t>
      </w:r>
    </w:p>
    <w:p>
      <w:pPr>
        <w:spacing w:before="100" w:after="121"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FFFF00" w:val="clear"/>
          </w:rPr>
          <w:t xml:space="preserve">https://docs.google.com/presentation/d/1c5OYC7YK9J51SL_75KesFVo0Ab998GHryFYT4-dyVyI/edit?usp=sharing</w:t>
        </w:r>
      </w:hyperlink>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0" w:line="276"/>
        <w:ind w:right="0" w:left="0" w:firstLine="0"/>
        <w:jc w:val="left"/>
        <w:rPr>
          <w:rFonts w:ascii="Calibri" w:hAnsi="Calibri" w:cs="Calibri" w:eastAsia="Calibri"/>
          <w:b/>
          <w:caps w:val="true"/>
          <w:color w:val="FFFFFF"/>
          <w:spacing w:val="15"/>
          <w:position w:val="0"/>
          <w:sz w:val="22"/>
          <w:shd w:fill="auto" w:val="clear"/>
        </w:rPr>
      </w:pPr>
      <w:r>
        <w:rPr>
          <w:rFonts w:ascii="Calibri" w:hAnsi="Calibri" w:cs="Calibri" w:eastAsia="Calibri"/>
          <w:b/>
          <w:caps w:val="true"/>
          <w:color w:val="FFFFFF"/>
          <w:spacing w:val="15"/>
          <w:position w:val="0"/>
          <w:sz w:val="22"/>
          <w:shd w:fill="4472C4" w:val="clear"/>
        </w:rPr>
        <w:t xml:space="preserve">REFERENCE:</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Visit my site: </w:t>
      </w:r>
      <w:hyperlink xmlns:r="http://schemas.openxmlformats.org/officeDocument/2006/relationships" r:id="docRId7">
        <w:r>
          <w:rPr>
            <w:rFonts w:ascii="Calibri" w:hAnsi="Calibri" w:cs="Calibri" w:eastAsia="Calibri"/>
            <w:color w:val="0000FF"/>
            <w:spacing w:val="0"/>
            <w:position w:val="0"/>
            <w:sz w:val="22"/>
            <w:u w:val="single"/>
            <w:shd w:fill="FFFF00" w:val="clear"/>
          </w:rPr>
          <w:t xml:space="preserve">https://arthleo.github.io/ict2/</w:t>
        </w:r>
      </w:hyperlink>
    </w:p>
    <w:p>
      <w:pPr>
        <w:spacing w:before="100" w:after="200" w:line="240"/>
        <w:ind w:right="0" w:left="0" w:firstLine="0"/>
        <w:jc w:val="left"/>
        <w:rPr>
          <w:rFonts w:ascii="Calibri" w:hAnsi="Calibri" w:cs="Calibri" w:eastAsia="Calibri"/>
          <w:color w:val="auto"/>
          <w:spacing w:val="0"/>
          <w:position w:val="0"/>
          <w:sz w:val="22"/>
          <w:shd w:fill="auto" w:val="clear"/>
        </w:rPr>
      </w:pPr>
      <w:r>
        <w:object w:dxaOrig="8640" w:dyaOrig="4334">
          <v:rect xmlns:o="urn:schemas-microsoft-com:office:office" xmlns:v="urn:schemas-microsoft-com:vml" id="rectole0000000002" style="width:432.000000pt;height:216.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8">
    <w:abstractNumId w:val="36"/>
  </w:num>
  <w:num w:numId="60">
    <w:abstractNumId w:val="30"/>
  </w:num>
  <w:num w:numId="63">
    <w:abstractNumId w:val="24"/>
  </w:num>
  <w:num w:numId="65">
    <w:abstractNumId w:val="18"/>
  </w:num>
  <w:num w:numId="67">
    <w:abstractNumId w:val="12"/>
  </w:num>
  <w:num w:numId="71">
    <w:abstractNumId w:val="6"/>
  </w:num>
  <w:num w:numId="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arthleo.github.io/ict2/" Id="docRId7" Type="http://schemas.openxmlformats.org/officeDocument/2006/relationships/hyperlink" /><Relationship TargetMode="External" Target="https://arthleo.github.io/ict2/" Id="docRId0" Type="http://schemas.openxmlformats.org/officeDocument/2006/relationships/hyperlink" /><Relationship Target="numbering.xml" Id="docRId10" Type="http://schemas.openxmlformats.org/officeDocument/2006/relationships/numbering" /><Relationship Target="media/image0.wmf" Id="docRId2" Type="http://schemas.openxmlformats.org/officeDocument/2006/relationships/image" /><Relationship Target="media/image1.wmf" Id="docRId4" Type="http://schemas.openxmlformats.org/officeDocument/2006/relationships/image" /><Relationship TargetMode="External" Target="https://docs.google.com/presentation/d/1c5OYC7YK9J51SL_75KesFVo0Ab998GHryFYT4-dyVyI/edit?usp=sharing" Id="docRId6" Type="http://schemas.openxmlformats.org/officeDocument/2006/relationships/hyperlink" /><Relationship Target="embeddings/oleObject2.bin" Id="docRId8" Type="http://schemas.openxmlformats.org/officeDocument/2006/relationships/oleObject" /><Relationship Target="embeddings/oleObject0.bin" Id="docRId1" Type="http://schemas.openxmlformats.org/officeDocument/2006/relationships/oleObject" /><Relationship Target="styles.xml" Id="docRId11" Type="http://schemas.openxmlformats.org/officeDocument/2006/relationships/styles" /><Relationship TargetMode="External" Target="https://vimeo.com/497805556" Id="docRId5" Type="http://schemas.openxmlformats.org/officeDocument/2006/relationships/hyperlink" /><Relationship Target="media/image2.wmf" Id="docRId9" Type="http://schemas.openxmlformats.org/officeDocument/2006/relationships/image" /></Relationships>
</file>