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120"/>
        <w:jc w:val="both"/>
      </w:pPr>
      <w:r>
        <w:rPr>
          <w:rFonts w:ascii="Times New Roman" w:hAnsi="Times New Roman"/>
        </w:rPr>
      </w:r>
      <w:r>
        <w:rPr>
          <w:rFonts w:ascii="Times New Roman" w:hAnsi="Times New Roman"/>
          <w:b/>
        </w:rPr>
        <w:t>AO ILUSTRÍSSIMO SENHOR PRESIDENTE DO INSTITUTO NACIONAL DA PROPRIEDADE INDUSTRIAL – INPI</w:t>
        <w:br/>
      </w:r>
      <w:r>
        <w:rPr>
          <w:rFonts w:ascii="Times New Roman" w:hAnsi="Times New Roman"/>
        </w:rPr>
        <w:t>(DIRMA/CGMAR)</w:t>
      </w:r>
      <w:r>
        <w:rPr>
          <w:rFonts w:ascii="Times New Roman" w:hAnsi="Times New Roman"/>
        </w:rPr>
      </w:r>
    </w:p>
    <w:p>
      <w:pPr>
        <w:spacing w:line="288" w:lineRule="auto" w:after="120"/>
        <w:jc w:val="both"/>
      </w:pPr>
      <w:r>
        <w:rPr>
          <w:rFonts w:ascii="Times New Roman" w:hAnsi="Times New Roman"/>
        </w:rPr>
      </w:r>
      <w:r>
        <w:rPr>
          <w:rFonts w:ascii="Times New Roman" w:hAnsi="Times New Roman"/>
        </w:rPr>
        <w:t>Processo INPI: 933699271 – Pedido de registro da marca: SAMARIAS</w:t>
        <w:br/>
      </w:r>
      <w:r>
        <w:rPr>
          <w:rFonts w:ascii="Times New Roman" w:hAnsi="Times New Roman"/>
        </w:rPr>
        <w:t>Processo citado: 827997213 – Marca anterior: SESMARIAS</w:t>
        <w:br/>
      </w:r>
      <w:r>
        <w:rPr>
          <w:rFonts w:ascii="Times New Roman" w:hAnsi="Times New Roman"/>
        </w:rPr>
        <w:t>Titular: SOUSA &amp; SOUSA LTDA. – CNPJ: [informar] – Endereço: [informar]</w:t>
        <w:br/>
      </w:r>
      <w:r>
        <w:rPr>
          <w:rFonts w:ascii="Times New Roman" w:hAnsi="Times New Roman"/>
        </w:rPr>
        <w:t>Classe(s) de Nice: [informar conforme e-INPI] – Especificação atual: [transcrever do dossiê]</w:t>
      </w:r>
      <w:r>
        <w:rPr>
          <w:rFonts w:ascii="Times New Roman" w:hAnsi="Times New Roman"/>
        </w:rPr>
      </w:r>
    </w:p>
    <w:p>
      <w:pPr>
        <w:spacing w:line="288" w:lineRule="auto" w:after="120"/>
        <w:jc w:val="both"/>
      </w:pPr>
      <w:r>
        <w:rPr>
          <w:rFonts w:ascii="Times New Roman" w:hAnsi="Times New Roman"/>
        </w:rPr>
      </w:r>
      <w:r>
        <w:rPr>
          <w:rFonts w:ascii="Times New Roman" w:hAnsi="Times New Roman"/>
        </w:rPr>
        <w:t>Advogado: [Nome do Advogado], OAB/[UF] [nº], e-mail profissional para comunicações: [informar]</w:t>
        <w:br/>
      </w:r>
      <w:r>
        <w:rPr>
          <w:rFonts w:ascii="Times New Roman" w:hAnsi="Times New Roman"/>
        </w:rPr>
        <w:t>Endereço profissional: [informar]</w:t>
      </w:r>
      <w:r>
        <w:rPr>
          <w:rFonts w:ascii="Times New Roman" w:hAnsi="Times New Roman"/>
        </w:rPr>
      </w:r>
    </w:p>
    <w:p>
      <w:pPr>
        <w:spacing w:line="288" w:lineRule="auto" w:after="120"/>
        <w:jc w:val="both"/>
      </w:pPr>
      <w:r>
        <w:rPr>
          <w:rFonts w:ascii="Times New Roman" w:hAnsi="Times New Roman"/>
        </w:rPr>
      </w:r>
      <w:r>
        <w:rPr>
          <w:rFonts w:ascii="Times New Roman" w:hAnsi="Times New Roman"/>
        </w:rPr>
        <w:t>Taxa (preparo): GRU – Recurso contra indeferimento (art. 212 da LPI) – comprovante anexo</w:t>
      </w:r>
      <w:r>
        <w:rPr>
          <w:rFonts w:ascii="Times New Roman" w:hAnsi="Times New Roman"/>
        </w:rPr>
      </w:r>
    </w:p>
    <w:p>
      <w:pPr>
        <w:pStyle w:val="Heading1"/>
        <w:spacing w:line="288" w:lineRule="auto" w:after="120"/>
      </w:pPr>
      <w:r>
        <w:rPr>
          <w:rFonts w:ascii="Times New Roman" w:hAnsi="Times New Roman"/>
          <w:b/>
        </w:rPr>
        <w:t>RECURSO ADMINISTRATIVO (ART. 212 DA LEI Nº 9.279/1996) CONTRA INDEFERIMENTO DO PEDIDO DE REGISTRO DA MARCA “SAMARIAS”</w:t>
      </w:r>
      <w:r>
        <w:rPr>
          <w:rFonts w:ascii="Times New Roman" w:hAnsi="Times New Roman"/>
        </w:rPr>
      </w:r>
    </w:p>
    <w:p>
      <w:pPr>
        <w:pStyle w:val="Heading2"/>
        <w:spacing w:line="288" w:lineRule="auto" w:after="120"/>
      </w:pPr>
      <w:r>
        <w:rPr>
          <w:rFonts w:ascii="Times New Roman" w:hAnsi="Times New Roman"/>
        </w:rPr>
        <w:t>I. TEMPESTIVIDADE</w:t>
      </w:r>
      <w:r>
        <w:rPr>
          <w:rFonts w:ascii="Times New Roman" w:hAnsi="Times New Roman"/>
        </w:rPr>
      </w:r>
      <w:r>
        <w:rPr>
          <w:rFonts w:ascii="Times New Roman" w:hAnsi="Times New Roman"/>
        </w:rPr>
      </w:r>
    </w:p>
    <w:p>
      <w:pPr>
        <w:pStyle w:val="ListNumber"/>
        <w:numPr>
          <w:ilvl w:val="0"/>
          <w:numId w:val="10"/>
        </w:numPr>
        <w:spacing w:line="288" w:lineRule="auto" w:after="120"/>
        <w:jc w:val="both"/>
      </w:pPr>
      <w:r>
        <w:rPr>
          <w:rFonts w:ascii="Times New Roman" w:hAnsi="Times New Roman"/>
        </w:rPr>
      </w:r>
      <w:r>
        <w:rPr>
          <w:rFonts w:ascii="Times New Roman" w:hAnsi="Times New Roman"/>
        </w:rPr>
        <w:t>O indeferimento foi publicado na RPI de 16/09/2025 (Doc. 01). O art. 212 da Lei nº 9.279/1996 estabelece prazo de 60 dias para interposição de recurso.</w:t>
      </w:r>
      <w:r>
        <w:rPr>
          <w:rFonts w:ascii="Times New Roman" w:hAnsi="Times New Roman"/>
        </w:rPr>
      </w:r>
    </w:p>
    <w:p>
      <w:pPr>
        <w:pStyle w:val="ListNumber"/>
        <w:numPr>
          <w:ilvl w:val="0"/>
          <w:numId w:val="10"/>
        </w:numPr>
        <w:spacing w:line="288" w:lineRule="auto" w:after="120"/>
        <w:jc w:val="both"/>
      </w:pPr>
      <w:r>
        <w:rPr>
          <w:rFonts w:ascii="Times New Roman" w:hAnsi="Times New Roman"/>
        </w:rPr>
      </w:r>
      <w:r>
        <w:rPr>
          <w:rFonts w:ascii="Times New Roman" w:hAnsi="Times New Roman"/>
        </w:rPr>
        <w:t>A data-limite oficial indicada pelo e-INPI é [informar conforme print do sistema] (Doc. 02). O presente recurso é, pois, tempestivo.</w:t>
      </w:r>
      <w:r>
        <w:rPr>
          <w:rFonts w:ascii="Times New Roman" w:hAnsi="Times New Roman"/>
        </w:rPr>
      </w:r>
    </w:p>
    <w:p>
      <w:pPr>
        <w:pStyle w:val="ListNumber"/>
        <w:numPr>
          <w:ilvl w:val="0"/>
          <w:numId w:val="10"/>
        </w:numPr>
        <w:spacing w:line="288" w:lineRule="auto" w:after="120"/>
        <w:jc w:val="both"/>
      </w:pPr>
      <w:r>
        <w:rPr>
          <w:rFonts w:ascii="Times New Roman" w:hAnsi="Times New Roman"/>
        </w:rPr>
      </w:r>
      <w:r>
        <w:rPr>
          <w:rFonts w:ascii="Times New Roman" w:hAnsi="Times New Roman"/>
        </w:rPr>
        <w:t>A GRU correspondente ao serviço “Recurso contra indeferimento de pedido de registro de marca” foi emitida e regularmente quitada (Docs. 03/03-A).</w:t>
      </w:r>
      <w:r>
        <w:rPr>
          <w:rFonts w:ascii="Times New Roman" w:hAnsi="Times New Roman"/>
        </w:rPr>
      </w:r>
      <w:r>
        <w:rPr>
          <w:rFonts w:ascii="Times New Roman" w:hAnsi="Times New Roman"/>
        </w:rPr>
      </w:r>
    </w:p>
    <w:p>
      <w:pPr>
        <w:pStyle w:val="Heading2"/>
        <w:spacing w:line="288" w:lineRule="auto" w:after="120"/>
      </w:pPr>
      <w:r>
        <w:rPr>
          <w:rFonts w:ascii="Times New Roman" w:hAnsi="Times New Roman"/>
        </w:rPr>
        <w:t>II. SÍNTESE DA DECISÃO RECORRIDA</w:t>
      </w:r>
      <w:r>
        <w:rPr>
          <w:rFonts w:ascii="Times New Roman" w:hAnsi="Times New Roman"/>
        </w:rPr>
      </w:r>
      <w:r>
        <w:rPr>
          <w:rFonts w:ascii="Times New Roman" w:hAnsi="Times New Roman"/>
        </w:rPr>
      </w:r>
    </w:p>
    <w:p>
      <w:pPr>
        <w:pStyle w:val="ListNumber"/>
        <w:numPr>
          <w:ilvl w:val="0"/>
          <w:numId w:val="11"/>
        </w:numPr>
        <w:spacing w:line="288" w:lineRule="auto" w:after="120"/>
        <w:jc w:val="both"/>
      </w:pPr>
      <w:r>
        <w:rPr>
          <w:rFonts w:ascii="Times New Roman" w:hAnsi="Times New Roman"/>
        </w:rPr>
      </w:r>
      <w:r>
        <w:rPr>
          <w:rFonts w:ascii="Times New Roman" w:hAnsi="Times New Roman"/>
        </w:rP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r>
        <w:rPr>
          <w:rFonts w:ascii="Times New Roman" w:hAnsi="Times New Roman"/>
        </w:rPr>
      </w:r>
      <w:r>
        <w:rPr>
          <w:rFonts w:ascii="Times New Roman" w:hAnsi="Times New Roman"/>
        </w:rPr>
      </w:r>
    </w:p>
    <w:p>
      <w:pPr>
        <w:pStyle w:val="Heading2"/>
        <w:spacing w:line="288" w:lineRule="auto" w:after="120"/>
      </w:pPr>
      <w:r>
        <w:rPr>
          <w:rFonts w:ascii="Times New Roman" w:hAnsi="Times New Roman"/>
        </w:rPr>
        <w:t>III. DOS FATOS RELEVANTES</w:t>
      </w:r>
      <w:r>
        <w:rPr>
          <w:rFonts w:ascii="Times New Roman" w:hAnsi="Times New Roman"/>
        </w:rPr>
      </w:r>
      <w:r>
        <w:rPr>
          <w:rFonts w:ascii="Times New Roman" w:hAnsi="Times New Roman"/>
        </w:rPr>
      </w:r>
    </w:p>
    <w:p>
      <w:pPr>
        <w:pStyle w:val="ListNumber"/>
        <w:numPr>
          <w:ilvl w:val="0"/>
          <w:numId w:val="12"/>
        </w:numPr>
        <w:spacing w:line="288" w:lineRule="auto" w:after="120"/>
        <w:jc w:val="both"/>
      </w:pPr>
      <w:r>
        <w:rPr>
          <w:rFonts w:ascii="Times New Roman" w:hAnsi="Times New Roman"/>
        </w:rPr>
      </w:r>
      <w:r>
        <w:rPr>
          <w:rFonts w:ascii="Times New Roman" w:hAnsi="Times New Roman"/>
        </w:rPr>
        <w:t>A Recorrente depositou o sinal SAMARIAS para assinalar os produtos/serviços da Classe [informar] com a seguinte especificação: [transcrever exatamente a especificação do dossiê – Doc. 04].</w:t>
      </w:r>
      <w:r>
        <w:rPr>
          <w:rFonts w:ascii="Times New Roman" w:hAnsi="Times New Roman"/>
        </w:rPr>
      </w:r>
    </w:p>
    <w:p>
      <w:pPr>
        <w:pStyle w:val="ListNumber"/>
        <w:numPr>
          <w:ilvl w:val="0"/>
          <w:numId w:val="12"/>
        </w:numPr>
        <w:spacing w:line="288" w:lineRule="auto" w:after="120"/>
        <w:jc w:val="both"/>
      </w:pPr>
      <w:r>
        <w:rPr>
          <w:rFonts w:ascii="Times New Roman" w:hAnsi="Times New Roman"/>
        </w:rPr>
      </w:r>
      <w:r>
        <w:rPr>
          <w:rFonts w:ascii="Times New Roman" w:hAnsi="Times New Roman"/>
        </w:rPr>
        <w:t>A marca citada, SESMARIAS (Proc. 827997213), vigora na Classe [informar] com a especificação: [transcrever síntese relevante – Doc. 05].</w:t>
      </w:r>
      <w:r>
        <w:rPr>
          <w:rFonts w:ascii="Times New Roman" w:hAnsi="Times New Roman"/>
        </w:rPr>
      </w:r>
    </w:p>
    <w:p>
      <w:pPr>
        <w:pStyle w:val="ListNumber"/>
        <w:numPr>
          <w:ilvl w:val="0"/>
          <w:numId w:val="12"/>
        </w:numPr>
        <w:spacing w:line="288" w:lineRule="auto" w:after="120"/>
        <w:jc w:val="both"/>
      </w:pPr>
      <w:r>
        <w:rPr>
          <w:rFonts w:ascii="Times New Roman" w:hAnsi="Times New Roman"/>
        </w:rPr>
      </w:r>
      <w:r>
        <w:rPr>
          <w:rFonts w:ascii="Times New Roman" w:hAnsi="Times New Roman"/>
        </w:rPr>
        <w:t>A Recorrente encontra-se em uso de boa-fé do sinal no mercado [informar segmento setorial], com canais de distribuição [ex.: e-commerce próprio, marketplaces, lojas físicas especializadas], conforme materiais comprobatórios que instruem este recurso (Docs. 06/10).</w:t>
      </w:r>
      <w:r>
        <w:rPr>
          <w:rFonts w:ascii="Times New Roman" w:hAnsi="Times New Roman"/>
        </w:rPr>
      </w:r>
      <w:r>
        <w:rPr>
          <w:rFonts w:ascii="Times New Roman" w:hAnsi="Times New Roman"/>
        </w:rPr>
      </w:r>
    </w:p>
    <w:p>
      <w:pPr>
        <w:pStyle w:val="Heading2"/>
        <w:spacing w:line="288" w:lineRule="auto" w:after="120"/>
      </w:pPr>
      <w:r>
        <w:rPr>
          <w:rFonts w:ascii="Times New Roman" w:hAnsi="Times New Roman"/>
        </w:rPr>
        <w:t>IV. DO DIREITO</w:t>
      </w:r>
      <w:r>
        <w:rPr>
          <w:rFonts w:ascii="Times New Roman" w:hAnsi="Times New Roman"/>
        </w:rPr>
      </w:r>
    </w:p>
    <w:p>
      <w:pPr>
        <w:pStyle w:val="Heading3"/>
        <w:spacing w:line="288" w:lineRule="auto" w:after="120"/>
      </w:pPr>
      <w:r>
        <w:rPr>
          <w:rFonts w:ascii="Times New Roman" w:hAnsi="Times New Roman"/>
        </w:rPr>
        <w:t>IV.1. Critério legal aplicável e diretrizes do INPI</w:t>
      </w:r>
      <w:r>
        <w:rPr>
          <w:rFonts w:ascii="Times New Roman" w:hAnsi="Times New Roman"/>
        </w:rPr>
      </w:r>
      <w:r>
        <w:rPr>
          <w:rFonts w:ascii="Times New Roman" w:hAnsi="Times New Roman"/>
        </w:rPr>
      </w:r>
    </w:p>
    <w:p>
      <w:pPr>
        <w:pStyle w:val="ListNumber"/>
        <w:numPr>
          <w:ilvl w:val="0"/>
          <w:numId w:val="13"/>
        </w:numPr>
        <w:spacing w:line="288" w:lineRule="auto" w:after="120"/>
        <w:jc w:val="both"/>
      </w:pPr>
      <w:r>
        <w:rPr>
          <w:rFonts w:ascii="Times New Roman" w:hAnsi="Times New Roman"/>
        </w:rPr>
      </w:r>
      <w:r>
        <w:rPr>
          <w:rFonts w:ascii="Times New Roman" w:hAnsi="Times New Roman"/>
        </w:rP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r>
        <w:rPr>
          <w:rFonts w:ascii="Times New Roman" w:hAnsi="Times New Roman"/>
        </w:rPr>
      </w:r>
    </w:p>
    <w:p>
      <w:pPr>
        <w:pStyle w:val="ListNumber"/>
        <w:numPr>
          <w:ilvl w:val="0"/>
          <w:numId w:val="13"/>
        </w:numPr>
        <w:spacing w:line="288" w:lineRule="auto" w:after="120"/>
        <w:jc w:val="both"/>
      </w:pPr>
      <w:r>
        <w:rPr>
          <w:rFonts w:ascii="Times New Roman" w:hAnsi="Times New Roman"/>
        </w:rPr>
      </w:r>
      <w:r>
        <w:rPr>
          <w:rFonts w:ascii="Times New Roman" w:hAnsi="Times New Roman"/>
        </w:rP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r>
        <w:rPr>
          <w:rFonts w:ascii="Times New Roman" w:hAnsi="Times New Roman"/>
        </w:rPr>
      </w:r>
      <w:r>
        <w:rPr>
          <w:rFonts w:ascii="Times New Roman" w:hAnsi="Times New Roman"/>
        </w:rPr>
      </w:r>
    </w:p>
    <w:p>
      <w:pPr>
        <w:pStyle w:val="Heading3"/>
        <w:spacing w:line="288" w:lineRule="auto" w:after="120"/>
      </w:pPr>
      <w:r>
        <w:rPr>
          <w:rFonts w:ascii="Times New Roman" w:hAnsi="Times New Roman"/>
        </w:rPr>
        <w:t>IV.2. Comparação fonética: “SESMARIAS” x “SAMARIAS”</w:t>
      </w:r>
      <w:r>
        <w:rPr>
          <w:rFonts w:ascii="Times New Roman" w:hAnsi="Times New Roman"/>
        </w:rPr>
      </w:r>
      <w:r>
        <w:rPr>
          <w:rFonts w:ascii="Times New Roman" w:hAnsi="Times New Roman"/>
        </w:rPr>
      </w:r>
    </w:p>
    <w:p>
      <w:pPr>
        <w:pStyle w:val="ListNumber"/>
        <w:numPr>
          <w:ilvl w:val="0"/>
          <w:numId w:val="14"/>
        </w:numPr>
        <w:spacing w:line="288" w:lineRule="auto" w:after="120"/>
        <w:jc w:val="both"/>
      </w:pPr>
      <w:r>
        <w:rPr>
          <w:rFonts w:ascii="Times New Roman" w:hAnsi="Times New Roman"/>
        </w:rPr>
      </w:r>
      <w:r>
        <w:rPr>
          <w:rFonts w:ascii="Times New Roman" w:hAnsi="Times New Roman"/>
        </w:rPr>
        <w:t>Os sinais possuem estruturas fônicas distintas desde o ataque inicial:</w:t>
      </w:r>
      <w:r>
        <w:rPr>
          <w:rFonts w:ascii="Times New Roman" w:hAnsi="Times New Roman"/>
        </w:rPr>
      </w:r>
      <w:r>
        <w:rPr>
          <w:rFonts w:ascii="Times New Roman" w:hAnsi="Times New Roman"/>
        </w:rPr>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SESMARIAS: [ses-ma-rí-as] – ataque “SES-”, com encontro consonantal “S+S” e vogal média anterior fechada “e”;</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SAMARIAS: [sa-ma-rí-as] – ataque “SA-”, com vogal aberta “a” e ausência do segundo “s” no início.</w:t>
      </w:r>
      <w:r>
        <w:rPr>
          <w:rFonts w:ascii="Times New Roman" w:hAnsi="Times New Roman"/>
        </w:rPr>
      </w:r>
      <w:r>
        <w:rPr>
          <w:rFonts w:ascii="Times New Roman" w:hAnsi="Times New Roman"/>
        </w:rPr>
      </w:r>
      <w:r>
        <w:rPr>
          <w:rFonts w:ascii="Times New Roman" w:hAnsi="Times New Roman"/>
        </w:rPr>
      </w:r>
    </w:p>
    <w:p>
      <w:pPr>
        <w:pStyle w:val="ListNumber"/>
        <w:numPr>
          <w:ilvl w:val="0"/>
          <w:numId w:val="15"/>
        </w:numPr>
        <w:spacing w:line="288" w:lineRule="auto" w:after="120"/>
        <w:jc w:val="both"/>
      </w:pPr>
      <w:r>
        <w:rPr>
          <w:rFonts w:ascii="Times New Roman" w:hAnsi="Times New Roman"/>
        </w:rPr>
      </w:r>
      <w:r>
        <w:rPr>
          <w:rFonts w:ascii="Times New Roman" w:hAnsi="Times New Roman"/>
        </w:rP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r>
        <w:rPr>
          <w:rFonts w:ascii="Times New Roman" w:hAnsi="Times New Roman"/>
        </w:rPr>
      </w:r>
      <w:r>
        <w:rPr>
          <w:rFonts w:ascii="Times New Roman" w:hAnsi="Times New Roman"/>
        </w:rPr>
      </w:r>
    </w:p>
    <w:p>
      <w:pPr>
        <w:pStyle w:val="Heading3"/>
        <w:spacing w:line="288" w:lineRule="auto" w:after="120"/>
      </w:pPr>
      <w:r>
        <w:rPr>
          <w:rFonts w:ascii="Times New Roman" w:hAnsi="Times New Roman"/>
        </w:rPr>
        <w:t>IV.3. Comparação visual/gráfica</w:t>
      </w:r>
      <w:r>
        <w:rPr>
          <w:rFonts w:ascii="Times New Roman" w:hAnsi="Times New Roman"/>
        </w:rPr>
      </w:r>
      <w:r>
        <w:rPr>
          <w:rFonts w:ascii="Times New Roman" w:hAnsi="Times New Roman"/>
        </w:rPr>
      </w:r>
    </w:p>
    <w:p>
      <w:pPr>
        <w:pStyle w:val="ListNumber"/>
        <w:numPr>
          <w:ilvl w:val="0"/>
          <w:numId w:val="16"/>
        </w:numPr>
        <w:spacing w:line="288" w:lineRule="auto" w:after="120"/>
        <w:jc w:val="both"/>
      </w:pPr>
      <w:r>
        <w:rPr>
          <w:rFonts w:ascii="Times New Roman" w:hAnsi="Times New Roman"/>
        </w:rPr>
      </w:r>
      <w:r>
        <w:rPr>
          <w:rFonts w:ascii="Times New Roman" w:hAnsi="Times New Roman"/>
        </w:rPr>
        <w: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t>
      </w:r>
      <w:r>
        <w:rPr>
          <w:rFonts w:ascii="Times New Roman" w:hAnsi="Times New Roman"/>
        </w:rPr>
      </w:r>
    </w:p>
    <w:p>
      <w:pPr>
        <w:pStyle w:val="ListNumber"/>
        <w:numPr>
          <w:ilvl w:val="0"/>
          <w:numId w:val="16"/>
        </w:numPr>
        <w:spacing w:line="288" w:lineRule="auto" w:after="120"/>
        <w:jc w:val="both"/>
      </w:pPr>
      <w:r>
        <w:rPr>
          <w:rFonts w:ascii="Times New Roman" w:hAnsi="Times New Roman"/>
        </w:rPr>
      </w:r>
      <w:r>
        <w:rPr>
          <w:rFonts w:ascii="Times New Roman" w:hAnsi="Times New Roman"/>
        </w:rP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r>
        <w:rPr>
          <w:rFonts w:ascii="Times New Roman" w:hAnsi="Times New Roman"/>
        </w:rPr>
      </w:r>
      <w:r>
        <w:rPr>
          <w:rFonts w:ascii="Times New Roman" w:hAnsi="Times New Roman"/>
        </w:rPr>
      </w:r>
    </w:p>
    <w:p>
      <w:pPr>
        <w:pStyle w:val="Heading3"/>
        <w:spacing w:line="288" w:lineRule="auto" w:after="120"/>
      </w:pPr>
      <w:r>
        <w:rPr>
          <w:rFonts w:ascii="Times New Roman" w:hAnsi="Times New Roman"/>
        </w:rPr>
        <w:t>IV.4. Comparação ideológica/conceitual</w:t>
      </w:r>
      <w:r>
        <w:rPr>
          <w:rFonts w:ascii="Times New Roman" w:hAnsi="Times New Roman"/>
        </w:rPr>
      </w:r>
      <w:r>
        <w:rPr>
          <w:rFonts w:ascii="Times New Roman" w:hAnsi="Times New Roman"/>
        </w:rPr>
      </w:r>
    </w:p>
    <w:p>
      <w:pPr>
        <w:pStyle w:val="ListNumber"/>
        <w:numPr>
          <w:ilvl w:val="0"/>
          <w:numId w:val="17"/>
        </w:numPr>
        <w:spacing w:line="288" w:lineRule="auto" w:after="120"/>
        <w:jc w:val="both"/>
      </w:pPr>
      <w:r>
        <w:rPr>
          <w:rFonts w:ascii="Times New Roman" w:hAnsi="Times New Roman"/>
        </w:rPr>
      </w:r>
      <w:r>
        <w:rPr>
          <w:rFonts w:ascii="Times New Roman" w:hAnsi="Times New Roman"/>
        </w:rPr>
        <w:t>“Sesmarias” remete, no léxico histórico-jurídico luso-brasileiro, a terra concedida pelo poder régio/colonial (instituto das sesmarias). É termo dicionarizado com forte carga histórico-institucional.</w:t>
      </w:r>
      <w:r>
        <w:rPr>
          <w:rFonts w:ascii="Times New Roman" w:hAnsi="Times New Roman"/>
        </w:rPr>
      </w:r>
    </w:p>
    <w:p>
      <w:pPr>
        <w:pStyle w:val="ListNumber"/>
        <w:numPr>
          <w:ilvl w:val="0"/>
          <w:numId w:val="17"/>
        </w:numPr>
        <w:spacing w:line="288" w:lineRule="auto" w:after="120"/>
        <w:jc w:val="both"/>
      </w:pPr>
      <w:r>
        <w:rPr>
          <w:rFonts w:ascii="Times New Roman" w:hAnsi="Times New Roman"/>
        </w:rPr>
      </w:r>
      <w:r>
        <w:rPr>
          <w:rFonts w:ascii="Times New Roman" w:hAnsi="Times New Roman"/>
        </w:rPr>
        <w:t>“Samarias”, por seu turno, é plural de “Samaria” – topônimo/antroponímia, usualmente associado à região histórica do Oriente Médio ou a nomes próprios, sem relação semântica direta com “sesmarias”.</w:t>
      </w:r>
      <w:r>
        <w:rPr>
          <w:rFonts w:ascii="Times New Roman" w:hAnsi="Times New Roman"/>
        </w:rPr>
      </w:r>
    </w:p>
    <w:p>
      <w:pPr>
        <w:pStyle w:val="ListNumber"/>
        <w:numPr>
          <w:ilvl w:val="0"/>
          <w:numId w:val="17"/>
        </w:numPr>
        <w:spacing w:line="288" w:lineRule="auto" w:after="120"/>
        <w:jc w:val="both"/>
      </w:pPr>
      <w:r>
        <w:rPr>
          <w:rFonts w:ascii="Times New Roman" w:hAnsi="Times New Roman"/>
        </w:rPr>
      </w:r>
      <w:r>
        <w:rPr>
          <w:rFonts w:ascii="Times New Roman" w:hAnsi="Times New Roman"/>
        </w:rPr>
        <w:t>Os campos semânticos, portanto, divergem: histórico-jurídico-territorial (concessão de terras) versus topônimo/antroponímico. A diferença conceitual robustece a baixa probabilidade de associação indevida.</w:t>
      </w:r>
      <w:r>
        <w:rPr>
          <w:rFonts w:ascii="Times New Roman" w:hAnsi="Times New Roman"/>
        </w:rPr>
      </w:r>
      <w:r>
        <w:rPr>
          <w:rFonts w:ascii="Times New Roman" w:hAnsi="Times New Roman"/>
        </w:rPr>
      </w:r>
    </w:p>
    <w:p>
      <w:pPr>
        <w:pStyle w:val="Heading3"/>
        <w:spacing w:line="288" w:lineRule="auto" w:after="120"/>
      </w:pPr>
      <w:r>
        <w:rPr>
          <w:rFonts w:ascii="Times New Roman" w:hAnsi="Times New Roman"/>
        </w:rPr>
        <w:t>IV.5. Distintividade, impressão global e mercado relevante</w:t>
      </w:r>
      <w:r>
        <w:rPr>
          <w:rFonts w:ascii="Times New Roman" w:hAnsi="Times New Roman"/>
        </w:rPr>
      </w:r>
      <w:r>
        <w:rPr>
          <w:rFonts w:ascii="Times New Roman" w:hAnsi="Times New Roman"/>
        </w:rPr>
      </w:r>
    </w:p>
    <w:p>
      <w:pPr>
        <w:pStyle w:val="ListNumber"/>
        <w:numPr>
          <w:ilvl w:val="0"/>
          <w:numId w:val="18"/>
        </w:numPr>
        <w:spacing w:line="288" w:lineRule="auto" w:after="120"/>
        <w:jc w:val="both"/>
      </w:pPr>
      <w:r>
        <w:rPr>
          <w:rFonts w:ascii="Times New Roman" w:hAnsi="Times New Roman"/>
        </w:rPr>
      </w:r>
      <w:r>
        <w:rPr>
          <w:rFonts w:ascii="Times New Roman" w:hAnsi="Times New Roman"/>
        </w:rPr>
        <w:t>Considerando o princípio da impressão global, a avaliação conjunta dos elementos fonético, visual e ideológico aponta para ausência de risco relevante de confusão/associação.</w:t>
      </w:r>
      <w:r>
        <w:rPr>
          <w:rFonts w:ascii="Times New Roman" w:hAnsi="Times New Roman"/>
        </w:rPr>
      </w:r>
    </w:p>
    <w:p>
      <w:pPr>
        <w:pStyle w:val="ListNumber"/>
        <w:numPr>
          <w:ilvl w:val="0"/>
          <w:numId w:val="18"/>
        </w:numPr>
        <w:spacing w:line="288" w:lineRule="auto" w:after="120"/>
        <w:jc w:val="both"/>
      </w:pPr>
      <w:r>
        <w:rPr>
          <w:rFonts w:ascii="Times New Roman" w:hAnsi="Times New Roman"/>
        </w:rPr>
      </w:r>
      <w:r>
        <w:rPr>
          <w:rFonts w:ascii="Times New Roman" w:hAnsi="Times New Roman"/>
        </w:rP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r>
        <w:rPr>
          <w:rFonts w:ascii="Times New Roman" w:hAnsi="Times New Roman"/>
        </w:rPr>
      </w:r>
    </w:p>
    <w:p>
      <w:pPr>
        <w:pStyle w:val="ListNumber"/>
        <w:numPr>
          <w:ilvl w:val="0"/>
          <w:numId w:val="18"/>
        </w:numPr>
        <w:spacing w:line="288" w:lineRule="auto" w:after="120"/>
        <w:jc w:val="both"/>
      </w:pPr>
      <w:r>
        <w:rPr>
          <w:rFonts w:ascii="Times New Roman" w:hAnsi="Times New Roman"/>
        </w:rPr>
      </w:r>
      <w:r>
        <w:rPr>
          <w:rFonts w:ascii="Times New Roman" w:hAnsi="Times New Roman"/>
        </w:rP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r>
        <w:rPr>
          <w:rFonts w:ascii="Times New Roman" w:hAnsi="Times New Roman"/>
        </w:rPr>
      </w:r>
      <w:r>
        <w:rPr>
          <w:rFonts w:ascii="Times New Roman" w:hAnsi="Times New Roman"/>
        </w:rPr>
      </w:r>
    </w:p>
    <w:p>
      <w:pPr>
        <w:pStyle w:val="Heading3"/>
        <w:spacing w:line="288" w:lineRule="auto" w:after="120"/>
      </w:pPr>
      <w:r>
        <w:rPr>
          <w:rFonts w:ascii="Times New Roman" w:hAnsi="Times New Roman"/>
        </w:rPr>
        <w:t>IV.6. Afinidade de produtos/serviços e mitigação por limitação redacional</w:t>
      </w:r>
      <w:r>
        <w:rPr>
          <w:rFonts w:ascii="Times New Roman" w:hAnsi="Times New Roman"/>
        </w:rPr>
      </w:r>
      <w:r>
        <w:rPr>
          <w:rFonts w:ascii="Times New Roman" w:hAnsi="Times New Roman"/>
        </w:rPr>
      </w:r>
    </w:p>
    <w:p>
      <w:pPr>
        <w:pStyle w:val="ListNumber"/>
        <w:numPr>
          <w:ilvl w:val="0"/>
          <w:numId w:val="19"/>
        </w:numPr>
        <w:spacing w:line="288" w:lineRule="auto" w:after="120"/>
        <w:jc w:val="both"/>
      </w:pPr>
      <w:r>
        <w:rPr>
          <w:rFonts w:ascii="Times New Roman" w:hAnsi="Times New Roman"/>
        </w:rPr>
      </w:r>
      <w:r>
        <w:rPr>
          <w:rFonts w:ascii="Times New Roman" w:hAnsi="Times New Roman"/>
        </w:rPr>
        <w:t>A Recorrente reconhece a importância de evitar sobreposições materiais. À luz das classes e especificações envolvidas (Docs. 04/05), procede-se ao mapeamento de interseções:</w:t>
      </w:r>
      <w:r>
        <w:rPr>
          <w:rFonts w:ascii="Times New Roman" w:hAnsi="Times New Roman"/>
        </w:rPr>
      </w:r>
      <w:r>
        <w:rPr>
          <w:rFonts w:ascii="Times New Roman" w:hAnsi="Times New Roman"/>
        </w:rPr>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Classe(s) de SAMARIAS: [listar itens sensíveis]</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Classe(s) de SESMARIAS: [listar itens sensíveis]</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Interseções potenciais: [enumerar sobreposições, se houver]</w:t>
      </w:r>
      <w:r>
        <w:rPr>
          <w:rFonts w:ascii="Times New Roman" w:hAnsi="Times New Roman"/>
        </w:rPr>
      </w:r>
      <w:r>
        <w:rPr>
          <w:rFonts w:ascii="Times New Roman" w:hAnsi="Times New Roman"/>
        </w:rPr>
      </w:r>
      <w:r>
        <w:rPr>
          <w:rFonts w:ascii="Times New Roman" w:hAnsi="Times New Roman"/>
        </w:rPr>
      </w:r>
    </w:p>
    <w:p>
      <w:pPr>
        <w:pStyle w:val="ListNumber"/>
        <w:numPr>
          <w:ilvl w:val="0"/>
          <w:numId w:val="20"/>
        </w:numPr>
        <w:spacing w:line="288" w:lineRule="auto" w:after="120"/>
        <w:jc w:val="both"/>
      </w:pPr>
      <w:r>
        <w:rPr>
          <w:rFonts w:ascii="Times New Roman" w:hAnsi="Times New Roman"/>
        </w:rPr>
      </w:r>
      <w:r>
        <w:rPr>
          <w:rFonts w:ascii="Times New Roman" w:hAnsi="Times New Roman"/>
        </w:rP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r>
        <w:rPr>
          <w:rFonts w:ascii="Times New Roman" w:hAnsi="Times New Roman"/>
        </w:rPr>
      </w:r>
    </w:p>
    <w:p>
      <w:pPr>
        <w:pStyle w:val="ListNumber"/>
        <w:numPr>
          <w:ilvl w:val="0"/>
          <w:numId w:val="20"/>
        </w:numPr>
        <w:spacing w:line="288" w:lineRule="auto" w:after="120"/>
        <w:jc w:val="both"/>
      </w:pPr>
      <w:r>
        <w:rPr>
          <w:rFonts w:ascii="Times New Roman" w:hAnsi="Times New Roman"/>
        </w:rPr>
      </w:r>
      <w:r>
        <w:rPr>
          <w:rFonts w:ascii="Times New Roman" w:hAnsi="Times New Roman"/>
        </w:rPr>
        <w:t>Redação subsidiária proposta (a validar pelo dossiê):</w:t>
      </w:r>
      <w:r>
        <w:rPr>
          <w:rFonts w:ascii="Times New Roman" w:hAnsi="Times New Roman"/>
        </w:rPr>
      </w:r>
      <w:r>
        <w:rPr>
          <w:rFonts w:ascii="Times New Roman" w:hAnsi="Times New Roman"/>
        </w:rPr>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Classe [nº]: substituir a especificação por “[…]”, excluindo expressamente “[itens X, Y, Z]”, e incluindo a cláusula negativa “exceto serviços/produtos relativos a [descrever de forma objetiva os itens cobertos por SESMARIAS]”.</w:t>
        <w:br/>
      </w:r>
      <w:r>
        <w:rPr>
          <w:rFonts w:ascii="Times New Roman" w:hAnsi="Times New Roman"/>
        </w:rPr>
        <w:t>[Observação: inserir texto final após confirmação das classes/especificações no e-INPI, para garantir adequação e suficiência da mitigação.]</w:t>
      </w:r>
      <w:r>
        <w:rPr>
          <w:rFonts w:ascii="Times New Roman" w:hAnsi="Times New Roman"/>
        </w:rPr>
      </w:r>
      <w:r>
        <w:rPr>
          <w:rFonts w:ascii="Times New Roman" w:hAnsi="Times New Roman"/>
        </w:rPr>
      </w:r>
    </w:p>
    <w:p>
      <w:pPr>
        <w:pStyle w:val="Heading3"/>
        <w:spacing w:line="288" w:lineRule="auto" w:after="120"/>
      </w:pPr>
      <w:r>
        <w:rPr>
          <w:rFonts w:ascii="Times New Roman" w:hAnsi="Times New Roman"/>
        </w:rPr>
        <w:t>IV.7. Notas sobre precedentes e diretrizes aplicáveis</w:t>
      </w:r>
      <w:r>
        <w:rPr>
          <w:rFonts w:ascii="Times New Roman" w:hAnsi="Times New Roman"/>
        </w:rPr>
      </w:r>
      <w:r>
        <w:rPr>
          <w:rFonts w:ascii="Times New Roman" w:hAnsi="Times New Roman"/>
        </w:rPr>
      </w:r>
    </w:p>
    <w:p>
      <w:pPr>
        <w:pStyle w:val="ListNumber"/>
        <w:numPr>
          <w:ilvl w:val="0"/>
          <w:numId w:val="21"/>
        </w:numPr>
        <w:spacing w:line="288" w:lineRule="auto" w:after="120"/>
        <w:jc w:val="both"/>
      </w:pPr>
      <w:r>
        <w:rPr>
          <w:rFonts w:ascii="Times New Roman" w:hAnsi="Times New Roman"/>
        </w:rPr>
      </w:r>
      <w:r>
        <w:rPr>
          <w:rFonts w:ascii="Times New Roman" w:hAnsi="Times New Roman"/>
        </w:rP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r>
        <w:rPr>
          <w:rFonts w:ascii="Times New Roman" w:hAnsi="Times New Roman"/>
        </w:rPr>
      </w:r>
    </w:p>
    <w:p>
      <w:pPr>
        <w:pStyle w:val="ListNumber"/>
        <w:numPr>
          <w:ilvl w:val="0"/>
          <w:numId w:val="21"/>
        </w:numPr>
        <w:spacing w:line="288" w:lineRule="auto" w:after="120"/>
        <w:jc w:val="both"/>
      </w:pPr>
      <w:r>
        <w:rPr>
          <w:rFonts w:ascii="Times New Roman" w:hAnsi="Times New Roman"/>
        </w:rPr>
      </w:r>
      <w:r>
        <w:rPr>
          <w:rFonts w:ascii="Times New Roman" w:hAnsi="Times New Roman"/>
        </w:rP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r>
        <w:rPr>
          <w:rFonts w:ascii="Times New Roman" w:hAnsi="Times New Roman"/>
        </w:rPr>
      </w:r>
      <w:r>
        <w:rPr>
          <w:rFonts w:ascii="Times New Roman" w:hAnsi="Times New Roman"/>
        </w:rPr>
      </w:r>
    </w:p>
    <w:p>
      <w:pPr>
        <w:pStyle w:val="Heading2"/>
        <w:spacing w:line="288" w:lineRule="auto" w:after="120"/>
      </w:pPr>
      <w:r>
        <w:rPr>
          <w:rFonts w:ascii="Times New Roman" w:hAnsi="Times New Roman"/>
        </w:rPr>
        <w:t>V. PEDIDOS</w:t>
      </w:r>
      <w:r>
        <w:rPr>
          <w:rFonts w:ascii="Times New Roman" w:hAnsi="Times New Roman"/>
        </w:rPr>
      </w:r>
      <w:r>
        <w:rPr>
          <w:rFonts w:ascii="Times New Roman" w:hAnsi="Times New Roman"/>
        </w:rPr>
      </w:r>
    </w:p>
    <w:p>
      <w:pPr>
        <w:pStyle w:val="ListNumber"/>
        <w:numPr>
          <w:ilvl w:val="0"/>
          <w:numId w:val="22"/>
        </w:numPr>
        <w:spacing w:line="288" w:lineRule="auto" w:after="120"/>
        <w:jc w:val="both"/>
      </w:pPr>
      <w:r>
        <w:rPr>
          <w:rFonts w:ascii="Times New Roman" w:hAnsi="Times New Roman"/>
        </w:rPr>
      </w:r>
      <w:r>
        <w:rPr>
          <w:rFonts w:ascii="Times New Roman" w:hAnsi="Times New Roman"/>
        </w:rPr>
        <w:t>Diante do exposto, requer:</w:t>
      </w:r>
      <w:r>
        <w:rPr>
          <w:rFonts w:ascii="Times New Roman" w:hAnsi="Times New Roman"/>
        </w:rPr>
      </w:r>
      <w:r>
        <w:rPr>
          <w:rFonts w:ascii="Times New Roman" w:hAnsi="Times New Roman"/>
        </w:rPr>
      </w:r>
      <w:r>
        <w:rPr>
          <w:rFonts w:ascii="Times New Roman" w:hAnsi="Times New Roman"/>
        </w:rPr>
      </w:r>
    </w:p>
    <w:p>
      <w:pPr>
        <w:pStyle w:val="ListNumber"/>
        <w:numPr>
          <w:ilvl w:val="0"/>
          <w:numId w:val="23"/>
        </w:numPr>
        <w:spacing w:line="288" w:lineRule="auto" w:after="120"/>
        <w:jc w:val="both"/>
      </w:pPr>
      <w:r>
        <w:rPr>
          <w:rFonts w:ascii="Times New Roman" w:hAnsi="Times New Roman"/>
        </w:rPr>
      </w:r>
      <w:r>
        <w:rPr>
          <w:rFonts w:ascii="Times New Roman" w:hAnsi="Times New Roman"/>
        </w:rPr>
        <w:t>O conhecimento do presente recurso, por ser tempestivo e devidamente instruído (art. 212 da Lei nº 9.279/1996);</w:t>
      </w:r>
      <w:r>
        <w:rPr>
          <w:rFonts w:ascii="Times New Roman" w:hAnsi="Times New Roman"/>
        </w:rPr>
      </w:r>
    </w:p>
    <w:p>
      <w:pPr>
        <w:pStyle w:val="ListNumber"/>
        <w:numPr>
          <w:ilvl w:val="0"/>
          <w:numId w:val="23"/>
        </w:numPr>
        <w:spacing w:line="288" w:lineRule="auto" w:after="120"/>
        <w:jc w:val="both"/>
      </w:pPr>
      <w:r>
        <w:rPr>
          <w:rFonts w:ascii="Times New Roman" w:hAnsi="Times New Roman"/>
        </w:rPr>
      </w:r>
      <w:r>
        <w:rPr>
          <w:rFonts w:ascii="Times New Roman" w:hAnsi="Times New Roman"/>
        </w:rPr>
        <w:t>No mérito, o provimento para reformar o indeferimento e determinar o regular prosseguimento do pedido de registro da marca SAMARIAS (Proc. 933699271) até o deferimento;</w:t>
      </w:r>
      <w:r>
        <w:rPr>
          <w:rFonts w:ascii="Times New Roman" w:hAnsi="Times New Roman"/>
        </w:rPr>
      </w:r>
    </w:p>
    <w:p>
      <w:pPr>
        <w:pStyle w:val="ListNumber"/>
        <w:numPr>
          <w:ilvl w:val="0"/>
          <w:numId w:val="23"/>
        </w:numPr>
        <w:spacing w:line="288" w:lineRule="auto" w:after="120"/>
        <w:jc w:val="both"/>
      </w:pPr>
      <w:r>
        <w:rPr>
          <w:rFonts w:ascii="Times New Roman" w:hAnsi="Times New Roman"/>
        </w:rPr>
      </w:r>
      <w:r>
        <w:rPr>
          <w:rFonts w:ascii="Times New Roman" w:hAnsi="Times New Roman"/>
        </w:rP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r>
        <w:rPr>
          <w:rFonts w:ascii="Times New Roman" w:hAnsi="Times New Roman"/>
        </w:rPr>
      </w:r>
    </w:p>
    <w:p>
      <w:pPr>
        <w:pStyle w:val="ListNumber"/>
        <w:numPr>
          <w:ilvl w:val="0"/>
          <w:numId w:val="23"/>
        </w:numPr>
        <w:spacing w:line="288" w:lineRule="auto" w:after="120"/>
        <w:jc w:val="both"/>
      </w:pPr>
      <w:r>
        <w:rPr>
          <w:rFonts w:ascii="Times New Roman" w:hAnsi="Times New Roman"/>
        </w:rPr>
      </w:r>
      <w:r>
        <w:rPr>
          <w:rFonts w:ascii="Times New Roman" w:hAnsi="Times New Roman"/>
        </w:rP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r>
        <w:rPr>
          <w:rFonts w:ascii="Times New Roman" w:hAnsi="Times New Roman"/>
        </w:rPr>
      </w:r>
    </w:p>
    <w:p>
      <w:pPr>
        <w:pStyle w:val="ListNumber"/>
        <w:numPr>
          <w:ilvl w:val="0"/>
          <w:numId w:val="23"/>
        </w:numPr>
        <w:spacing w:line="288" w:lineRule="auto" w:after="120"/>
        <w:jc w:val="both"/>
      </w:pPr>
      <w:r>
        <w:rPr>
          <w:rFonts w:ascii="Times New Roman" w:hAnsi="Times New Roman"/>
        </w:rPr>
      </w:r>
      <w:r>
        <w:rPr>
          <w:rFonts w:ascii="Times New Roman" w:hAnsi="Times New Roman"/>
        </w:rPr>
        <w:t>A atualização das comunicações processuais para o e-mail profissional indicado no preâmbulo, sem prejuízo das publicações na RPI.</w:t>
      </w:r>
      <w:r>
        <w:rPr>
          <w:rFonts w:ascii="Times New Roman" w:hAnsi="Times New Roman"/>
        </w:rPr>
      </w:r>
      <w:r>
        <w:rPr>
          <w:rFonts w:ascii="Times New Roman" w:hAnsi="Times New Roman"/>
        </w:rPr>
      </w:r>
    </w:p>
    <w:p>
      <w:pPr>
        <w:pStyle w:val="Heading2"/>
        <w:spacing w:line="288" w:lineRule="auto" w:after="120"/>
      </w:pPr>
      <w:r>
        <w:rPr>
          <w:rFonts w:ascii="Times New Roman" w:hAnsi="Times New Roman"/>
        </w:rPr>
        <w:t>VI. PROTESTA POR PROVAS</w:t>
      </w:r>
      <w:r>
        <w:rPr>
          <w:rFonts w:ascii="Times New Roman" w:hAnsi="Times New Roman"/>
        </w:rPr>
      </w:r>
      <w:r>
        <w:rPr>
          <w:rFonts w:ascii="Times New Roman" w:hAnsi="Times New Roman"/>
        </w:rPr>
      </w:r>
    </w:p>
    <w:p>
      <w:pPr>
        <w:pStyle w:val="ListNumber"/>
        <w:numPr>
          <w:ilvl w:val="0"/>
          <w:numId w:val="24"/>
        </w:numPr>
        <w:spacing w:line="288" w:lineRule="auto" w:after="120"/>
        <w:jc w:val="both"/>
      </w:pPr>
      <w:r>
        <w:rPr>
          <w:rFonts w:ascii="Times New Roman" w:hAnsi="Times New Roman"/>
        </w:rPr>
      </w:r>
      <w:r>
        <w:rPr>
          <w:rFonts w:ascii="Times New Roman" w:hAnsi="Times New Roman"/>
        </w:rPr>
        <w:t>A Recorrente protesta pela produção de todas as provas documentalmente admitidas na esfera administrativa, especialmente novas juntadas de materiais de uso/mercado e documentos públicos que se façam necessários para melhor elucidação dos fatos.</w:t>
      </w:r>
      <w:r>
        <w:rPr>
          <w:rFonts w:ascii="Times New Roman" w:hAnsi="Times New Roman"/>
        </w:rPr>
      </w:r>
      <w:r>
        <w:rPr>
          <w:rFonts w:ascii="Times New Roman" w:hAnsi="Times New Roman"/>
        </w:rPr>
      </w:r>
    </w:p>
    <w:p>
      <w:pPr>
        <w:spacing w:line="288" w:lineRule="auto" w:after="120"/>
        <w:jc w:val="both"/>
      </w:pPr>
      <w:r>
        <w:rPr>
          <w:rFonts w:ascii="Times New Roman" w:hAnsi="Times New Roman"/>
        </w:rPr>
      </w:r>
      <w:r>
        <w:rPr>
          <w:rFonts w:ascii="Times New Roman" w:hAnsi="Times New Roman"/>
        </w:rPr>
        <w:t>Nestes termos,</w:t>
        <w:br/>
      </w:r>
      <w:r>
        <w:rPr>
          <w:rFonts w:ascii="Times New Roman" w:hAnsi="Times New Roman"/>
        </w:rPr>
        <w:t>Pede deferimento.</w:t>
      </w:r>
      <w:r>
        <w:rPr>
          <w:rFonts w:ascii="Times New Roman" w:hAnsi="Times New Roman"/>
        </w:rPr>
      </w:r>
    </w:p>
    <w:p>
      <w:pPr>
        <w:spacing w:line="288" w:lineRule="auto" w:after="120"/>
        <w:jc w:val="both"/>
      </w:pPr>
      <w:r>
        <w:rPr>
          <w:rFonts w:ascii="Times New Roman" w:hAnsi="Times New Roman"/>
        </w:rPr>
      </w:r>
      <w:r>
        <w:rPr>
          <w:rFonts w:ascii="Times New Roman" w:hAnsi="Times New Roman"/>
        </w:rPr>
        <w:t>[Município/UF], [data do protocolo no e-INPI].</w:t>
      </w:r>
      <w:r>
        <w:rPr>
          <w:rFonts w:ascii="Times New Roman" w:hAnsi="Times New Roman"/>
        </w:rPr>
      </w:r>
    </w:p>
    <w:p>
      <w:pPr>
        <w:spacing w:line="288" w:lineRule="auto" w:after="120"/>
        <w:jc w:val="both"/>
      </w:pPr>
      <w:r>
        <w:rPr>
          <w:rFonts w:ascii="Times New Roman" w:hAnsi="Times New Roman"/>
        </w:rPr>
      </w:r>
      <w:r>
        <w:rPr>
          <w:rFonts w:ascii="Times New Roman" w:hAnsi="Times New Roman"/>
        </w:rPr>
        <w:t>[Assinatura]</w:t>
        <w:br/>
      </w:r>
      <w:r>
        <w:rPr>
          <w:rFonts w:ascii="Times New Roman" w:hAnsi="Times New Roman"/>
        </w:rPr>
        <w:t>[Nome do Advogado] – OAB/[UF] [nº]</w:t>
      </w:r>
      <w:r>
        <w:rPr>
          <w:rFonts w:ascii="Times New Roman" w:hAnsi="Times New Roman"/>
        </w:rPr>
      </w:r>
    </w:p>
    <w:p>
      <w:pPr>
        <w:pBdr>
          <w:bottom w:val="single" w:sz="6" w:space="1" w:color="auto"/>
        </w:pBdr>
        <w:spacing w:line="288" w:lineRule="auto" w:after="120"/>
        <w:jc w:val="both"/>
      </w:pPr>
      <w:r>
        <w:rPr>
          <w:rFonts w:ascii="Times New Roman" w:hAnsi="Times New Roman"/>
        </w:rPr>
      </w:r>
    </w:p>
    <w:p>
      <w:pPr>
        <w:pStyle w:val="Heading2"/>
        <w:spacing w:line="288" w:lineRule="auto" w:after="120"/>
      </w:pPr>
      <w:r>
        <w:rPr>
          <w:rFonts w:ascii="Times New Roman" w:hAnsi="Times New Roman"/>
        </w:rPr>
        <w:t>LISTA DE DOCUMENTOS ANEXOS</w:t>
      </w:r>
      <w:r>
        <w:rPr>
          <w:rFonts w:ascii="Times New Roman" w:hAnsi="Times New Roman"/>
        </w:rPr>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01 – Cópia/print da publicação do indeferimento na RPI de 16/09/2025 (Proc. 933699271)</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02 – Print do e-INPI com a data-limite oficial do prazo recursal (tempestividade)</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03 – GRU do recurso (emissão)</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03-A – Comprovante de pagamento da GRU</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04 – Print integral do dossiê do pedido SAMARIAS (classe(s), especificação, natureza do sinal)</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04-A/04-B – Representações da marca (se mista/figurativa)</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05 – Print do dossiê da marca citada SESMARIAS (classe(s), especificação, titularidade e status)</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Docs. 06/10 – Materiais de uso/mercado da Recorrente (site, redes sociais, catálogos, notas, trade dress, segmentação de canais/público)</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11 – Trechos pertinentes do Manual de Marcas (2024/2025): critérios de confundibilidade (fonética, visual, ideológica) e limitação de especificação</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12 – Tabela de Retribuições vigente (trecho: Recurso contra indeferimento – valor por classe)</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Doc. 13 – [Se aplicável] Comprovação de enquadramento para desconto (MEI/ME/EPP)</w:t>
      </w:r>
      <w:r>
        <w:rPr>
          <w:rFonts w:ascii="Times New Roman" w:hAnsi="Times New Roman"/>
        </w:rPr>
      </w:r>
      <w:r>
        <w:rPr>
          <w:rFonts w:ascii="Times New Roman" w:hAnsi="Times New Roman"/>
        </w:rPr>
      </w:r>
    </w:p>
    <w:p>
      <w:pPr>
        <w:pBdr>
          <w:bottom w:val="single" w:sz="6" w:space="1" w:color="auto"/>
        </w:pBdr>
        <w:spacing w:line="288" w:lineRule="auto" w:after="120"/>
        <w:jc w:val="both"/>
      </w:pPr>
      <w:r>
        <w:rPr>
          <w:rFonts w:ascii="Times New Roman" w:hAnsi="Times New Roman"/>
        </w:rPr>
      </w:r>
    </w:p>
    <w:p>
      <w:pPr>
        <w:spacing w:line="288" w:lineRule="auto" w:after="120"/>
        <w:jc w:val="both"/>
      </w:pPr>
      <w:r>
        <w:rPr>
          <w:rFonts w:ascii="Times New Roman" w:hAnsi="Times New Roman"/>
        </w:rPr>
      </w:r>
      <w:r>
        <w:rPr>
          <w:rFonts w:ascii="Times New Roman" w:hAnsi="Times New Roman"/>
        </w:rPr>
        <w:t>Notas operacionais internas (não constam do PDF a protocolar; para validação prévia):</w:t>
      </w:r>
      <w:r>
        <w:rPr>
          <w:rFonts w:ascii="Times New Roman" w:hAnsi="Times New Roman"/>
        </w:rPr>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Confirmar no e-INPI: classe(s) e especificação de SAMARIAS e SESMARIAS; data-limite oficial do recurso; natureza do sinal (nominativo/misto).</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Ajustar a Seção IV.6 com a redação final da limitação subsidiária, excluindo itens coincidentes com SESMARIAS e mantendo o núcleo estratégico do cliente.</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Inserir, se possível, 5–10 precedentes administrativos (2019–2025) com trechos relevantes do fundamento do INPI que reconheçam a suficiência de diferenças fonéticas/ideológicas para afastar o art. 124, XIX.</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Verificar eventual direito a desconto de taxa (MEI/ME/EPP) com documentação do titular.</w:t>
      </w:r>
      <w:r>
        <w:rPr>
          <w:rFonts w:ascii="Times New Roman" w:hAnsi="Times New Roman"/>
        </w:rPr>
      </w:r>
    </w:p>
    <w:p>
      <w:pPr>
        <w:pStyle w:val="ListBullet"/>
        <w:spacing w:line="288" w:lineRule="auto" w:after="120"/>
        <w:jc w:val="both"/>
      </w:pPr>
      <w:r>
        <w:rPr>
          <w:rFonts w:ascii="Times New Roman" w:hAnsi="Times New Roman"/>
        </w:rPr>
      </w:r>
      <w:r>
        <w:rPr>
          <w:rFonts w:ascii="Times New Roman" w:hAnsi="Times New Roman"/>
        </w:rPr>
        <w:t>Anexar prints com data/URL visíveis.</w:t>
      </w:r>
      <w:r>
        <w:rPr>
          <w:rFonts w:ascii="Times New Roman" w:hAnsi="Times New Roman"/>
        </w:rPr>
      </w:r>
      <w:r>
        <w:rPr>
          <w:rFonts w:ascii="Times New Roman" w:hAnsi="Times New Roman"/>
        </w:rPr>
      </w:r>
    </w:p>
    <w:p>
      <w:pPr>
        <w:spacing w:line="288" w:lineRule="auto" w:after="120"/>
        <w:jc w:val="both"/>
      </w:pPr>
      <w:r>
        <w:rPr>
          <w:rFonts w:ascii="Times New Roman" w:hAnsi="Times New Roman"/>
        </w:rPr>
      </w:r>
      <w:r>
        <w:rPr>
          <w:rFonts w:ascii="Times New Roman" w:hAnsi="Times New Roman"/>
        </w:rPr>
        <w:t>Sources:</w:t>
      </w:r>
      <w:r>
        <w:rPr>
          <w:rFonts w:ascii="Times New Roman" w:hAnsi="Times New Roman"/>
        </w:rPr>
      </w:r>
    </w:p>
    <w:p>
      <w:pPr>
        <w:spacing w:line="288" w:lineRule="auto" w:after="120"/>
        <w:jc w:val="both"/>
      </w:pPr>
      <w:r>
        <w:rPr>
          <w:rFonts w:ascii="Times New Roman" w:hAnsi="Times New Roman"/>
        </w:rPr>
      </w:r>
      <w:r>
        <w:rPr>
          <w:rFonts w:ascii="Times New Roman" w:hAnsi="Times New Roman"/>
        </w:rPr>
        <w:t xml:space="preserve">[1] </w:t>
      </w:r>
      <w:hyperlink r:id="rId9">
        <w:r>
          <w:rPr>
            <w:color w:val="0000EE"/>
            <w:u w:val="single"/>
          </w:rPr>
          <w:t>https://www.gov.br/inpi/pt-br/servicos/marcas/arquivos/legislacao/PORT_INPI_PR_10_2025.pdf</w:t>
        </w:r>
      </w:hyperlink>
      <w:r>
        <w:rPr>
          <w:rFonts w:ascii="Times New Roman" w:hAnsi="Times New Roman"/>
        </w:rPr>
        <w:t xml:space="preserve"> - </w:t>
        <w:br/>
      </w:r>
      <w:hyperlink r:id="rId9">
        <w:r>
          <w:rPr>
            <w:color w:val="0000EE"/>
            <w:u w:val="single"/>
          </w:rPr>
          <w:t>https://www.gov.br/inpi/pt-br/servicos/marcas/arquivos/legislacao/PORT_INPI_PR_10_2025.pdf</w:t>
        </w:r>
      </w:hyperlink>
      <w:r>
        <w:rPr>
          <w:rFonts w:ascii="Times New Roman" w:hAnsi="Times New Roman"/>
        </w:rPr>
        <w:t xml:space="preserve">[2] (Nova Tabela de Retribuições INPI_Portaria INPI_versão final.xlsx) - </w:t>
        <w:br/>
      </w:r>
      <w:hyperlink r:id="rId10">
        <w:r>
          <w:rPr>
            <w:color w:val="0000EE"/>
            <w:u w:val="single"/>
          </w:rPr>
          <w:t>https://www.gov.br/inpi/pt-br/inpi-data/precificacao-dos-servicos/tabela-de-retribuicoes-inpi_portaria-mdic-no110_2025-e-portaria-inpi-no-10_2025.pdf</w:t>
        </w:r>
      </w:hyperlink>
      <w:r>
        <w:rPr>
          <w:rFonts w:ascii="Times New Roman" w:hAnsi="Times New Roman"/>
        </w:rPr>
        <w:t xml:space="preserve">[3] INPI atualiza Manual de Marcas: O que mudou? - </w:t>
        <w:br/>
      </w:r>
      <w:hyperlink r:id="rId11">
        <w:r>
          <w:rPr>
            <w:color w:val="0000EE"/>
            <w:u w:val="single"/>
          </w:rPr>
          <w:t>https://www.tavaresoffice.com.br/pt/inpi-atualiza-manual-de-marcas-o-que-mudou/</w:t>
        </w:r>
      </w:hyperlink>
      <w:r>
        <w:rPr>
          <w:rFonts w:ascii="Times New Roman" w:hAnsi="Times New Roman"/>
        </w:rPr>
        <w:t xml:space="preserve">[4] INPI atualiza Manual de Marcas com mudanças da Tabela de Retribuições e novas diretrizes para alto renome - </w:t>
        <w:br/>
      </w:r>
      <w:hyperlink r:id="rId12">
        <w:r>
          <w:rPr>
            <w:color w:val="0000EE"/>
            <w:u w:val="single"/>
          </w:rPr>
          <w:t>https://www.gov.br/inpi/pt-br/central-de-conteudo/noticias/inpi-atualiza-manual-de-marcas-com-novas-diretrizes-para-alto-renome-e-mudancas-da-tabela-de-retribuicoes</w:t>
        </w:r>
      </w:hyperlink>
      <w:r>
        <w:rPr>
          <w:rFonts w:ascii="Times New Roman" w:hAnsi="Times New Roman"/>
        </w:rPr>
        <w:t xml:space="preserve">[5] Procedimentos de Análise de Marcas - </w:t>
        <w:br/>
      </w:r>
      <w:hyperlink r:id="rId13">
        <w:r>
          <w:rPr>
            <w:color w:val="0000EE"/>
            <w:u w:val="single"/>
          </w:rPr>
          <w:t>https://www.gov.br/inpi/pt-br/servicos/marcas/arquivos/legislacao/procedimentosajustes_as_diretrizes.pdf</w:t>
        </w:r>
      </w:hyperlink>
      <w:r>
        <w:rPr>
          <w:rFonts w:ascii="Times New Roman" w:hAnsi="Times New Roman"/>
        </w:rPr>
        <w:t xml:space="preserve">[6] INPI - Instituto Nacional da Propriedade Industrial - </w:t>
        <w:br/>
      </w:r>
      <w:hyperlink r:id="rId14">
        <w:r>
          <w:rPr>
            <w:color w:val="0000EE"/>
            <w:u w:val="single"/>
          </w:rPr>
          <w:t>https://www.gov.br/inpi/pt-br</w:t>
        </w:r>
      </w:hyperlink>
      <w:r>
        <w:rPr>
          <w:rFonts w:ascii="Times New Roman" w:hAnsi="Times New Roman"/>
        </w:rPr>
        <w:t xml:space="preserve">[7] Pesquisas Online - Marcas - </w:t>
        <w:br/>
      </w:r>
      <w:hyperlink r:id="rId15">
        <w:r>
          <w:rPr>
            <w:color w:val="0000EE"/>
            <w:u w:val="single"/>
          </w:rPr>
          <w:t>https://servicosonline.inpi.pt/pesquisas/main/marcas.jsp?lang=PT</w:t>
        </w:r>
      </w:hyperlink>
      <w:r>
        <w:rPr>
          <w:rFonts w:ascii="Times New Roman" w:hAnsi="Times New Roman"/>
        </w:rPr>
        <w:t xml:space="preserve">[8] INPI - </w:t>
        <w:br/>
      </w:r>
      <w:hyperlink r:id="rId16">
        <w:r>
          <w:rPr>
            <w:color w:val="0000EE"/>
            <w:u w:val="single"/>
          </w:rPr>
          <w:t>https://busca.inpi.gov.br/pePI/</w:t>
        </w:r>
      </w:hyperlink>
      <w:r>
        <w:rPr>
          <w:rFonts w:ascii="Times New Roman" w:hAnsi="Times New Roman"/>
        </w:rPr>
        <w:t xml:space="preserve">[9] How to track the process at INPI | Trademark Registration | Step by Step - </w:t>
        <w:br/>
      </w:r>
      <w:hyperlink r:id="rId17">
        <w:r>
          <w:rPr>
            <w:color w:val="0000EE"/>
            <w:u w:val="single"/>
          </w:rPr>
          <w:t>https://www.youtube.com/watch?v=FCyu2LTAA6c</w:t>
        </w:r>
      </w:hyperlink>
      <w:r>
        <w:rPr>
          <w:rFonts w:ascii="Times New Roman" w:hAnsi="Times New Roman"/>
        </w:rPr>
        <w:t xml:space="preserve">[10] Para consultar o processo de marca - </w:t>
        <w:br/>
      </w:r>
      <w:hyperlink r:id="rId18">
        <w:r>
          <w:rPr>
            <w:color w:val="0000EE"/>
            <w:u w:val="single"/>
          </w:rPr>
          <w:t>https://www.gov.br/inpi/pt-br/servicos/marcas/para-consultar-o-processo-de-marca</w:t>
        </w:r>
      </w:hyperlink>
      <w:r>
        <w:rPr>
          <w:rFonts w:ascii="Times New Roman" w:hAnsi="Times New Roman"/>
        </w:rPr>
        <w:t xml:space="preserve">[11] texto 03 - </w:t>
        <w:br/>
      </w:r>
      <w:hyperlink r:id="rId19">
        <w:r>
          <w:rPr>
            <w:color w:val="0000EE"/>
            <w:u w:val="single"/>
          </w:rPr>
          <w:t>https://memoria-spu.gestao.gov.br/publicacoes/sesmarias-e-posse-de-terras-politica-fundiaria-para-assegurar-a-colonizacao-brasileira-2/</w:t>
        </w:r>
      </w:hyperlink>
      <w:r>
        <w:rPr>
          <w:rFonts w:ascii="Times New Roman" w:hAnsi="Times New Roman"/>
        </w:rPr>
        <w:t xml:space="preserve">[12] Sesmarias: quem recebeu, lei, consequências, fim - </w:t>
        <w:br/>
      </w:r>
      <w:hyperlink r:id="rId20">
        <w:r>
          <w:rPr>
            <w:color w:val="0000EE"/>
            <w:u w:val="single"/>
          </w:rPr>
          <w:t>https://mundoeducacao.uol.com.br/historiadobrasil/as-sesmarias.htm</w:t>
        </w:r>
      </w:hyperlink>
      <w:r>
        <w:rPr>
          <w:rFonts w:ascii="Times New Roman" w:hAnsi="Times New Roman"/>
        </w:rPr>
        <w:t xml:space="preserve">[13] Sesmarias - </w:t>
        <w:br/>
      </w:r>
      <w:hyperlink r:id="rId21">
        <w:r>
          <w:rPr>
            <w:color w:val="0000EE"/>
            <w:u w:val="single"/>
          </w:rPr>
          <w:t>https://www.todamateria.com.br/sesmarias/</w:t>
        </w:r>
      </w:hyperlink>
      <w:r>
        <w:rPr>
          <w:rFonts w:ascii="Times New Roman" w:hAnsi="Times New Roman"/>
        </w:rPr>
        <w:t xml:space="preserve">[14] </w:t>
      </w:r>
      <w:hyperlink r:id="rId22">
        <w:r>
          <w:rPr>
            <w:color w:val="0000EE"/>
            <w:u w:val="single"/>
          </w:rPr>
          <w:t>https://www.gov.br/inpi/pt-br/servicos/recursos-e-nulidades/revista-jurisprudencia-marcas.pdf</w:t>
        </w:r>
      </w:hyperlink>
      <w:r>
        <w:rPr>
          <w:rFonts w:ascii="Times New Roman" w:hAnsi="Times New Roman"/>
        </w:rPr>
        <w:t xml:space="preserve"> - </w:t>
        <w:br/>
      </w:r>
      <w:hyperlink r:id="rId22">
        <w:r>
          <w:rPr>
            <w:color w:val="0000EE"/>
            <w:u w:val="single"/>
          </w:rPr>
          <w:t>https://www.gov.br/inpi/pt-br/servicos/recursos-e-nulidades/revista-jurisprudencia-marcas.pdf</w:t>
        </w:r>
      </w:hyperlink>
      <w:r>
        <w:rPr>
          <w:rFonts w:ascii="Times New Roman" w:hAnsi="Times New Roman"/>
        </w:rPr>
        <w:t xml:space="preserve">[15] Grátis: MODELO DE RECURSO PROVIDO XIX 2021 - Material Claro e Objetivo em PDF para Estudo Rápido - </w:t>
        <w:br/>
      </w:r>
      <w:hyperlink r:id="rId23">
        <w:r>
          <w:rPr>
            <w:color w:val="0000EE"/>
            <w:u w:val="single"/>
          </w:rPr>
          <w:t>https://www.passeidireto.com/arquivo/137875592/modelo-de-recurso-provido-xix-2021</w:t>
        </w:r>
      </w:hyperlink>
      <w:r>
        <w:rPr>
          <w:rFonts w:ascii="Times New Roman" w:hAnsi="Times New Roman"/>
        </w:rPr>
        <w:t xml:space="preserve">[16] Art. 124, Inc. Xix da Lei 9279/96 | Jusbrasil - </w:t>
        <w:br/>
      </w:r>
      <w:hyperlink r:id="rId24">
        <w:r>
          <w:rPr>
            <w:color w:val="0000EE"/>
            <w:u w:val="single"/>
          </w:rPr>
          <w:t>https://www.jusbrasil.com.br/busca?q=art.+124%2C+inc.+xix+da+lei+9279%2F96</w:t>
        </w:r>
      </w:hyperlink>
      <w:r>
        <w:rPr>
          <w:rFonts w:ascii="Times New Roman" w:hAnsi="Times New Roman"/>
        </w:rPr>
        <w:t xml:space="preserve">[17] Origen y significado del nombre de pila Samaria | Buscar genealogía en Ancestry®. - </w:t>
        <w:br/>
      </w:r>
      <w:hyperlink r:id="rId25">
        <w:r>
          <w:rPr>
            <w:color w:val="0000EE"/>
            <w:u w:val="single"/>
          </w:rPr>
          <w:t>https://www.ancestry.com/first-name-meaning/samaria?geo-lang=es</w:t>
        </w:r>
      </w:hyperlink>
      <w:r>
        <w:rPr>
          <w:rFonts w:ascii="Times New Roman" w:hAnsi="Times New Roman"/>
        </w:rPr>
        <w:t xml:space="preserve">[18] 07 Recursos e processos administrativos de nulidade - </w:t>
        <w:br/>
      </w:r>
      <w:hyperlink r:id="rId26">
        <w:r>
          <w:rPr>
            <w:color w:val="0000EE"/>
            <w:u w:val="single"/>
          </w:rPr>
          <w:t>https://manualdedi.inpi.gov.br/projects/manual-de-desenho-industrial/wiki/07_Recursos_e_processos_administrativos_de_nulidade</w:t>
        </w:r>
      </w:hyperlink>
      <w:r>
        <w:rPr>
          <w:rFonts w:ascii="Times New Roman" w:hAnsi="Times New Roman"/>
        </w:rPr>
        <w:t xml:space="preserve">[19] Manual do Usuário e-Marcas - versão 2_2 final[capa] - </w:t>
        <w:br/>
      </w:r>
      <w:hyperlink r:id="rId27">
        <w:r>
          <w:rPr>
            <w:color w:val="0000EE"/>
            <w:u w:val="single"/>
          </w:rPr>
          <w:t>https://www.gov.br/inpi/pt-br/servicos/marcas/arquivos/legislacao/manual_do_usuario_emarcas__versao_2_2_final_0.pdf</w:t>
        </w:r>
      </w:hyperlink>
      <w:r>
        <w:rPr>
          <w:rFonts w:ascii="Times New Roman" w:hAnsi="Times New Roman"/>
        </w:rPr>
        <w:t xml:space="preserve">[20] </w:t>
      </w:r>
      <w:hyperlink r:id="rId28">
        <w:r>
          <w:rPr>
            <w:color w:val="0000EE"/>
            <w:u w:val="single"/>
          </w:rPr>
          <w:t>https://www.gov.br/inpi/pt-br/assuntos/desenhos-industriais/arquivos/MinutaManualDI_cap07.pdf</w:t>
        </w:r>
      </w:hyperlink>
      <w:r>
        <w:rPr>
          <w:rFonts w:ascii="Times New Roman" w:hAnsi="Times New Roman"/>
        </w:rPr>
        <w:t xml:space="preserve"> - </w:t>
        <w:br/>
      </w:r>
      <w:hyperlink r:id="rId28">
        <w:r>
          <w:rPr>
            <w:color w:val="0000EE"/>
            <w:u w:val="single"/>
          </w:rPr>
          <w:t>https://www.gov.br/inpi/pt-br/assuntos/desenhos-industriais/arquivos/MinutaManualDI_cap07.pdf</w:t>
        </w:r>
      </w:hyperlink>
      <w:r>
        <w:rPr>
          <w:rFonts w:ascii="Times New Roman" w:hAnsi="Times New Roman"/>
        </w:rPr>
        <w:t xml:space="preserve">[21] É possível o registro de marca já existente no INPI? - </w:t>
        <w:br/>
      </w:r>
      <w:hyperlink r:id="rId29">
        <w:r>
          <w:rPr>
            <w:color w:val="0000EE"/>
            <w:u w:val="single"/>
          </w:rPr>
          <w:t>https://www.marcaxmarcas.com.br/e-possivel-o-registro-de-marca-ja-existente-no-inpi/</w:t>
        </w:r>
      </w:hyperlink>
      <w:r>
        <w:rPr>
          <w:rFonts w:ascii="Times New Roman" w:hAnsi="Times New Roman"/>
        </w:rPr>
        <w:t xml:space="preserve">[22] Just a moment... - </w:t>
        <w:br/>
      </w:r>
      <w:hyperlink r:id="rId30">
        <w:r>
          <w:rPr>
            <w:color w:val="0000EE"/>
            <w:u w:val="single"/>
          </w:rPr>
          <w:t>https://manualzz.com/doc/5879187/inpi-sistema-e-marcas-manual-do-usuário</w:t>
        </w:r>
      </w:hyperlink>
      <w:r>
        <w:rPr>
          <w:rFonts w:ascii="Times New Roman" w:hAnsi="Times New Roman"/>
        </w:rPr>
        <w:t xml:space="preserve">[23] Como gerar a GRU de recurso contra indeferimento de marca 📝 - </w:t>
        <w:br/>
      </w:r>
      <w:hyperlink r:id="rId31">
        <w:r>
          <w:rPr>
            <w:color w:val="0000EE"/>
            <w:u w:val="single"/>
          </w:rPr>
          <w:t>https://www.youtube.com/watch?v=dqMuv6303YU</w:t>
        </w:r>
      </w:hyperlink>
      <w:r>
        <w:rPr>
          <w:rFonts w:ascii="Times New Roman" w:hAnsi="Times New Roman"/>
        </w:rPr>
        <w:t xml:space="preserve">[24] 07 Recursos e processos administrativos de nulidade - </w:t>
        <w:br/>
      </w:r>
      <w:hyperlink r:id="rId32">
        <w:r>
          <w:rPr>
            <w:color w:val="0000EE"/>
            <w:u w:val="single"/>
          </w:rPr>
          <w:t>https://manualdemarcas.inpi.gov.br/projects/manual/wiki/07_Recursos_e_processos_administrativos_de_nulidade</w:t>
        </w:r>
      </w:hyperlink>
      <w:r>
        <w:rPr>
          <w:rFonts w:ascii="Times New Roman" w:hAnsi="Times New Roman"/>
        </w:rPr>
        <w:t xml:space="preserve">[25] Recurso Contra Indeferimento de Pedido de Registro - </w:t>
        <w:br/>
      </w:r>
      <w:hyperlink r:id="rId33">
        <w:r>
          <w:rPr>
            <w:color w:val="0000EE"/>
            <w:u w:val="single"/>
          </w:rPr>
          <w:t>https://rfa.legal/br/projetos-360/registro-de-marca/servicos/recurso-contra-indeferimento-registro-marca/</w:t>
        </w:r>
      </w:hyperlink>
      <w:r>
        <w:rPr>
          <w:rFonts w:ascii="Times New Roman" w:hAnsi="Times New Roman"/>
        </w:rPr>
        <w:t xml:space="preserve">[26] COMO FUNCIONA O PROCESSO DE RECURSO CONTRA INDEFERIMENTO NO INPI? - </w:t>
      </w:r>
      <w:hyperlink r:id="rId34">
        <w:r>
          <w:rPr>
            <w:color w:val="0000EE"/>
            <w:u w:val="single"/>
          </w:rPr>
          <w:t>https://marcasja.com.br/blog/como-funciona-o-processo-de-recurso-contra-indeferimento-no-inpi/</w:t>
        </w:r>
      </w:hyperlink>
      <w:r>
        <w:rPr>
          <w:rFonts w:ascii="Times New Roman" w:hAnsi="Times New Roman"/>
        </w:rPr>
      </w:r>
    </w:p>
    <w:p>
      <w:pPr>
        <w:spacing w:before="480" w:after="240"/>
        <w:jc w:val="center"/>
        <w:pBdr>
          <w:bottom w:val="single" w:sz="4" w:space="1" w:color="auto"/>
        </w:pBdr>
      </w:pPr>
    </w:p>
    <w:p>
      <w:pPr>
        <w:spacing w:after="120"/>
        <w:jc w:val="center"/>
      </w:pPr>
      <w:r>
        <w:rPr>
          <w:rFonts w:ascii="Times New Roman" w:hAnsi="Times New Roman"/>
          <w:color w:val="000000"/>
          <w:sz w:val="24"/>
        </w:rPr>
        <w:t xml:space="preserve">Cicero: please draft, modify, research. </w:t>
      </w:r>
      <w:r>
        <w:rPr>
          <w:rFonts w:ascii="Times New Roman" w:hAnsi="Times New Roman"/>
          <w:i/>
          <w:color w:val="000000"/>
          <w:sz w:val="24"/>
        </w:rPr>
        <w:t>Will do.</w:t>
      </w:r>
    </w:p>
    <w:p>
      <w:pPr>
        <w:spacing w:after="120"/>
        <w:jc w:val="center"/>
      </w:pPr>
      <w:r>
        <w:rPr>
          <w:rFonts w:ascii="Times New Roman" w:hAnsi="Times New Roman"/>
          <w:color w:val="000000"/>
          <w:sz w:val="24"/>
        </w:rPr>
        <w:t>***</w:t>
      </w:r>
    </w:p>
    <w:p>
      <w:pPr>
        <w:spacing w:after="240"/>
        <w:jc w:val="center"/>
      </w:pPr>
      <w:r>
        <w:rPr>
          <w:rFonts w:ascii="Times New Roman" w:hAnsi="Times New Roman"/>
          <w:color w:val="000000"/>
          <w:sz w:val="24"/>
        </w:rPr>
        <w:t xml:space="preserve">Cícero: </w:t>
      </w:r>
      <w:r>
        <w:rPr>
          <w:rFonts w:ascii="Times New Roman" w:hAnsi="Times New Roman"/>
          <w:i/>
          <w:color w:val="000000"/>
          <w:sz w:val="24"/>
        </w:rPr>
        <w:t>o seu melhor estagiário</w:t>
      </w:r>
    </w:p>
    <w:sectPr w:rsidR="00FC693F" w:rsidRPr="0006063C" w:rsidSect="00034616">
      <w:headerReference w:type="first" r:id="rId35"/>
      <w:headerReference w:type="default" r:id="rId36"/>
      <w:footerReference w:type="first" r:id="rId37"/>
      <w:footerReference w:type="default" r:id="rId38"/>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184"/>
      <w:gridCol w:w="3456"/>
    </w:tblGrid>
    <w:tr>
      <w:tc>
        <w:tcPr>
          <w:tcW w:type="dxa" w:w="4320"/>
          <w:tcBorders>
            <w:top w:val="nil"/>
            <w:left w:val="nil"/>
            <w:bottom w:val="nil"/>
            <w:right w:val="nil"/>
          </w:tcBorders>
        </w:tcPr>
        <w:p>
          <w:pPr>
            <w:jc w:val="left"/>
          </w:pPr>
          <w:r>
            <w:rPr>
              <w:rFonts w:ascii="Times New Roman" w:hAnsi="Times New Roman"/>
              <w:b/>
              <w:color w:val="000000"/>
              <w:sz w:val="20"/>
            </w:rPr>
            <w:t>Cicero Assistant</w:t>
          </w:r>
        </w:p>
      </w:tc>
      <w:tc>
        <w:tcPr>
          <w:tcW w:type="dxa" w:w="4320"/>
          <w:tcBorders>
            <w:top w:val="nil"/>
            <w:left w:val="nil"/>
            <w:bottom w:val="nil"/>
            <w:right w:val="nil"/>
          </w:tcBorders>
        </w:tcPr>
        <w:p>
          <w:pPr>
            <w:jc w:val="right"/>
          </w:pPr>
          <w:r>
            <w:rPr>
              <w:rFonts w:ascii="Times New Roman" w:hAnsi="Times New Roman"/>
              <w:b/>
              <w:color w:val="0000EE"/>
              <w:sz w:val="20"/>
            </w:rPr>
            <w:t>www.cicero.im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84"/>
      <w:gridCol w:w="3456"/>
    </w:tblGrid>
    <w:tr>
      <w:tc>
        <w:tcPr>
          <w:tcW w:type="dxa" w:w="4320"/>
          <w:tcBorders>
            <w:top w:val="nil"/>
            <w:left w:val="nil"/>
            <w:bottom w:val="nil"/>
            <w:right w:val="nil"/>
          </w:tcBorders>
        </w:tcPr>
        <w:p>
          <w:pPr>
            <w:jc w:val="left"/>
          </w:pPr>
          <w:r>
            <w:rPr>
              <w:rFonts w:ascii="Georgia" w:hAnsi="Georgia"/>
              <w:b/>
              <w:color w:val="000000"/>
              <w:sz w:val="28"/>
            </w:rPr>
            <w:t>CICERO</w:t>
          </w:r>
        </w:p>
      </w:tc>
      <w:tc>
        <w:tcPr>
          <w:tcW w:type="dxa" w:w="4320"/>
          <w:tcBorders>
            <w:top w:val="nil"/>
            <w:left w:val="nil"/>
            <w:bottom w:val="nil"/>
            <w:right w:val="nil"/>
          </w:tcBorders>
        </w:tcPr>
        <w:p>
          <w:pPr>
            <w:jc w:val="right"/>
          </w:pPr>
          <w:r>
            <w:rPr>
              <w:rFonts w:ascii="Times New Roman" w:hAnsi="Times New Roman"/>
              <w:b/>
              <w:color w:val="0000EE"/>
              <w:sz w:val="28"/>
            </w:rPr>
            <w:t>assistant@cicero.im</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br/inpi/pt-br/servicos/marcas/arquivos/legislacao/PORT_INPI_PR_10_2025.pdf" TargetMode="External"/><Relationship Id="rId10" Type="http://schemas.openxmlformats.org/officeDocument/2006/relationships/hyperlink" Target="https://www.gov.br/inpi/pt-br/inpi-data/precificacao-dos-servicos/tabela-de-retribuicoes-inpi_portaria-mdic-no110_2025-e-portaria-inpi-no-10_2025.pdf" TargetMode="External"/><Relationship Id="rId11" Type="http://schemas.openxmlformats.org/officeDocument/2006/relationships/hyperlink" Target="https://www.tavaresoffice.com.br/pt/inpi-atualiza-manual-de-marcas-o-que-mudou/" TargetMode="External"/><Relationship Id="rId12" Type="http://schemas.openxmlformats.org/officeDocument/2006/relationships/hyperlink" Target="https://www.gov.br/inpi/pt-br/central-de-conteudo/noticias/inpi-atualiza-manual-de-marcas-com-novas-diretrizes-para-alto-renome-e-mudancas-da-tabela-de-retribuicoes" TargetMode="External"/><Relationship Id="rId13" Type="http://schemas.openxmlformats.org/officeDocument/2006/relationships/hyperlink" Target="https://www.gov.br/inpi/pt-br/servicos/marcas/arquivos/legislacao/procedimentosajustes_as_diretrizes.pdf" TargetMode="External"/><Relationship Id="rId14" Type="http://schemas.openxmlformats.org/officeDocument/2006/relationships/hyperlink" Target="https://www.gov.br/inpi/pt-br" TargetMode="External"/><Relationship Id="rId15" Type="http://schemas.openxmlformats.org/officeDocument/2006/relationships/hyperlink" Target="https://servicosonline.inpi.pt/pesquisas/main/marcas.jsp?lang=PT" TargetMode="External"/><Relationship Id="rId16" Type="http://schemas.openxmlformats.org/officeDocument/2006/relationships/hyperlink" Target="https://busca.inpi.gov.br/pePI/" TargetMode="External"/><Relationship Id="rId17" Type="http://schemas.openxmlformats.org/officeDocument/2006/relationships/hyperlink" Target="https://www.youtube.com/watch?v=FCyu2LTAA6c" TargetMode="External"/><Relationship Id="rId18" Type="http://schemas.openxmlformats.org/officeDocument/2006/relationships/hyperlink" Target="https://www.gov.br/inpi/pt-br/servicos/marcas/para-consultar-o-processo-de-marca" TargetMode="External"/><Relationship Id="rId19" Type="http://schemas.openxmlformats.org/officeDocument/2006/relationships/hyperlink" Target="https://memoria-spu.gestao.gov.br/publicacoes/sesmarias-e-posse-de-terras-politica-fundiaria-para-assegurar-a-colonizacao-brasileira-2/" TargetMode="External"/><Relationship Id="rId20" Type="http://schemas.openxmlformats.org/officeDocument/2006/relationships/hyperlink" Target="https://mundoeducacao.uol.com.br/historiadobrasil/as-sesmarias.htm" TargetMode="External"/><Relationship Id="rId21" Type="http://schemas.openxmlformats.org/officeDocument/2006/relationships/hyperlink" Target="https://www.todamateria.com.br/sesmarias/" TargetMode="External"/><Relationship Id="rId22" Type="http://schemas.openxmlformats.org/officeDocument/2006/relationships/hyperlink" Target="https://www.gov.br/inpi/pt-br/servicos/recursos-e-nulidades/revista-jurisprudencia-marcas.pdf" TargetMode="External"/><Relationship Id="rId23" Type="http://schemas.openxmlformats.org/officeDocument/2006/relationships/hyperlink" Target="https://www.passeidireto.com/arquivo/137875592/modelo-de-recurso-provido-xix-2021" TargetMode="External"/><Relationship Id="rId24" Type="http://schemas.openxmlformats.org/officeDocument/2006/relationships/hyperlink" Target="https://www.jusbrasil.com.br/busca?q=art.+124%2C+inc.+xix+da+lei+9279%2F96" TargetMode="External"/><Relationship Id="rId25" Type="http://schemas.openxmlformats.org/officeDocument/2006/relationships/hyperlink" Target="https://www.ancestry.com/first-name-meaning/samaria?geo-lang=es" TargetMode="External"/><Relationship Id="rId26" Type="http://schemas.openxmlformats.org/officeDocument/2006/relationships/hyperlink" Target="https://manualdedi.inpi.gov.br/projects/manual-de-desenho-industrial/wiki/07_Recursos_e_processos_administrativos_de_nulidade" TargetMode="External"/><Relationship Id="rId27" Type="http://schemas.openxmlformats.org/officeDocument/2006/relationships/hyperlink" Target="https://www.gov.br/inpi/pt-br/servicos/marcas/arquivos/legislacao/manual_do_usuario_emarcas__versao_2_2_final_0.pdf" TargetMode="External"/><Relationship Id="rId28" Type="http://schemas.openxmlformats.org/officeDocument/2006/relationships/hyperlink" Target="https://www.gov.br/inpi/pt-br/assuntos/desenhos-industriais/arquivos/MinutaManualDI_cap07.pdf" TargetMode="External"/><Relationship Id="rId29" Type="http://schemas.openxmlformats.org/officeDocument/2006/relationships/hyperlink" Target="https://www.marcaxmarcas.com.br/e-possivel-o-registro-de-marca-ja-existente-no-inpi/" TargetMode="External"/><Relationship Id="rId30" Type="http://schemas.openxmlformats.org/officeDocument/2006/relationships/hyperlink" Target="https://manualzz.com/doc/5879187/inpi-sistema-e-marcas-manual-do-usu%C3%A1rio" TargetMode="External"/><Relationship Id="rId31" Type="http://schemas.openxmlformats.org/officeDocument/2006/relationships/hyperlink" Target="https://www.youtube.com/watch?v=dqMuv6303YU" TargetMode="External"/><Relationship Id="rId32" Type="http://schemas.openxmlformats.org/officeDocument/2006/relationships/hyperlink" Target="https://manualdemarcas.inpi.gov.br/projects/manual/wiki/07_Recursos_e_processos_administrativos_de_nulidade" TargetMode="External"/><Relationship Id="rId33" Type="http://schemas.openxmlformats.org/officeDocument/2006/relationships/hyperlink" Target="https://rfa.legal/br/projetos-360/registro-de-marca/servicos/recurso-contra-indeferimento-registro-marca/" TargetMode="External"/><Relationship Id="rId34" Type="http://schemas.openxmlformats.org/officeDocument/2006/relationships/hyperlink" Target="https://marcasja.com.br/blog/como-funciona-o-processo-de-recurso-contra-indeferimento-no-inpi/" TargetMode="External"/><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footer" Target="footer1.xm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