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"/>
  <Override PartName="/word/media/rId46.png" ContentType="image/png"/>
  <Override PartName="/word/media/rId40.png" ContentType="image/png"/>
  <Override PartName="/word/media/rId20.png" ContentType="image/png"/>
  <Override PartName="/word/media/rId42.png" ContentType="image/png"/>
  <Override PartName="/word/media/rId54.png" ContentType="image/png"/>
  <Override PartName="/word/media/rId56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Supplementary</w:t>
      </w:r>
      <w:r>
        <w:t xml:space="preserve"> </w:t>
      </w:r>
      <w:r>
        <w:t xml:space="preserve">Material</w:t>
      </w:r>
    </w:p>
    <w:p>
      <w:pPr>
        <w:pStyle w:val="Author"/>
      </w:pPr>
      <w:r>
        <w:t xml:space="preserve">Arthur</w:t>
      </w:r>
      <w:r>
        <w:t xml:space="preserve"> </w:t>
      </w:r>
      <w:r>
        <w:t xml:space="preserve">M.</w:t>
      </w:r>
      <w:r>
        <w:t xml:space="preserve"> </w:t>
      </w:r>
      <w:r>
        <w:t xml:space="preserve">Albuquerque</w:t>
      </w:r>
    </w:p>
    <w:p>
      <w:pPr>
        <w:pStyle w:val="Date"/>
      </w:pPr>
      <w:r>
        <w:t xml:space="preserve">May</w:t>
      </w:r>
      <w:r>
        <w:t xml:space="preserve"> </w:t>
      </w:r>
      <w:r>
        <w:t xml:space="preserve">25,</w:t>
      </w:r>
      <w:r>
        <w:t xml:space="preserve"> </w:t>
      </w:r>
      <w:r>
        <w:t xml:space="preserve">2022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SourceCode"/>
      </w:pPr>
      <w:r>
        <w:rPr>
          <w:rStyle w:val="VerbatimChar"/>
        </w:rPr>
        <w:t xml:space="preserve">## * The library is already synchronized with the lockfile.</w:t>
      </w:r>
    </w:p>
    <w:bookmarkStart w:id="21" w:name="effect-modifiers"/>
    <w:p>
      <w:pPr>
        <w:pStyle w:val="Heading1"/>
      </w:pPr>
      <w:r>
        <w:t xml:space="preserve">Effect Modifiers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3_supplementary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1"/>
    <w:bookmarkStart w:id="30" w:name="Xc574abee50aa602ab044504ce13805733974624"/>
    <w:p>
      <w:pPr>
        <w:pStyle w:val="Heading1"/>
      </w:pPr>
      <w:r>
        <w:t xml:space="preserve">Pooled Ticagrelor Networks: MACE and Bleeding</w:t>
      </w:r>
    </w:p>
    <w:bookmarkStart w:id="27" w:name="league-tables"/>
    <w:p>
      <w:pPr>
        <w:pStyle w:val="Heading2"/>
      </w:pPr>
      <w:r>
        <w:t xml:space="preserve">League Tables</w:t>
      </w:r>
    </w:p>
    <w:bookmarkStart w:id="22" w:name="credible-intervals"/>
    <w:p>
      <w:pPr>
        <w:pStyle w:val="Heading3"/>
      </w:pPr>
      <w:r>
        <w:t xml:space="preserve">Credible Intervals</w:t>
      </w:r>
    </w:p>
    <w:p>
      <w:pPr>
        <w:pStyle w:val="FirstParagraph"/>
      </w:pPr>
      <w:r>
        <w:t xml:space="preserve">Hazard ratios (95% credible interval) for the MACE or Bleeding outcomes.</w:t>
      </w:r>
      <w:r>
        <w:t xml:space="preserve"> </w:t>
      </w:r>
      <w:r>
        <w:t xml:space="preserve">Treatments are shown in the diagonal. Results to the right of this diagonal</w:t>
      </w:r>
      <w:r>
        <w:t xml:space="preserve"> </w:t>
      </w:r>
      <w:r>
        <w:t xml:space="preserve">(right upper half table) correspond to the MACE outcome. Results to the left</w:t>
      </w:r>
      <w:r>
        <w:t xml:space="preserve"> </w:t>
      </w:r>
      <w:r>
        <w:t xml:space="preserve">(left lower half table) correspond to the Bleeding outcome. Comparisons between</w:t>
      </w:r>
      <w:r>
        <w:t xml:space="preserve"> </w:t>
      </w:r>
      <w:r>
        <w:t xml:space="preserve">treatments should be read from left to right and the estimate is in the cell in</w:t>
      </w:r>
      <w:r>
        <w:t xml:space="preserve"> </w:t>
      </w:r>
      <w:r>
        <w:t xml:space="preserve">common between the column-defining treatment and the row-defining treatment.</w:t>
      </w:r>
      <w:r>
        <w:t xml:space="preserve"> </w:t>
      </w:r>
      <w:r>
        <w:t xml:space="preserve">For both outcomes, a hazard ratio &lt; 1.0 favors the column-defining treatment.</w:t>
      </w:r>
      <w:r>
        <w:t xml:space="preserve"> </w:t>
      </w:r>
      <w:r>
        <w:t xml:space="preserve">For example, in the Rivaroxaban 5mg vs. AAS comparison for MACE, the corresponding</w:t>
      </w:r>
      <w:r>
        <w:t xml:space="preserve"> </w:t>
      </w:r>
      <w:r>
        <w:t xml:space="preserve">HR (95% CrI) was 0.89 (0.78, 1.02), favoring Rivaroxaban 5mg (ie, HR &lt; 1.0).</w:t>
      </w:r>
    </w:p>
    <w:bookmarkEnd w:id="22"/>
    <w:bookmarkStart w:id="23" w:name="posterior-probability-prob-1"/>
    <w:p>
      <w:pPr>
        <w:pStyle w:val="Heading3"/>
      </w:pPr>
      <w:r>
        <w:t xml:space="preserve">Posterior Probability (Prob) &lt; 1</w:t>
      </w:r>
    </w:p>
    <w:p>
      <w:pPr>
        <w:pStyle w:val="FirstParagraph"/>
      </w:pPr>
      <w:r>
        <w:t xml:space="preserve">Posterior probabilities (%) of hazard ratio &lt; 1.0 for the MACE or Bleeding outcomes.</w:t>
      </w:r>
      <w:r>
        <w:t xml:space="preserve"> </w:t>
      </w:r>
      <w:r>
        <w:t xml:space="preserve">Treatments are shown in the diagonal. Results to the right of this diagonal</w:t>
      </w:r>
      <w:r>
        <w:t xml:space="preserve"> </w:t>
      </w:r>
      <w:r>
        <w:t xml:space="preserve">(right upper half table) correspond to the MACE outcome. Results to the left</w:t>
      </w:r>
      <w:r>
        <w:t xml:space="preserve"> </w:t>
      </w:r>
      <w:r>
        <w:t xml:space="preserve">(left lower half table) correspond to the Bleeding outcome. Comparisons between</w:t>
      </w:r>
      <w:r>
        <w:t xml:space="preserve"> </w:t>
      </w:r>
      <w:r>
        <w:t xml:space="preserve">treatments should be read from left to right and the estimate is in the cell in</w:t>
      </w:r>
      <w:r>
        <w:t xml:space="preserve"> </w:t>
      </w:r>
      <w:r>
        <w:t xml:space="preserve">common between the column-defining treatment and the row-defining treatment.</w:t>
      </w:r>
      <w:r>
        <w:t xml:space="preserve"> </w:t>
      </w:r>
      <w:r>
        <w:t xml:space="preserve">For both outcomes, a hazard ratio &lt; 1.0 favors the column-defining treatment.</w:t>
      </w:r>
      <w:r>
        <w:t xml:space="preserve"> </w:t>
      </w:r>
      <w:r>
        <w:t xml:space="preserve">For example, in the Rivaroxaban 5mg vs. AAS comparison for MACE, there was a</w:t>
      </w:r>
      <w:r>
        <w:t xml:space="preserve"> </w:t>
      </w:r>
      <w:r>
        <w:t xml:space="preserve">posterior probability of 95.31% that the hazard ratio is below 1.0 (ie,</w:t>
      </w:r>
      <w:r>
        <w:t xml:space="preserve"> </w:t>
      </w:r>
      <w:r>
        <w:t xml:space="preserve">there was a 95.31% probability for Rivaroxaban 5mg superiority).</w:t>
      </w:r>
    </w:p>
    <w:bookmarkEnd w:id="23"/>
    <w:bookmarkStart w:id="24" w:name="prob-0.8"/>
    <w:p>
      <w:pPr>
        <w:pStyle w:val="Heading3"/>
      </w:pPr>
      <w:r>
        <w:t xml:space="preserve">Prob &lt; 0.8</w:t>
      </w:r>
    </w:p>
    <w:p>
      <w:pPr>
        <w:pStyle w:val="FirstParagraph"/>
      </w:pPr>
      <w:r>
        <w:t xml:space="preserve">Posterior probabilities (%) of hazard ratio &lt; 0.8 for the MACE or Bleeding outcomes.</w:t>
      </w:r>
      <w:r>
        <w:t xml:space="preserve"> </w:t>
      </w:r>
      <w:r>
        <w:t xml:space="preserve">Treatments are shown in the diagonal. Results to the right of this diagonal</w:t>
      </w:r>
      <w:r>
        <w:t xml:space="preserve"> </w:t>
      </w:r>
      <w:r>
        <w:t xml:space="preserve">(right upper half table) correspond to the MACE outcome. Results to the left</w:t>
      </w:r>
      <w:r>
        <w:t xml:space="preserve"> </w:t>
      </w:r>
      <w:r>
        <w:t xml:space="preserve">(left lower half table) correspond to the Bleeding outcome. Comparisons between</w:t>
      </w:r>
      <w:r>
        <w:t xml:space="preserve"> </w:t>
      </w:r>
      <w:r>
        <w:t xml:space="preserve">treatments should be read from left to right and the estimate is in the cell in</w:t>
      </w:r>
      <w:r>
        <w:t xml:space="preserve"> </w:t>
      </w:r>
      <w:r>
        <w:t xml:space="preserve">common between the column-defining treatment and the row-defining treatment.</w:t>
      </w:r>
      <w:r>
        <w:t xml:space="preserve"> </w:t>
      </w:r>
      <w:r>
        <w:t xml:space="preserve">For both outcomes, a hazard ratio &lt; 1.0 favors the column-defining treatment.</w:t>
      </w:r>
      <w:r>
        <w:t xml:space="preserve"> </w:t>
      </w:r>
      <w:r>
        <w:t xml:space="preserve">For example, in the Rivaroxaban 5mg vs. AAS comparison for MACE, there was a</w:t>
      </w:r>
      <w:r>
        <w:t xml:space="preserve"> </w:t>
      </w:r>
      <w:r>
        <w:t xml:space="preserve">posterior probability of 5.58% that the hazard ratio is below 0.8 (ie,</w:t>
      </w:r>
      <w:r>
        <w:t xml:space="preserve"> </w:t>
      </w:r>
      <w:r>
        <w:t xml:space="preserve">there was a 5.58% probability for Rivaroxaban 5mg superiority).</w:t>
      </w:r>
    </w:p>
    <w:bookmarkEnd w:id="24"/>
    <w:bookmarkStart w:id="25" w:name="prob-1.25"/>
    <w:p>
      <w:pPr>
        <w:pStyle w:val="Heading3"/>
      </w:pPr>
      <w:r>
        <w:t xml:space="preserve">Prob &gt; 1.25</w:t>
      </w:r>
    </w:p>
    <w:p>
      <w:pPr>
        <w:pStyle w:val="FirstParagraph"/>
      </w:pPr>
      <w:r>
        <w:t xml:space="preserve">Posterior probabilities (%) of hazard ratio &gt; 1.25 for the MACE or Bleeding outcomes.</w:t>
      </w:r>
      <w:r>
        <w:t xml:space="preserve"> </w:t>
      </w:r>
      <w:r>
        <w:t xml:space="preserve">Treatments are shown in the diagonal. Results to the right of this diagonal</w:t>
      </w:r>
      <w:r>
        <w:t xml:space="preserve"> </w:t>
      </w:r>
      <w:r>
        <w:t xml:space="preserve">(right upper half table) correspond to the MACE outcome. Results to the left</w:t>
      </w:r>
      <w:r>
        <w:t xml:space="preserve"> </w:t>
      </w:r>
      <w:r>
        <w:t xml:space="preserve">(left lower half table) correspond to the Bleeding outcome. Comparisons between</w:t>
      </w:r>
      <w:r>
        <w:t xml:space="preserve"> </w:t>
      </w:r>
      <w:r>
        <w:t xml:space="preserve">treatments should be read from left to right and the estimate is in the cell in</w:t>
      </w:r>
      <w:r>
        <w:t xml:space="preserve"> </w:t>
      </w:r>
      <w:r>
        <w:t xml:space="preserve">common between the column-defining treatment and the row-defining treatment.</w:t>
      </w:r>
      <w:r>
        <w:t xml:space="preserve"> </w:t>
      </w:r>
      <w:r>
        <w:t xml:space="preserve">For both outcomes, a hazard ratio &lt; 1.0 favors the column-defining treatment.</w:t>
      </w:r>
      <w:r>
        <w:t xml:space="preserve"> </w:t>
      </w:r>
      <w:r>
        <w:t xml:space="preserve">For example, in the Rivaroxaban 5mg vs. AAS comparison for MACE, there was a</w:t>
      </w:r>
      <w:r>
        <w:t xml:space="preserve"> </w:t>
      </w:r>
      <w:r>
        <w:t xml:space="preserve">posterior probability of 0.00% that the hazard ratio is above 1.25.</w:t>
      </w:r>
    </w:p>
    <w:bookmarkEnd w:id="25"/>
    <w:bookmarkStart w:id="26" w:name="prob-rope"/>
    <w:p>
      <w:pPr>
        <w:pStyle w:val="Heading3"/>
      </w:pPr>
      <w:r>
        <w:t xml:space="preserve">Prob ROPE</w:t>
      </w:r>
    </w:p>
    <w:p>
      <w:pPr>
        <w:pStyle w:val="FirstParagraph"/>
      </w:pPr>
      <w:r>
        <w:t xml:space="preserve">Posterior probabilities (%) of hazard ratio within the region of practical equivalence</w:t>
      </w:r>
      <w:r>
        <w:t xml:space="preserve"> </w:t>
      </w:r>
      <w:r>
        <w:t xml:space="preserve">(ROPE), ie, between 0.80 and 1.25, for the MACE or Bleeding outcomes.</w:t>
      </w:r>
      <w:r>
        <w:t xml:space="preserve"> </w:t>
      </w:r>
      <w:r>
        <w:t xml:space="preserve">Treatments are shown in the diagonal. Results to the right of this diagonal</w:t>
      </w:r>
      <w:r>
        <w:t xml:space="preserve"> </w:t>
      </w:r>
      <w:r>
        <w:t xml:space="preserve">(right upper half table) correspond to the MACE outcome. Results to the left</w:t>
      </w:r>
      <w:r>
        <w:t xml:space="preserve"> </w:t>
      </w:r>
      <w:r>
        <w:t xml:space="preserve">(left lower half table) correspond to the Bleeding outcome. Comparisons between</w:t>
      </w:r>
      <w:r>
        <w:t xml:space="preserve"> </w:t>
      </w:r>
      <w:r>
        <w:t xml:space="preserve">treatments should be read from left to right and the estimate is in the cell in</w:t>
      </w:r>
      <w:r>
        <w:t xml:space="preserve"> </w:t>
      </w:r>
      <w:r>
        <w:t xml:space="preserve">common between the column-defining treatment and the row-defining treatment.</w:t>
      </w:r>
      <w:r>
        <w:t xml:space="preserve"> </w:t>
      </w:r>
      <w:r>
        <w:t xml:space="preserve">For both outcomes, a hazard ratio &lt; 1.0 favors the column-defining treatment.</w:t>
      </w:r>
      <w:r>
        <w:t xml:space="preserve"> </w:t>
      </w:r>
      <w:r>
        <w:t xml:space="preserve">For example, in the Rivaroxaban 5mg vs. AAS comparison for MACE, there was a</w:t>
      </w:r>
      <w:r>
        <w:t xml:space="preserve"> </w:t>
      </w:r>
      <w:r>
        <w:t xml:space="preserve">posterior probability of 94.42% that the hazard ratio is within the ROPE.</w:t>
      </w:r>
    </w:p>
    <w:bookmarkEnd w:id="26"/>
    <w:bookmarkEnd w:id="27"/>
    <w:bookmarkStart w:id="29" w:name="ranks"/>
    <w:p>
      <w:pPr>
        <w:pStyle w:val="Heading2"/>
      </w:pPr>
      <w:r>
        <w:t xml:space="preserve">Ranks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3_supplementary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Marginal posterior distributions for the rank of each treatment. Left panel depicts</w:t>
      </w:r>
      <w:r>
        <w:t xml:space="preserve"> </w:t>
      </w:r>
      <w:r>
        <w:t xml:space="preserve">ranks for MACE, while right panel for the Bleeding outcome. In each panel,</w:t>
      </w:r>
      <w:r>
        <w:t xml:space="preserve"> </w:t>
      </w:r>
      <w:r>
        <w:t xml:space="preserve">there are a point estimate, interval bar, and bar plot for each treatment (Y-axis).</w:t>
      </w:r>
      <w:r>
        <w:t xml:space="preserve"> </w:t>
      </w:r>
      <w:r>
        <w:t xml:space="preserve">The point estimate represents the median rank. The interval bar shows the 95%</w:t>
      </w:r>
      <w:r>
        <w:t xml:space="preserve"> </w:t>
      </w:r>
      <w:r>
        <w:t xml:space="preserve">credible (quantile) interval of the underlying marginal posterior distribution.</w:t>
      </w:r>
      <w:r>
        <w:t xml:space="preserve"> </w:t>
      </w:r>
      <w:r>
        <w:t xml:space="preserve">Lastly, the bar plot shows the cumulative distribution function (CDF).</w:t>
      </w:r>
    </w:p>
    <w:bookmarkEnd w:id="29"/>
    <w:bookmarkEnd w:id="30"/>
    <w:bookmarkStart w:id="44" w:name="X68654946c522f7d4a1290651c10fce4fe689710"/>
    <w:p>
      <w:pPr>
        <w:pStyle w:val="Heading1"/>
      </w:pPr>
      <w:r>
        <w:t xml:space="preserve">Separate Doses Ticagrelor Networks: MACE and Bleeding</w:t>
      </w:r>
    </w:p>
    <w:bookmarkStart w:id="31" w:name="network-pending"/>
    <w:p>
      <w:pPr>
        <w:pStyle w:val="Heading2"/>
      </w:pPr>
      <w:r>
        <w:t xml:space="preserve">Network (pending)</w:t>
      </w:r>
    </w:p>
    <w:p>
      <w:pPr>
        <w:pStyle w:val="FirstParagraph"/>
      </w:pPr>
      <w:r>
        <w:t xml:space="preserve">placeholder</w:t>
      </w:r>
    </w:p>
    <w:bookmarkEnd w:id="31"/>
    <w:bookmarkStart w:id="33" w:name="forest"/>
    <w:p>
      <w:pPr>
        <w:pStyle w:val="Heading2"/>
      </w:pPr>
      <w:r>
        <w:t xml:space="preserve">Forest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arthur/Coding/projects/active/ARICOCAD_nma/output/plots/supplementary/forest_not_pooled_prima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Treatment effects compared to AAS on MACE and Bleeding outcomes, ordered according</w:t>
      </w:r>
      <w:r>
        <w:t xml:space="preserve"> </w:t>
      </w:r>
      <w:r>
        <w:t xml:space="preserve">to underlying SUCRA values. HR below 1.0 favors the experimental treatment.</w:t>
      </w:r>
      <w:r>
        <w:t xml:space="preserve"> </w:t>
      </w:r>
      <w:r>
        <w:t xml:space="preserve">On the left, treatment names are depicted. In the middle,</w:t>
      </w:r>
      <w:r>
        <w:t xml:space="preserve"> </w:t>
      </w:r>
      <w:r>
        <w:t xml:space="preserve">forest plot shows each treatment effect median and 95% credible intervals. Gray</w:t>
      </w:r>
      <w:r>
        <w:t xml:space="preserve"> </w:t>
      </w:r>
      <w:r>
        <w:t xml:space="preserve">area corresponds to the ROPE (from 0.8 to 1.25 HR). On the right, exact effect</w:t>
      </w:r>
      <w:r>
        <w:t xml:space="preserve"> </w:t>
      </w:r>
      <w:r>
        <w:t xml:space="preserve">sizes along with posterior probabilities are shown.</w:t>
      </w:r>
    </w:p>
    <w:p>
      <w:pPr>
        <w:pStyle w:val="BodyText"/>
      </w:pPr>
      <w:r>
        <w:t xml:space="preserve">Abbreviations: ROPE, region of practical equivalence; HR, hazard ratio.</w:t>
      </w:r>
    </w:p>
    <w:bookmarkEnd w:id="33"/>
    <w:bookmarkStart w:id="39" w:name="league-tables-1"/>
    <w:p>
      <w:pPr>
        <w:pStyle w:val="Heading2"/>
      </w:pPr>
      <w:r>
        <w:t xml:space="preserve">League tables</w:t>
      </w:r>
    </w:p>
    <w:bookmarkStart w:id="34" w:name="credible-intervals-1"/>
    <w:p>
      <w:pPr>
        <w:pStyle w:val="Heading3"/>
      </w:pPr>
      <w:r>
        <w:t xml:space="preserve">Credible Intervals</w:t>
      </w:r>
    </w:p>
    <w:p>
      <w:pPr>
        <w:pStyle w:val="FirstParagraph"/>
      </w:pPr>
      <w:r>
        <w:t xml:space="preserve">Hazard ratios (95% credible interval) for the MACE or Bleeding outcomes.</w:t>
      </w:r>
      <w:r>
        <w:t xml:space="preserve"> </w:t>
      </w:r>
      <w:r>
        <w:t xml:space="preserve">Treatments are shown in the diagonal. Results to the right of this diagonal</w:t>
      </w:r>
      <w:r>
        <w:t xml:space="preserve"> </w:t>
      </w:r>
      <w:r>
        <w:t xml:space="preserve">(right upper half table) correspond to the MACE outcome. Results to the left</w:t>
      </w:r>
      <w:r>
        <w:t xml:space="preserve"> </w:t>
      </w:r>
      <w:r>
        <w:t xml:space="preserve">(left lower half table) correspond to the Bleeding outcome. Comparisons between</w:t>
      </w:r>
      <w:r>
        <w:t xml:space="preserve"> </w:t>
      </w:r>
      <w:r>
        <w:t xml:space="preserve">treatments should be read from left to right and the estimate is in the cell in</w:t>
      </w:r>
      <w:r>
        <w:t xml:space="preserve"> </w:t>
      </w:r>
      <w:r>
        <w:t xml:space="preserve">common between the column-defining treatment and the row-defining treatment.</w:t>
      </w:r>
      <w:r>
        <w:t xml:space="preserve"> </w:t>
      </w:r>
      <w:r>
        <w:t xml:space="preserve">For both outcomes, a hazard ratio &lt; 1.0 favors the column-defining treatment.</w:t>
      </w:r>
      <w:r>
        <w:t xml:space="preserve"> </w:t>
      </w:r>
      <w:r>
        <w:t xml:space="preserve">For example, in the Rivaroxaban 5mg vs. AAS comparison for MACE, the corresponding</w:t>
      </w:r>
      <w:r>
        <w:t xml:space="preserve"> </w:t>
      </w:r>
      <w:r>
        <w:t xml:space="preserve">HR (95% CrI) was 0.89 (0.78, 1.01), favoring Rivaroxaban 5mg (ie, HR &lt; 1.0).</w:t>
      </w:r>
    </w:p>
    <w:bookmarkEnd w:id="34"/>
    <w:bookmarkStart w:id="35" w:name="prob-1"/>
    <w:p>
      <w:pPr>
        <w:pStyle w:val="Heading3"/>
      </w:pPr>
      <w:r>
        <w:t xml:space="preserve">Prob &lt; 1</w:t>
      </w:r>
    </w:p>
    <w:p>
      <w:pPr>
        <w:pStyle w:val="FirstParagraph"/>
      </w:pPr>
      <w:r>
        <w:t xml:space="preserve">Hazard ratios (95% credible interval) for the MACE or Bleeding outcomes.</w:t>
      </w:r>
      <w:r>
        <w:t xml:space="preserve"> </w:t>
      </w:r>
      <w:r>
        <w:t xml:space="preserve">Treatments are shown in the diagonal. Results to the right of this diagonal</w:t>
      </w:r>
      <w:r>
        <w:t xml:space="preserve"> </w:t>
      </w:r>
      <w:r>
        <w:t xml:space="preserve">(right upper half table) correspond to the MACE outcome. Results to the left</w:t>
      </w:r>
      <w:r>
        <w:t xml:space="preserve"> </w:t>
      </w:r>
      <w:r>
        <w:t xml:space="preserve">(left lower half table) correspond to the Bleeding outcome. Comparisons between</w:t>
      </w:r>
      <w:r>
        <w:t xml:space="preserve"> </w:t>
      </w:r>
      <w:r>
        <w:t xml:space="preserve">treatments should be read from left to right and the estimate is in the cell in</w:t>
      </w:r>
      <w:r>
        <w:t xml:space="preserve"> </w:t>
      </w:r>
      <w:r>
        <w:t xml:space="preserve">common between the column-defining treatment and the row-defining treatment.</w:t>
      </w:r>
      <w:r>
        <w:t xml:space="preserve"> </w:t>
      </w:r>
      <w:r>
        <w:t xml:space="preserve">For both outcomes, a hazard ratio &lt; 1.0 favors the column-defining treatment.</w:t>
      </w:r>
      <w:r>
        <w:t xml:space="preserve"> </w:t>
      </w:r>
      <w:r>
        <w:t xml:space="preserve">For example, in the Rivaroxaban 5mg vs. AAS comparison for MACE, the corresponding</w:t>
      </w:r>
      <w:r>
        <w:t xml:space="preserve"> </w:t>
      </w:r>
      <w:r>
        <w:t xml:space="preserve">HR (95% CrI) was 95.41, favoring Rivaroxaban 5mg (ie, HR &lt; 1.0).</w:t>
      </w:r>
    </w:p>
    <w:bookmarkEnd w:id="35"/>
    <w:bookmarkStart w:id="36" w:name="prob-0.8-1"/>
    <w:p>
      <w:pPr>
        <w:pStyle w:val="Heading3"/>
      </w:pPr>
      <w:r>
        <w:t xml:space="preserve">Prob &lt; 0.8</w:t>
      </w:r>
    </w:p>
    <w:p>
      <w:pPr>
        <w:pStyle w:val="FirstParagraph"/>
      </w:pPr>
      <w:r>
        <w:t xml:space="preserve">Posterior probabilities (%) of hazard ratio &lt; 0.8 for the MACE or Bleeding outcomes.</w:t>
      </w:r>
      <w:r>
        <w:t xml:space="preserve"> </w:t>
      </w:r>
      <w:r>
        <w:t xml:space="preserve">Treatments are shown in the diagonal. Results to the right of this diagonal</w:t>
      </w:r>
      <w:r>
        <w:t xml:space="preserve"> </w:t>
      </w:r>
      <w:r>
        <w:t xml:space="preserve">(right upper half table) correspond to the MACE outcome. Results to the left</w:t>
      </w:r>
      <w:r>
        <w:t xml:space="preserve"> </w:t>
      </w:r>
      <w:r>
        <w:t xml:space="preserve">(left lower half table) correspond to the Bleeding outcome. Comparisons between</w:t>
      </w:r>
      <w:r>
        <w:t xml:space="preserve"> </w:t>
      </w:r>
      <w:r>
        <w:t xml:space="preserve">treatments should be read from left to right and the estimate is in the cell in</w:t>
      </w:r>
      <w:r>
        <w:t xml:space="preserve"> </w:t>
      </w:r>
      <w:r>
        <w:t xml:space="preserve">common between the column-defining treatment and the row-defining treatment.</w:t>
      </w:r>
      <w:r>
        <w:t xml:space="preserve"> </w:t>
      </w:r>
      <w:r>
        <w:t xml:space="preserve">For both outcomes, a hazard ratio &lt; 1.0 favors the column-defining treatment.</w:t>
      </w:r>
      <w:r>
        <w:t xml:space="preserve"> </w:t>
      </w:r>
      <w:r>
        <w:t xml:space="preserve">For example, in the Rivaroxaban 5mg vs. AAS comparison for MACE, there was a</w:t>
      </w:r>
      <w:r>
        <w:t xml:space="preserve"> </w:t>
      </w:r>
      <w:r>
        <w:t xml:space="preserve">posterior probability of 5.53% that the hazard ratio is below 0.8 (ie,</w:t>
      </w:r>
      <w:r>
        <w:t xml:space="preserve"> </w:t>
      </w:r>
      <w:r>
        <w:t xml:space="preserve">there was a 5.53% probability for Rivaroxaban 5mg superiority).</w:t>
      </w:r>
    </w:p>
    <w:bookmarkEnd w:id="36"/>
    <w:bookmarkStart w:id="37" w:name="prob-1.25-1"/>
    <w:p>
      <w:pPr>
        <w:pStyle w:val="Heading3"/>
      </w:pPr>
      <w:r>
        <w:t xml:space="preserve">Prob &gt; 1.25</w:t>
      </w:r>
    </w:p>
    <w:p>
      <w:pPr>
        <w:pStyle w:val="FirstParagraph"/>
      </w:pPr>
      <w:r>
        <w:t xml:space="preserve">Posterior probabilities (%) of hazard ratio &lt; 0.8 for the MACE or Bleeding outcomes.</w:t>
      </w:r>
      <w:r>
        <w:t xml:space="preserve"> </w:t>
      </w:r>
      <w:r>
        <w:t xml:space="preserve">Treatments are shown in the diagonal. Results to the right of this diagonal</w:t>
      </w:r>
      <w:r>
        <w:t xml:space="preserve"> </w:t>
      </w:r>
      <w:r>
        <w:t xml:space="preserve">(right upper half table) correspond to the MACE outcome. Results to the left</w:t>
      </w:r>
      <w:r>
        <w:t xml:space="preserve"> </w:t>
      </w:r>
      <w:r>
        <w:t xml:space="preserve">(left lower half table) correspond to the Bleeding outcome. Comparisons between</w:t>
      </w:r>
      <w:r>
        <w:t xml:space="preserve"> </w:t>
      </w:r>
      <w:r>
        <w:t xml:space="preserve">treatments should be read from left to right and the estimate is in the cell in</w:t>
      </w:r>
      <w:r>
        <w:t xml:space="preserve"> </w:t>
      </w:r>
      <w:r>
        <w:t xml:space="preserve">common between the column-defining treatment and the row-defining treatment.</w:t>
      </w:r>
      <w:r>
        <w:t xml:space="preserve"> </w:t>
      </w:r>
      <w:r>
        <w:t xml:space="preserve">For both outcomes, a hazard ratio &lt; 1.0 favors the column-defining treatment.</w:t>
      </w:r>
      <w:r>
        <w:t xml:space="preserve"> </w:t>
      </w:r>
      <w:r>
        <w:t xml:space="preserve">For example, in the Rivaroxaban 5mg vs. AAS comparison for MACE, there was a</w:t>
      </w:r>
      <w:r>
        <w:t xml:space="preserve"> </w:t>
      </w:r>
      <w:r>
        <w:t xml:space="preserve">posterior probability of 0.00% that the hazard ratio is below 0.8 (ie,</w:t>
      </w:r>
      <w:r>
        <w:t xml:space="preserve"> </w:t>
      </w:r>
      <w:r>
        <w:t xml:space="preserve">there was a 0.00% probability for Rivaroxaban 5mg superiority).</w:t>
      </w:r>
    </w:p>
    <w:bookmarkEnd w:id="37"/>
    <w:bookmarkStart w:id="38" w:name="prob-rope-1"/>
    <w:p>
      <w:pPr>
        <w:pStyle w:val="Heading3"/>
      </w:pPr>
      <w:r>
        <w:t xml:space="preserve">Prob ROPE</w:t>
      </w:r>
    </w:p>
    <w:p>
      <w:pPr>
        <w:pStyle w:val="FirstParagraph"/>
      </w:pPr>
      <w:r>
        <w:t xml:space="preserve">Posterior probabilities (%) of hazard ratio within the region of practical equivalence</w:t>
      </w:r>
      <w:r>
        <w:t xml:space="preserve"> </w:t>
      </w:r>
      <w:r>
        <w:t xml:space="preserve">(ROPE), ie, between 0.80 and 1.25, for the MACE or Bleeding outcomes.</w:t>
      </w:r>
      <w:r>
        <w:t xml:space="preserve"> </w:t>
      </w:r>
      <w:r>
        <w:t xml:space="preserve">Treatments are shown in the diagonal. Results to the right of this diagonal</w:t>
      </w:r>
      <w:r>
        <w:t xml:space="preserve"> </w:t>
      </w:r>
      <w:r>
        <w:t xml:space="preserve">(right upper half table) correspond to the MACE outcome. Results to the left</w:t>
      </w:r>
      <w:r>
        <w:t xml:space="preserve"> </w:t>
      </w:r>
      <w:r>
        <w:t xml:space="preserve">(left lower half table) correspond to the Bleeding outcome. Comparisons between</w:t>
      </w:r>
      <w:r>
        <w:t xml:space="preserve"> </w:t>
      </w:r>
      <w:r>
        <w:t xml:space="preserve">treatments should be read from left to right and the estimate is in the cell in</w:t>
      </w:r>
      <w:r>
        <w:t xml:space="preserve"> </w:t>
      </w:r>
      <w:r>
        <w:t xml:space="preserve">common between the column-defining treatment and the row-defining treatment.</w:t>
      </w:r>
      <w:r>
        <w:t xml:space="preserve"> </w:t>
      </w:r>
      <w:r>
        <w:t xml:space="preserve">For both outcomes, a hazard ratio &lt; 1.0 favors the column-defining treatment.</w:t>
      </w:r>
      <w:r>
        <w:t xml:space="preserve"> </w:t>
      </w:r>
      <w:r>
        <w:t xml:space="preserve">For example, in the Rivaroxaban 5mg vs. AAS comparison for MACE, there was a</w:t>
      </w:r>
      <w:r>
        <w:t xml:space="preserve"> </w:t>
      </w:r>
      <w:r>
        <w:t xml:space="preserve">posterior probability of 94.47% that the hazard ratio is within the ROPE.</w:t>
      </w:r>
    </w:p>
    <w:bookmarkEnd w:id="38"/>
    <w:bookmarkEnd w:id="39"/>
    <w:bookmarkStart w:id="41" w:name="ranks-sucra"/>
    <w:p>
      <w:pPr>
        <w:pStyle w:val="Heading2"/>
      </w:pPr>
      <w:r>
        <w:t xml:space="preserve">Ranks + SUCRA</w:t>
      </w:r>
    </w:p>
    <w:p>
      <w:pPr>
        <w:pStyle w:val="FirstParagraph"/>
      </w:pPr>
      <w:r>
        <w:drawing>
          <wp:inline>
            <wp:extent cx="5334000" cy="19396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3_supplementary_files/figure-docx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9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Panel A: Ranking probabilities for MACE (solid line) and Bleeding (dotted line)</w:t>
      </w:r>
      <w:r>
        <w:t xml:space="preserve"> </w:t>
      </w:r>
      <w:r>
        <w:t xml:space="preserve">outcomes for each treatment.</w:t>
      </w:r>
      <w:r>
        <w:t xml:space="preserve"> </w:t>
      </w:r>
      <w:r>
        <w:t xml:space="preserve">Panel B: Heatmap with corresponding SUCRA values. While each row corresponds to</w:t>
      </w:r>
      <w:r>
        <w:t xml:space="preserve"> </w:t>
      </w:r>
      <w:r>
        <w:t xml:space="preserve">a treatment, each column depicts one outcome.</w:t>
      </w:r>
    </w:p>
    <w:bookmarkEnd w:id="41"/>
    <w:bookmarkStart w:id="43" w:name="ranks-1"/>
    <w:p>
      <w:pPr>
        <w:pStyle w:val="Heading2"/>
      </w:pPr>
      <w:r>
        <w:t xml:space="preserve">Ranks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3_supplementary_files/figure-docx/unnamed-chunk-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Marginal posterior distributions for the rank of each treatment. Left panel depicts</w:t>
      </w:r>
      <w:r>
        <w:t xml:space="preserve"> </w:t>
      </w:r>
      <w:r>
        <w:t xml:space="preserve">ranks for MACE, while right panel for the Bleeding outcome. In each panel,</w:t>
      </w:r>
      <w:r>
        <w:t xml:space="preserve"> </w:t>
      </w:r>
      <w:r>
        <w:t xml:space="preserve">there are a point estimate, interval bar, and bar plot for each treatment (Y-axis).</w:t>
      </w:r>
      <w:r>
        <w:t xml:space="preserve"> </w:t>
      </w:r>
      <w:r>
        <w:t xml:space="preserve">The point estimate represents the median rank. The interval bar shows the 95%</w:t>
      </w:r>
      <w:r>
        <w:t xml:space="preserve"> </w:t>
      </w:r>
      <w:r>
        <w:t xml:space="preserve">credible interval of the underlying marginal posterior distribution. Lastly,</w:t>
      </w:r>
      <w:r>
        <w:t xml:space="preserve"> </w:t>
      </w:r>
      <w:r>
        <w:t xml:space="preserve">the bar plot shows the cumulative distribution function (CDF).</w:t>
      </w:r>
    </w:p>
    <w:bookmarkEnd w:id="43"/>
    <w:bookmarkEnd w:id="44"/>
    <w:bookmarkStart w:id="58" w:name="X3f1406ebe8c9ae679b5f2368977c3bd469a74a9"/>
    <w:p>
      <w:pPr>
        <w:pStyle w:val="Heading1"/>
      </w:pPr>
      <w:r>
        <w:t xml:space="preserve">Pooled Ticagrelor Networks: Secondary outcomes</w:t>
      </w:r>
    </w:p>
    <w:bookmarkStart w:id="45" w:name="networks-pending"/>
    <w:p>
      <w:pPr>
        <w:pStyle w:val="Heading2"/>
      </w:pPr>
      <w:r>
        <w:t xml:space="preserve">Networks (pending)</w:t>
      </w:r>
    </w:p>
    <w:p>
      <w:pPr>
        <w:pStyle w:val="FirstParagraph"/>
      </w:pPr>
      <w:r>
        <w:t xml:space="preserve">placeholder</w:t>
      </w:r>
    </w:p>
    <w:bookmarkEnd w:id="45"/>
    <w:bookmarkStart w:id="47" w:name="forest-1"/>
    <w:p>
      <w:pPr>
        <w:pStyle w:val="Heading2"/>
      </w:pPr>
      <w:r>
        <w:t xml:space="preserve">Forest</w:t>
      </w:r>
    </w:p>
    <w:p>
      <w:pPr>
        <w:pStyle w:val="FirstParagraph"/>
      </w:pPr>
      <w:r>
        <w:drawing>
          <wp:inline>
            <wp:extent cx="5334000" cy="4889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arthur/Coding/projects/active/ARICOCAD_nma/output/plots/supplementary/forest_secondary_outcom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Treatment effects compared to AAS on MACE and Bleeding outcomes, ordered according</w:t>
      </w:r>
      <w:r>
        <w:t xml:space="preserve"> </w:t>
      </w:r>
      <w:r>
        <w:t xml:space="preserve">to underlying SUCRA values. HR below 1.0 favors the experimental treatment.</w:t>
      </w:r>
      <w:r>
        <w:t xml:space="preserve"> </w:t>
      </w:r>
      <w:r>
        <w:t xml:space="preserve">On the left, treatment names are depicted. In the middle,</w:t>
      </w:r>
      <w:r>
        <w:t xml:space="preserve"> </w:t>
      </w:r>
      <w:r>
        <w:t xml:space="preserve">forest plot shows each treatment effect median and 95% credible intervals. Gray</w:t>
      </w:r>
      <w:r>
        <w:t xml:space="preserve"> </w:t>
      </w:r>
      <w:r>
        <w:t xml:space="preserve">area corresponds to the ROPE (from 0.8 to 1.25 HR). On the right, exact effect</w:t>
      </w:r>
      <w:r>
        <w:t xml:space="preserve"> </w:t>
      </w:r>
      <w:r>
        <w:t xml:space="preserve">sizes along with posterior probabilities are shown.</w:t>
      </w:r>
    </w:p>
    <w:p>
      <w:pPr>
        <w:pStyle w:val="BodyText"/>
      </w:pPr>
      <w:r>
        <w:t xml:space="preserve">Abbreviations: ROPE, region of practical equivalence; HR, hazard ratio.</w:t>
      </w:r>
    </w:p>
    <w:bookmarkEnd w:id="47"/>
    <w:bookmarkStart w:id="53" w:name="league-tables-2"/>
    <w:p>
      <w:pPr>
        <w:pStyle w:val="Heading2"/>
      </w:pPr>
      <w:r>
        <w:t xml:space="preserve">League Tables</w:t>
      </w:r>
    </w:p>
    <w:bookmarkStart w:id="48" w:name="credible-intervals-2"/>
    <w:p>
      <w:pPr>
        <w:pStyle w:val="Heading3"/>
      </w:pPr>
      <w:r>
        <w:t xml:space="preserve">Credible Intervals</w:t>
      </w:r>
    </w:p>
    <w:p>
      <w:pPr>
        <w:pStyle w:val="FirstParagraph"/>
      </w:pPr>
      <w:r>
        <w:t xml:space="preserve">Hazard ratios (95% credible interval) for the Acute Myocardial Infarction outcome.</w:t>
      </w:r>
      <w:r>
        <w:t xml:space="preserve"> </w:t>
      </w:r>
      <w:r>
        <w:t xml:space="preserve">Treatments are shown in the diagonal. Comparisons between</w:t>
      </w:r>
      <w:r>
        <w:t xml:space="preserve"> </w:t>
      </w:r>
      <w:r>
        <w:t xml:space="preserve">treatments should be read from left to right and the estimate is in the cell in</w:t>
      </w:r>
      <w:r>
        <w:t xml:space="preserve"> </w:t>
      </w:r>
      <w:r>
        <w:t xml:space="preserve">common between the column-defining treatment and the row-defining treatment.</w:t>
      </w:r>
      <w:r>
        <w:t xml:space="preserve"> </w:t>
      </w:r>
      <w:r>
        <w:t xml:space="preserve">A hazard ratio &lt; 1.0 favors the column-defining treatment.</w:t>
      </w:r>
      <w:r>
        <w:t xml:space="preserve"> </w:t>
      </w:r>
      <w:r>
        <w:t xml:space="preserve">For example, in the Rivaroxaban 5mg vs. AAS comparison, the corresponding</w:t>
      </w:r>
      <w:r>
        <w:t xml:space="preserve"> </w:t>
      </w:r>
      <w:r>
        <w:t xml:space="preserve">HR (95% CrI) was 0.90 (0.74, 1.10), favoring Rivaroxaban 5mg (ie, HR &lt; 1.0).</w:t>
      </w:r>
    </w:p>
    <w:p>
      <w:pPr>
        <w:pStyle w:val="BodyText"/>
      </w:pPr>
      <w:r>
        <w:t xml:space="preserve">Hazard ratios (95% credible interval) for the Ischemic Stroke outcome.</w:t>
      </w:r>
      <w:r>
        <w:t xml:space="preserve"> </w:t>
      </w:r>
      <w:r>
        <w:t xml:space="preserve">Treatments are shown in the diagonal. Comparisons between</w:t>
      </w:r>
      <w:r>
        <w:t xml:space="preserve"> </w:t>
      </w:r>
      <w:r>
        <w:t xml:space="preserve">treatments should be read from left to right and the estimate is in the cell in</w:t>
      </w:r>
      <w:r>
        <w:t xml:space="preserve"> </w:t>
      </w:r>
      <w:r>
        <w:t xml:space="preserve">common between the column-defining treatment and the row-defining treatment.</w:t>
      </w:r>
      <w:r>
        <w:t xml:space="preserve"> </w:t>
      </w:r>
      <w:r>
        <w:t xml:space="preserve">A hazard ratio &lt; 1.0 favors the column-defining treatment.</w:t>
      </w:r>
      <w:r>
        <w:t xml:space="preserve"> </w:t>
      </w:r>
      <w:r>
        <w:t xml:space="preserve">For example, in the Rivaroxaban 5mg vs. AAS comparison, the corresponding</w:t>
      </w:r>
      <w:r>
        <w:t xml:space="preserve"> </w:t>
      </w:r>
      <w:r>
        <w:t xml:space="preserve">HR (95% CrI) was 0.66 (0.50, 0.87), favoring Rivaroxaban 5mg (ie, HR &lt; 1.0).</w:t>
      </w:r>
    </w:p>
    <w:p>
      <w:pPr>
        <w:pStyle w:val="BodyText"/>
      </w:pPr>
      <w:r>
        <w:t xml:space="preserve">Hazard ratios (95% credible interval) for the All-cause or Cardiovascular</w:t>
      </w:r>
      <w:r>
        <w:t xml:space="preserve"> </w:t>
      </w:r>
      <w:r>
        <w:t xml:space="preserve">mortality outcomes. Treatments are shown in the diagonal. Results to the right</w:t>
      </w:r>
      <w:r>
        <w:t xml:space="preserve"> </w:t>
      </w:r>
      <w:r>
        <w:t xml:space="preserve">of this diagonal (right upper half table) correspond to the All-cause mortality</w:t>
      </w:r>
      <w:r>
        <w:t xml:space="preserve"> </w:t>
      </w:r>
      <w:r>
        <w:t xml:space="preserve">outcome. Results to the left (left lower half table) correspond to the</w:t>
      </w:r>
      <w:r>
        <w:t xml:space="preserve"> </w:t>
      </w:r>
      <w:r>
        <w:t xml:space="preserve">Cardiovascular mortality outcome. Comparisons between treatments should be read</w:t>
      </w:r>
      <w:r>
        <w:t xml:space="preserve"> </w:t>
      </w:r>
      <w:r>
        <w:t xml:space="preserve">from left to right and the estimate is in the cell in common between the</w:t>
      </w:r>
      <w:r>
        <w:t xml:space="preserve"> </w:t>
      </w:r>
      <w:r>
        <w:t xml:space="preserve">column-defining treatment and the row-defining treatment. For both outcomes, a</w:t>
      </w:r>
      <w:r>
        <w:t xml:space="preserve"> </w:t>
      </w:r>
      <w:r>
        <w:t xml:space="preserve">hazard ratio &lt; 1.0 favors the column-defining treatment. For example, in the</w:t>
      </w:r>
      <w:r>
        <w:t xml:space="preserve"> </w:t>
      </w:r>
      <w:r>
        <w:t xml:space="preserve">Rivaroxaban 5mg vs. AAS comparison for All-cause mortality, the corresponding</w:t>
      </w:r>
      <w:r>
        <w:t xml:space="preserve"> </w:t>
      </w:r>
      <w:r>
        <w:t xml:space="preserve">HR (95% CrI) was 0.93 (0.80, 1.09), favoring Rivaroxaban 5mg (ie, HR &lt; 1.0).</w:t>
      </w:r>
    </w:p>
    <w:bookmarkEnd w:id="48"/>
    <w:bookmarkStart w:id="49" w:name="prob-1-1"/>
    <w:p>
      <w:pPr>
        <w:pStyle w:val="Heading3"/>
      </w:pPr>
      <w:r>
        <w:t xml:space="preserve">Prob &lt; 1</w:t>
      </w:r>
    </w:p>
    <w:p>
      <w:pPr>
        <w:pStyle w:val="FirstParagraph"/>
      </w:pPr>
      <w:r>
        <w:t xml:space="preserve">Posterior probabilities (%) of hazard ratio &lt; 1.0 for the Acute Myocardial</w:t>
      </w:r>
      <w:r>
        <w:t xml:space="preserve"> </w:t>
      </w:r>
      <w:r>
        <w:t xml:space="preserve">Infarction outcome. Treatments are shown in the diagonal. Comparisons between</w:t>
      </w:r>
      <w:r>
        <w:t xml:space="preserve"> </w:t>
      </w:r>
      <w:r>
        <w:t xml:space="preserve">treatments should be read from left to right and the estimate is in the cell in</w:t>
      </w:r>
      <w:r>
        <w:t xml:space="preserve"> </w:t>
      </w:r>
      <w:r>
        <w:t xml:space="preserve">common between the column-defining treatment and the row-defining treatment.</w:t>
      </w:r>
      <w:r>
        <w:t xml:space="preserve"> </w:t>
      </w:r>
      <w:r>
        <w:t xml:space="preserve">A hazard ratio &lt; 1.0 favors the column-defining treatment.</w:t>
      </w:r>
      <w:r>
        <w:t xml:space="preserve"> </w:t>
      </w:r>
      <w:r>
        <w:t xml:space="preserve">For example, in the Rivaroxaban 5mg vs. AAS comparison, there was a</w:t>
      </w:r>
      <w:r>
        <w:t xml:space="preserve"> </w:t>
      </w:r>
      <w:r>
        <w:t xml:space="preserve">posterior probability of 84.41% that the hazard ratio is below 1.0 (ie,</w:t>
      </w:r>
      <w:r>
        <w:t xml:space="preserve"> </w:t>
      </w:r>
      <w:r>
        <w:t xml:space="preserve">there was a 84.41% probability for Rivaroxaban 5mg superiority).</w:t>
      </w:r>
    </w:p>
    <w:p>
      <w:pPr>
        <w:pStyle w:val="BodyText"/>
      </w:pPr>
      <w:r>
        <w:t xml:space="preserve">Posterior probabilities (%) of hazard ratio &lt; 1.0 for the Ischemic Stroke outcome.</w:t>
      </w:r>
      <w:r>
        <w:t xml:space="preserve"> </w:t>
      </w:r>
      <w:r>
        <w:t xml:space="preserve">Treatments are shown in the diagonal. Comparisons between</w:t>
      </w:r>
      <w:r>
        <w:t xml:space="preserve"> </w:t>
      </w:r>
      <w:r>
        <w:t xml:space="preserve">treatments should be read from left to right and the estimate is in the cell in</w:t>
      </w:r>
      <w:r>
        <w:t xml:space="preserve"> </w:t>
      </w:r>
      <w:r>
        <w:t xml:space="preserve">common between the column-defining treatment and the row-defining treatment.</w:t>
      </w:r>
      <w:r>
        <w:t xml:space="preserve"> </w:t>
      </w:r>
      <w:r>
        <w:t xml:space="preserve">A hazard ratio &lt; 1.0 favors the column-defining treatment.</w:t>
      </w:r>
      <w:r>
        <w:t xml:space="preserve"> </w:t>
      </w:r>
      <w:r>
        <w:t xml:space="preserve">For example, in the Rivaroxaban 5mg vs. AAS comparison, there was a</w:t>
      </w:r>
      <w:r>
        <w:t xml:space="preserve"> </w:t>
      </w:r>
      <w:r>
        <w:t xml:space="preserve">posterior probability of 99.78% that the hazard ratio is below 1.0 (ie,</w:t>
      </w:r>
      <w:r>
        <w:t xml:space="preserve"> </w:t>
      </w:r>
      <w:r>
        <w:t xml:space="preserve">there was a 99.78% probability for Rivaroxaban 5mg superiority).</w:t>
      </w:r>
    </w:p>
    <w:p>
      <w:pPr>
        <w:pStyle w:val="BodyText"/>
      </w:pPr>
      <w:r>
        <w:t xml:space="preserve">Posterior probabilities (%) of hazard ratio &lt; 1.0 for the All-cause or</w:t>
      </w:r>
      <w:r>
        <w:t xml:space="preserve"> </w:t>
      </w:r>
      <w:r>
        <w:t xml:space="preserve">Cardiovascular mortality outcomes.</w:t>
      </w:r>
      <w:r>
        <w:t xml:space="preserve"> </w:t>
      </w:r>
      <w:r>
        <w:t xml:space="preserve">Treatments are shown in the diagonal. Results to the right of this diagonal</w:t>
      </w:r>
      <w:r>
        <w:t xml:space="preserve"> </w:t>
      </w:r>
      <w:r>
        <w:t xml:space="preserve">(right upper half table) correspond to the All-cause mortality outcome. Results to the left</w:t>
      </w:r>
      <w:r>
        <w:t xml:space="preserve"> </w:t>
      </w:r>
      <w:r>
        <w:t xml:space="preserve">(left lower half table) correspond to the Cardiovascular mortality outcome.</w:t>
      </w:r>
      <w:r>
        <w:t xml:space="preserve"> </w:t>
      </w:r>
      <w:r>
        <w:t xml:space="preserve">Comparisons between treatments should be read from left to right and the estimate is in the cell in</w:t>
      </w:r>
      <w:r>
        <w:t xml:space="preserve"> </w:t>
      </w:r>
      <w:r>
        <w:t xml:space="preserve">common between the column-defining treatment and the row-defining treatment.</w:t>
      </w:r>
      <w:r>
        <w:t xml:space="preserve"> </w:t>
      </w:r>
      <w:r>
        <w:t xml:space="preserve">For both outcomes, a hazard ratio &lt; 1.0 favors the column-defining treatment.</w:t>
      </w:r>
      <w:r>
        <w:t xml:space="preserve"> </w:t>
      </w:r>
      <w:r>
        <w:t xml:space="preserve">For example, in the Rivaroxaban 5mg vs. AAS comparison for All-cause mortality,</w:t>
      </w:r>
      <w:r>
        <w:t xml:space="preserve"> </w:t>
      </w:r>
      <w:r>
        <w:t xml:space="preserve">there was a posterior probability of 81.00% that the hazard ratio is below</w:t>
      </w:r>
      <w:r>
        <w:t xml:space="preserve"> </w:t>
      </w:r>
      <w:r>
        <w:t xml:space="preserve">1.0 (ie, there was a 81.00% probability for Rivaroxaban 5mg superiority).</w:t>
      </w:r>
    </w:p>
    <w:bookmarkEnd w:id="49"/>
    <w:bookmarkStart w:id="50" w:name="prob-0.8-2"/>
    <w:p>
      <w:pPr>
        <w:pStyle w:val="Heading3"/>
      </w:pPr>
      <w:r>
        <w:t xml:space="preserve">Prob &lt; 0.8</w:t>
      </w:r>
    </w:p>
    <w:p>
      <w:pPr>
        <w:pStyle w:val="FirstParagraph"/>
      </w:pPr>
      <w:r>
        <w:t xml:space="preserve">Posterior probabilities (%) of hazard ratio &lt; 0.80 for the Acute Myocardial</w:t>
      </w:r>
      <w:r>
        <w:t xml:space="preserve"> </w:t>
      </w:r>
      <w:r>
        <w:t xml:space="preserve">Infarction outcome. Treatments are shown in the diagonal. Comparisons between</w:t>
      </w:r>
      <w:r>
        <w:t xml:space="preserve"> </w:t>
      </w:r>
      <w:r>
        <w:t xml:space="preserve">treatments should be read from left to right and the estimate is in the cell in</w:t>
      </w:r>
      <w:r>
        <w:t xml:space="preserve"> </w:t>
      </w:r>
      <w:r>
        <w:t xml:space="preserve">common between the column-defining treatment and the row-defining treatment.</w:t>
      </w:r>
      <w:r>
        <w:t xml:space="preserve"> </w:t>
      </w:r>
      <w:r>
        <w:t xml:space="preserve">A hazard ratio &lt; 1.0 favors the column-defining treatment.</w:t>
      </w:r>
      <w:r>
        <w:t xml:space="preserve"> </w:t>
      </w:r>
      <w:r>
        <w:t xml:space="preserve">For example, in the Rivaroxaban 5mg vs. AAS comparison, there was a</w:t>
      </w:r>
      <w:r>
        <w:t xml:space="preserve"> </w:t>
      </w:r>
      <w:r>
        <w:t xml:space="preserve">posterior probability of 11.95% that the hazard ratio is below 0.80.</w:t>
      </w:r>
    </w:p>
    <w:p>
      <w:pPr>
        <w:pStyle w:val="BodyText"/>
      </w:pPr>
      <w:r>
        <w:t xml:space="preserve">Posterior probabilities (%) of hazard ratio &lt; 0.80 for the Ischemic Stroke outcome.</w:t>
      </w:r>
      <w:r>
        <w:t xml:space="preserve"> </w:t>
      </w:r>
      <w:r>
        <w:t xml:space="preserve">Treatments are shown in the diagonal. Comparisons between</w:t>
      </w:r>
      <w:r>
        <w:t xml:space="preserve"> </w:t>
      </w:r>
      <w:r>
        <w:t xml:space="preserve">treatments should be read from left to right and the estimate is in the cell in</w:t>
      </w:r>
      <w:r>
        <w:t xml:space="preserve"> </w:t>
      </w:r>
      <w:r>
        <w:t xml:space="preserve">common between the column-defining treatment and the row-defining treatment.</w:t>
      </w:r>
      <w:r>
        <w:t xml:space="preserve"> </w:t>
      </w:r>
      <w:r>
        <w:t xml:space="preserve">A hazard ratio &lt; 1.0 favors the column-defining treatment.</w:t>
      </w:r>
      <w:r>
        <w:t xml:space="preserve"> </w:t>
      </w:r>
      <w:r>
        <w:t xml:space="preserve">For example, in the Rivaroxaban 5mg vs. AAS comparison, there was a</w:t>
      </w:r>
      <w:r>
        <w:t xml:space="preserve"> </w:t>
      </w:r>
      <w:r>
        <w:t xml:space="preserve">posterior probability of 90.46% that the hazard ratio is below 0.80.</w:t>
      </w:r>
    </w:p>
    <w:p>
      <w:pPr>
        <w:pStyle w:val="BodyText"/>
      </w:pPr>
      <w:r>
        <w:t xml:space="preserve">Posterior probabilities (%) of hazard ratio &lt; 0.80 for the All-cause or</w:t>
      </w:r>
      <w:r>
        <w:t xml:space="preserve"> </w:t>
      </w:r>
      <w:r>
        <w:t xml:space="preserve">Cardiovascular mortality outcomes.</w:t>
      </w:r>
      <w:r>
        <w:t xml:space="preserve"> </w:t>
      </w:r>
      <w:r>
        <w:t xml:space="preserve">Treatments are shown in the diagonal. Results to the right of this diagonal</w:t>
      </w:r>
      <w:r>
        <w:t xml:space="preserve"> </w:t>
      </w:r>
      <w:r>
        <w:t xml:space="preserve">(right upper half table) correspond to the All-cause mortality outcome. Results to the left</w:t>
      </w:r>
      <w:r>
        <w:t xml:space="preserve"> </w:t>
      </w:r>
      <w:r>
        <w:t xml:space="preserve">(left lower half table) correspond to the Cardiovascular mortality outcome.</w:t>
      </w:r>
      <w:r>
        <w:t xml:space="preserve"> </w:t>
      </w:r>
      <w:r>
        <w:t xml:space="preserve">Comparisons between treatments should be read from left to right and the estimate is in the cell in</w:t>
      </w:r>
      <w:r>
        <w:t xml:space="preserve"> </w:t>
      </w:r>
      <w:r>
        <w:t xml:space="preserve">common between the column-defining treatment and the row-defining treatment.</w:t>
      </w:r>
      <w:r>
        <w:t xml:space="preserve"> </w:t>
      </w:r>
      <w:r>
        <w:t xml:space="preserve">For both outcomes, a hazard ratio &lt; 1.0 favors the column-defining treatment.</w:t>
      </w:r>
      <w:r>
        <w:t xml:space="preserve"> </w:t>
      </w:r>
      <w:r>
        <w:t xml:space="preserve">For example, in the Rivaroxaban 5mg vs. AAS comparison for All-cause mortality,</w:t>
      </w:r>
      <w:r>
        <w:t xml:space="preserve"> </w:t>
      </w:r>
      <w:r>
        <w:t xml:space="preserve">there was a posterior probability of 2.84% that the hazard ratio is below</w:t>
      </w:r>
      <w:r>
        <w:t xml:space="preserve"> </w:t>
      </w:r>
      <w:r>
        <w:t xml:space="preserve">0.80.</w:t>
      </w:r>
    </w:p>
    <w:bookmarkEnd w:id="50"/>
    <w:bookmarkStart w:id="51" w:name="prob-1.25-2"/>
    <w:p>
      <w:pPr>
        <w:pStyle w:val="Heading3"/>
      </w:pPr>
      <w:r>
        <w:t xml:space="preserve">Prob &gt; 1.25</w:t>
      </w:r>
    </w:p>
    <w:p>
      <w:pPr>
        <w:pStyle w:val="FirstParagraph"/>
      </w:pPr>
      <w:r>
        <w:t xml:space="preserve">Posterior probabilities (%) of hazard ratio &gt; 1.25 for the Acute Myocardial</w:t>
      </w:r>
      <w:r>
        <w:t xml:space="preserve"> </w:t>
      </w:r>
      <w:r>
        <w:t xml:space="preserve">Infarction outcome. Treatments are shown in the diagonal. Comparisons between</w:t>
      </w:r>
      <w:r>
        <w:t xml:space="preserve"> </w:t>
      </w:r>
      <w:r>
        <w:t xml:space="preserve">treatments should be read from left to right and the estimate is in the cell in</w:t>
      </w:r>
      <w:r>
        <w:t xml:space="preserve"> </w:t>
      </w:r>
      <w:r>
        <w:t xml:space="preserve">common between the column-defining treatment and the row-defining treatment.</w:t>
      </w:r>
      <w:r>
        <w:t xml:space="preserve"> </w:t>
      </w:r>
      <w:r>
        <w:t xml:space="preserve">For both outcomes, a hazard ratio &lt; 1.0 favors the column-defining treatment.</w:t>
      </w:r>
      <w:r>
        <w:t xml:space="preserve"> </w:t>
      </w:r>
      <w:r>
        <w:t xml:space="preserve">For example, in the Rivaroxaban 5mg vs. AAS comparison, there was a</w:t>
      </w:r>
      <w:r>
        <w:t xml:space="preserve"> </w:t>
      </w:r>
      <w:r>
        <w:t xml:space="preserve">posterior probability of 0.06% that the hazard ratio is above 1.25.</w:t>
      </w:r>
    </w:p>
    <w:p>
      <w:pPr>
        <w:pStyle w:val="BodyText"/>
      </w:pPr>
      <w:r>
        <w:t xml:space="preserve">Posterior probabilities (%) of hazard ratio &gt; 1.25 for the Ischemic Stroke outcome.</w:t>
      </w:r>
      <w:r>
        <w:t xml:space="preserve"> </w:t>
      </w:r>
      <w:r>
        <w:t xml:space="preserve">Treatments are shown in the diagonal. Comparisons between</w:t>
      </w:r>
      <w:r>
        <w:t xml:space="preserve"> </w:t>
      </w:r>
      <w:r>
        <w:t xml:space="preserve">treatments should be read from left to right and the estimate is in the cell in</w:t>
      </w:r>
      <w:r>
        <w:t xml:space="preserve"> </w:t>
      </w:r>
      <w:r>
        <w:t xml:space="preserve">common between the column-defining treatment and the row-defining treatment.</w:t>
      </w:r>
      <w:r>
        <w:t xml:space="preserve"> </w:t>
      </w:r>
      <w:r>
        <w:t xml:space="preserve">For both outcomes, a hazard ratio &lt; 1.0 favors the column-defining treatment.</w:t>
      </w:r>
      <w:r>
        <w:t xml:space="preserve"> </w:t>
      </w:r>
      <w:r>
        <w:t xml:space="preserve">For example, in the Rivaroxaban 5mg vs. AAS comparison, there was a</w:t>
      </w:r>
      <w:r>
        <w:t xml:space="preserve"> </w:t>
      </w:r>
      <w:r>
        <w:t xml:space="preserve">posterior probability of 0.00% that the hazard ratio is above 1.25.</w:t>
      </w:r>
    </w:p>
    <w:p>
      <w:pPr>
        <w:pStyle w:val="BodyText"/>
      </w:pPr>
      <w:r>
        <w:t xml:space="preserve">Posterior probabilities (%) of hazard ratio &gt; 1.25 for the All-cause or</w:t>
      </w:r>
      <w:r>
        <w:t xml:space="preserve"> </w:t>
      </w:r>
      <w:r>
        <w:t xml:space="preserve">Cardiovascular mortality outcomes. Treatments are shown in the diagonal.</w:t>
      </w:r>
      <w:r>
        <w:t xml:space="preserve"> </w:t>
      </w:r>
      <w:r>
        <w:t xml:space="preserve">Results to the right of this diagonal (right upper half table) correspond to</w:t>
      </w:r>
      <w:r>
        <w:t xml:space="preserve"> </w:t>
      </w:r>
      <w:r>
        <w:t xml:space="preserve">the All-cause mortality outcome. Results to the left (left lower half table)</w:t>
      </w:r>
      <w:r>
        <w:t xml:space="preserve"> </w:t>
      </w:r>
      <w:r>
        <w:t xml:space="preserve">correspond to the Cardiovascular mortality outcome. Comparisons between</w:t>
      </w:r>
      <w:r>
        <w:t xml:space="preserve"> </w:t>
      </w:r>
      <w:r>
        <w:t xml:space="preserve">treatments should be read from left to right and the estimate is in the cell in</w:t>
      </w:r>
      <w:r>
        <w:t xml:space="preserve"> </w:t>
      </w:r>
      <w:r>
        <w:t xml:space="preserve">common between the column-defining treatment and the row-defining treatment.</w:t>
      </w:r>
      <w:r>
        <w:t xml:space="preserve"> </w:t>
      </w:r>
      <w:r>
        <w:t xml:space="preserve">For both outcomes, a hazard ratio &lt; 1.0 favors the column-defining treatment.</w:t>
      </w:r>
      <w:r>
        <w:t xml:space="preserve"> </w:t>
      </w:r>
      <w:r>
        <w:t xml:space="preserve">For example, in the Rivaroxaban 5mg vs. AAS comparison for MACE, there was a</w:t>
      </w:r>
      <w:r>
        <w:t xml:space="preserve"> </w:t>
      </w:r>
      <w:r>
        <w:t xml:space="preserve">posterior probability of 0.00% that the hazard ratio is above 1.25.</w:t>
      </w:r>
    </w:p>
    <w:bookmarkEnd w:id="51"/>
    <w:bookmarkStart w:id="52" w:name="prob-rope-2"/>
    <w:p>
      <w:pPr>
        <w:pStyle w:val="Heading3"/>
      </w:pPr>
      <w:r>
        <w:t xml:space="preserve">Prob ROPE</w:t>
      </w:r>
    </w:p>
    <w:p>
      <w:pPr>
        <w:pStyle w:val="FirstParagraph"/>
      </w:pPr>
      <w:r>
        <w:t xml:space="preserve">Posterior probabilities (%) of hazard ratio within the region of practical equivalence</w:t>
      </w:r>
      <w:r>
        <w:t xml:space="preserve"> </w:t>
      </w:r>
      <w:r>
        <w:t xml:space="preserve">(ROPE), ie, between 0.80 and 1.25, for the Acute Myocardial Infarction outcome.</w:t>
      </w:r>
      <w:r>
        <w:t xml:space="preserve"> </w:t>
      </w:r>
      <w:r>
        <w:t xml:space="preserve">Treatments are shown in the diagonal. Comparisons between</w:t>
      </w:r>
      <w:r>
        <w:t xml:space="preserve"> </w:t>
      </w:r>
      <w:r>
        <w:t xml:space="preserve">treatments should be read from left to right and the estimate is in the cell in</w:t>
      </w:r>
      <w:r>
        <w:t xml:space="preserve"> </w:t>
      </w:r>
      <w:r>
        <w:t xml:space="preserve">common between the column-defining treatment and the row-defining treatment.</w:t>
      </w:r>
      <w:r>
        <w:t xml:space="preserve"> </w:t>
      </w:r>
      <w:r>
        <w:t xml:space="preserve">For both outcomes, a hazard ratio &lt; 1.0 favors the column-defining treatment.</w:t>
      </w:r>
      <w:r>
        <w:t xml:space="preserve"> </w:t>
      </w:r>
      <w:r>
        <w:t xml:space="preserve">For example, in the Rivaroxaban 5mg vs. AAS comparison, there was a</w:t>
      </w:r>
      <w:r>
        <w:t xml:space="preserve"> </w:t>
      </w:r>
      <w:r>
        <w:t xml:space="preserve">posterior probability of 87.99% that the hazard ratio is within the ROPE.</w:t>
      </w:r>
    </w:p>
    <w:p>
      <w:pPr>
        <w:pStyle w:val="BodyText"/>
      </w:pPr>
      <w:r>
        <w:t xml:space="preserve">Posterior probabilities (%) of hazard ratio within the region of practical equivalence</w:t>
      </w:r>
      <w:r>
        <w:t xml:space="preserve"> </w:t>
      </w:r>
      <w:r>
        <w:t xml:space="preserve">(ROPE), ie, between 0.80 and 1.25, for the Ischemic Stroke outcome.</w:t>
      </w:r>
      <w:r>
        <w:t xml:space="preserve"> </w:t>
      </w:r>
      <w:r>
        <w:t xml:space="preserve">Treatments are shown in the diagonal. Comparisons between</w:t>
      </w:r>
      <w:r>
        <w:t xml:space="preserve"> </w:t>
      </w:r>
      <w:r>
        <w:t xml:space="preserve">treatments should be read from left to right and the estimate is in the cell in</w:t>
      </w:r>
      <w:r>
        <w:t xml:space="preserve"> </w:t>
      </w:r>
      <w:r>
        <w:t xml:space="preserve">common between the column-defining treatment and the row-defining treatment.</w:t>
      </w:r>
      <w:r>
        <w:t xml:space="preserve"> </w:t>
      </w:r>
      <w:r>
        <w:t xml:space="preserve">For both outcomes, a hazard ratio &lt; 1.0 favors the column-defining treatment.</w:t>
      </w:r>
      <w:r>
        <w:t xml:space="preserve"> </w:t>
      </w:r>
      <w:r>
        <w:t xml:space="preserve">For example, in the Rivaroxaban 5mg vs. AAS comparison, there was a</w:t>
      </w:r>
      <w:r>
        <w:t xml:space="preserve"> </w:t>
      </w:r>
      <w:r>
        <w:t xml:space="preserve">posterior probability of 9.54% that the hazard ratio is within the ROPE.</w:t>
      </w:r>
    </w:p>
    <w:p>
      <w:pPr>
        <w:pStyle w:val="BodyText"/>
      </w:pPr>
      <w:r>
        <w:t xml:space="preserve">Posterior probabilities (%) of hazard ratio within the region of practical</w:t>
      </w:r>
      <w:r>
        <w:t xml:space="preserve"> </w:t>
      </w:r>
      <w:r>
        <w:t xml:space="preserve">equivalence (ROPE), ie, between 0.80 and 1.25, for the All-cause or</w:t>
      </w:r>
      <w:r>
        <w:t xml:space="preserve"> </w:t>
      </w:r>
      <w:r>
        <w:t xml:space="preserve">Cardiovascular mortality outcomes. Treatments are shown in the diagonal. Results</w:t>
      </w:r>
      <w:r>
        <w:t xml:space="preserve"> </w:t>
      </w:r>
      <w:r>
        <w:t xml:space="preserve">to the right of this diagonal (right upper half table) correspond to the</w:t>
      </w:r>
      <w:r>
        <w:t xml:space="preserve"> </w:t>
      </w:r>
      <w:r>
        <w:t xml:space="preserve">All-cause mortality outcome. Results to the left (left lower half table)</w:t>
      </w:r>
      <w:r>
        <w:t xml:space="preserve"> </w:t>
      </w:r>
      <w:r>
        <w:t xml:space="preserve">correspond to the Cardiovascular mortality outcome. Comparisons between</w:t>
      </w:r>
      <w:r>
        <w:t xml:space="preserve"> </w:t>
      </w:r>
      <w:r>
        <w:t xml:space="preserve">treatments should be read from left to right and the estimate is in the cell in</w:t>
      </w:r>
      <w:r>
        <w:t xml:space="preserve"> </w:t>
      </w:r>
      <w:r>
        <w:t xml:space="preserve">common between the column-defining treatment and the row-defining treatment.</w:t>
      </w:r>
      <w:r>
        <w:t xml:space="preserve"> </w:t>
      </w:r>
      <w:r>
        <w:t xml:space="preserve">For both outcomes, a hazard ratio &lt; 1.0 favors the column-defining treatment.</w:t>
      </w:r>
      <w:r>
        <w:t xml:space="preserve"> </w:t>
      </w:r>
      <w:r>
        <w:t xml:space="preserve">For example, in the Rivaroxaban 5mg vs. AAS comparison for All-cause mortality,</w:t>
      </w:r>
      <w:r>
        <w:t xml:space="preserve"> </w:t>
      </w:r>
      <w:r>
        <w:t xml:space="preserve">there was a posterior probability of 97.16% that the hazard ratio is</w:t>
      </w:r>
      <w:r>
        <w:t xml:space="preserve"> </w:t>
      </w:r>
      <w:r>
        <w:t xml:space="preserve">within the ROPE.</w:t>
      </w:r>
    </w:p>
    <w:bookmarkEnd w:id="52"/>
    <w:bookmarkEnd w:id="53"/>
    <w:bookmarkStart w:id="55" w:name="ranks-sucra-1"/>
    <w:p>
      <w:pPr>
        <w:pStyle w:val="Heading2"/>
      </w:pPr>
      <w:r>
        <w:t xml:space="preserve">Ranks + SUCRA</w:t>
      </w:r>
    </w:p>
    <w:p>
      <w:pPr>
        <w:pStyle w:val="FirstParagraph"/>
      </w:pPr>
      <w:r>
        <w:drawing>
          <wp:inline>
            <wp:extent cx="5334000" cy="177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3_supplementary_files/figure-docx/unnamed-chunk-4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Panel A: Ranking probabilities for Acute Myocardical Infarction (AMI),</w:t>
      </w:r>
      <w:r>
        <w:t xml:space="preserve"> </w:t>
      </w:r>
      <w:r>
        <w:t xml:space="preserve">Stroke, All-cause and Cardiovascular Mortality outcomes for each treatment. There</w:t>
      </w:r>
      <w:r>
        <w:t xml:space="preserve"> </w:t>
      </w:r>
      <w:r>
        <w:t xml:space="preserve">are only AMI rankings for</w:t>
      </w:r>
      <w:r>
        <w:t xml:space="preserve"> </w:t>
      </w:r>
      <w:r>
        <w:t xml:space="preserve">“</w:t>
      </w:r>
      <w:r>
        <w:t xml:space="preserve">AAS + Prasugrel 10mg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AAS + Clopidogrel 75mg</w:t>
      </w:r>
      <w:r>
        <w:t xml:space="preserve">”</w:t>
      </w:r>
      <w:r>
        <w:t xml:space="preserve"> </w:t>
      </w:r>
      <w:r>
        <w:t xml:space="preserve">because there was no data available for other outcomes in corresponding studies.</w:t>
      </w:r>
      <w:r>
        <w:t xml:space="preserve"> </w:t>
      </w:r>
      <w:r>
        <w:t xml:space="preserve">Panel B: Heatmap with corresponding SUCRA values. While each row corresponds to</w:t>
      </w:r>
      <w:r>
        <w:t xml:space="preserve"> </w:t>
      </w:r>
      <w:r>
        <w:t xml:space="preserve">a treatment, each column depicts one outcome.</w:t>
      </w:r>
    </w:p>
    <w:bookmarkEnd w:id="55"/>
    <w:bookmarkStart w:id="57" w:name="ranks-2"/>
    <w:p>
      <w:pPr>
        <w:pStyle w:val="Heading2"/>
      </w:pPr>
      <w:r>
        <w:t xml:space="preserve">Ranks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3_supplementary_files/figure-docx/unnamed-chunk-4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Marginal posterior distributions for the rank of each treatment. Each panel</w:t>
      </w:r>
      <w:r>
        <w:t xml:space="preserve"> </w:t>
      </w:r>
      <w:r>
        <w:t xml:space="preserve">corresponds to a separate outcome, labeled on top. In each panel,</w:t>
      </w:r>
      <w:r>
        <w:t xml:space="preserve"> </w:t>
      </w:r>
      <w:r>
        <w:t xml:space="preserve">there are a point estimate, interval bar, and bar plot for each treatment (Y-axis).</w:t>
      </w:r>
      <w:r>
        <w:t xml:space="preserve"> </w:t>
      </w:r>
      <w:r>
        <w:t xml:space="preserve">The point estimate represents the median rank. The interval bar shows the 95%</w:t>
      </w:r>
      <w:r>
        <w:t xml:space="preserve"> </w:t>
      </w:r>
      <w:r>
        <w:t xml:space="preserve">credible (quantile) interval of the underlying marginal posterior distribution.</w:t>
      </w:r>
      <w:r>
        <w:t xml:space="preserve"> </w:t>
      </w:r>
      <w:r>
        <w:t xml:space="preserve">Lastly, the bar plot shows the cumulative distribution function (CDF).</w:t>
      </w:r>
    </w:p>
    <w:bookmarkEnd w:id="57"/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46" Target="media/rId46.png" /><Relationship Type="http://schemas.openxmlformats.org/officeDocument/2006/relationships/image" Id="rId40" Target="media/rId40.png" /><Relationship Type="http://schemas.openxmlformats.org/officeDocument/2006/relationships/image" Id="rId20" Target="media/rId20.png" /><Relationship Type="http://schemas.openxmlformats.org/officeDocument/2006/relationships/image" Id="rId42" Target="media/rId4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28" Target="media/rId2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Supplementary Material</dc:title>
  <dc:creator>Arthur M. Albuquerque</dc:creator>
  <cp:keywords/>
  <dcterms:created xsi:type="dcterms:W3CDTF">2022-05-25T20:28:16Z</dcterms:created>
  <dcterms:modified xsi:type="dcterms:W3CDTF">2022-05-25T20:28:16Z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May 25, 2022</vt:lpwstr>
  </property>
  <property fmtid="{D5CDD505-2E9C-101B-9397-08002B2CF9AE}" pid="3" name="output">
    <vt:lpwstr/>
  </property>
</Properties>
</file>