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8.png" ContentType="image/png"/>
  <Override PartName="/word/media/rId20.png" ContentType="image/png"/>
  <Override PartName="/word/media/rId43.png" ContentType="image/png"/>
  <Override PartName="/word/media/rId48.png" ContentType="image/png"/>
  <Override PartName="/word/media/rId53.png" ContentType="image/png"/>
  <Override PartName="/word/media/rId21.png" ContentType="image/png"/>
  <Override PartName="/word/media/rId56.png" ContentType="image/png"/>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Author"/>
      </w:pPr>
      <w:r>
        <w:t xml:space="preserve">Arthur</w:t>
      </w:r>
      <w:r>
        <w:t xml:space="preserve"> </w:t>
      </w:r>
      <w:r>
        <w:t xml:space="preserve">M.</w:t>
      </w:r>
      <w:r>
        <w:t xml:space="preserve"> </w:t>
      </w:r>
      <w:r>
        <w:t xml:space="preserve">Albuquerque,</w:t>
      </w:r>
      <w:r>
        <w:t xml:space="preserve"> </w:t>
      </w:r>
      <w:r>
        <w:t xml:space="preserve">Lucas</w:t>
      </w:r>
      <w:r>
        <w:t xml:space="preserve"> </w:t>
      </w:r>
      <w:r>
        <w:t xml:space="preserve">Tramujas,</w:t>
      </w:r>
      <w:r>
        <w:t xml:space="preserve"> </w:t>
      </w:r>
      <w:r>
        <w:t xml:space="preserve">Lorenzo</w:t>
      </w:r>
      <w:r>
        <w:t xml:space="preserve"> </w:t>
      </w:r>
      <w:r>
        <w:t xml:space="preserve">R.</w:t>
      </w:r>
      <w:r>
        <w:t xml:space="preserve"> </w:t>
      </w:r>
      <w:r>
        <w:t xml:space="preserve">Sewanan,</w:t>
      </w:r>
      <w:r>
        <w:t xml:space="preserve"> </w:t>
      </w:r>
      <w:r>
        <w:t xml:space="preserve">Donald</w:t>
      </w:r>
      <w:r>
        <w:t xml:space="preserve"> </w:t>
      </w:r>
      <w:r>
        <w:t xml:space="preserve">R.</w:t>
      </w:r>
      <w:r>
        <w:t xml:space="preserve"> </w:t>
      </w:r>
      <w:r>
        <w:t xml:space="preserve">Williams,</w:t>
      </w:r>
      <w:r>
        <w:t xml:space="preserve"> </w:t>
      </w:r>
      <w:r>
        <w:t xml:space="preserve">James</w:t>
      </w:r>
      <w:r>
        <w:t xml:space="preserve"> </w:t>
      </w:r>
      <w:r>
        <w:t xml:space="preserve">M.</w:t>
      </w:r>
      <w:r>
        <w:t xml:space="preserve"> </w:t>
      </w:r>
      <w:r>
        <w:t xml:space="preserve">Brophy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emethods"/>
    <w:p>
      <w:pPr>
        <w:pStyle w:val="Heading1"/>
      </w:pPr>
      <w:r>
        <w:t xml:space="preserve">eMethods</w:t>
      </w:r>
    </w:p>
    <w:bookmarkStart w:id="27" w:name="bayesian-meta-analysis"/>
    <w:p>
      <w:pPr>
        <w:pStyle w:val="Heading2"/>
      </w:pPr>
      <w:r>
        <w:t xml:space="preserve">Bayesian meta-analysis</w:t>
      </w:r>
    </w:p>
    <w:p>
      <w:pPr>
        <w:pStyle w:val="FirstParagraph"/>
      </w:pPr>
      <w:r>
        <w:t xml:space="preserve">Our meta-regression random-effect model is defined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sub>
                </m:sSub>
              </m:e>
              <m:e>
                <m:r>
                  <m:rPr>
                    <m:sty m:val="p"/>
                  </m:rPr>
                  <m:t>∼</m:t>
                </m:r>
                <m:r>
                  <m:t>N</m:t>
                </m:r>
                <m:r>
                  <m:t>o</m:t>
                </m:r>
                <m:r>
                  <m:t>r</m:t>
                </m:r>
                <m:r>
                  <m:t>m</m:t>
                </m:r>
                <m:r>
                  <m:t>a</m:t>
                </m:r>
                <m:r>
                  <m:t>l</m:t>
                </m:r>
                <m:d>
                  <m:dPr>
                    <m:begChr m:val="("/>
                    <m:endChr m:val=")"/>
                    <m:sepChr m:val=""/>
                    <m:grow/>
                  </m:dPr>
                  <m:e>
                    <m:sSub>
                      <m:e>
                        <m:r>
                          <m:t>θ</m:t>
                        </m:r>
                      </m:e>
                      <m:sub>
                        <m:r>
                          <m:t>i</m:t>
                        </m:r>
                      </m:sub>
                    </m:sSub>
                    <m:r>
                      <m:rPr>
                        <m:sty m:val="p"/>
                      </m:rPr>
                      <m:t>,</m:t>
                    </m:r>
                    <m:sSubSup>
                      <m:e>
                        <m:r>
                          <m:t>σ</m:t>
                        </m:r>
                      </m:e>
                      <m:sub>
                        <m:r>
                          <m:t>i</m:t>
                        </m:r>
                      </m:sub>
                      <m:sup>
                        <m:r>
                          <m:t>2</m:t>
                        </m:r>
                      </m:sup>
                    </m:sSubSup>
                  </m:e>
                </m:d>
              </m:e>
            </m:mr>
            <m:mr>
              <m:e>
                <m:sSub>
                  <m:e>
                    <m:r>
                      <m:t>θ</m:t>
                    </m:r>
                  </m:e>
                  <m:sub>
                    <m:r>
                      <m:t>i</m:t>
                    </m:r>
                  </m:sub>
                </m:sSub>
              </m:e>
              <m:e>
                <m:r>
                  <m:rPr>
                    <m:sty m:val="p"/>
                  </m:rPr>
                  <m:t>∼</m:t>
                </m:r>
                <m:r>
                  <m:t>N</m:t>
                </m:r>
                <m:r>
                  <m:t>o</m:t>
                </m:r>
                <m:r>
                  <m:t>r</m:t>
                </m:r>
                <m:r>
                  <m:t>m</m:t>
                </m:r>
                <m:r>
                  <m:t>a</m:t>
                </m:r>
                <m:r>
                  <m:t>l</m:t>
                </m:r>
                <m:d>
                  <m:dPr>
                    <m:begChr m:val="("/>
                    <m:endChr m:val=")"/>
                    <m:sepChr m:val=""/>
                    <m:grow/>
                  </m:dPr>
                  <m:e>
                    <m:r>
                      <m:t>μ</m:t>
                    </m:r>
                    <m:r>
                      <m:rPr>
                        <m:sty m:val="p"/>
                      </m:rPr>
                      <m:t>,</m:t>
                    </m:r>
                    <m:sSup>
                      <m:e>
                        <m:r>
                          <m:t>τ</m:t>
                        </m:r>
                      </m:e>
                      <m:sup>
                        <m:r>
                          <m:t>2</m:t>
                        </m:r>
                      </m:sup>
                    </m:sSup>
                  </m:e>
                </m:d>
              </m:e>
            </m:mr>
            <m:mr>
              <m:e>
                <m:r>
                  <m:t>μ</m:t>
                </m:r>
              </m:e>
              <m:e>
                <m:r>
                  <m:rPr>
                    <m:sty m:val="p"/>
                  </m:rPr>
                  <m:t>=</m:t>
                </m:r>
                <m:sSub>
                  <m:e>
                    <m:r>
                      <m:t>α</m:t>
                    </m:r>
                  </m:e>
                  <m:sub>
                    <m:r>
                      <m:t>s</m:t>
                    </m:r>
                    <m:r>
                      <m:t>u</m:t>
                    </m:r>
                    <m:r>
                      <m:t>b</m:t>
                    </m:r>
                    <m:r>
                      <m:t>g</m:t>
                    </m:r>
                    <m:r>
                      <m:t>r</m:t>
                    </m:r>
                    <m:r>
                      <m:t>o</m:t>
                    </m:r>
                    <m:r>
                      <m:t>u</m:t>
                    </m:r>
                    <m:r>
                      <m:t>p</m:t>
                    </m:r>
                    <m:d>
                      <m:dPr>
                        <m:begChr m:val="["/>
                        <m:endChr m:val="]"/>
                        <m:sepChr m:val=""/>
                        <m:grow/>
                      </m:dPr>
                      <m:e>
                        <m:r>
                          <m:t>k</m:t>
                        </m:r>
                      </m:e>
                    </m:d>
                  </m:sub>
                </m:sSub>
              </m:e>
            </m:mr>
          </m:m>
        </m:oMath>
      </m:oMathPara>
    </w:p>
    <w:p>
      <w:pPr>
        <w:pStyle w:val="FirstParagraph"/>
      </w:pPr>
      <w:r>
        <w:t xml:space="preserve">where</w:t>
      </w:r>
      <w:r>
        <w:t xml:space="preserve"> </w:t>
      </w:r>
      <m:oMath>
        <m:sSub>
          <m:e>
            <m:r>
              <m:t>y</m:t>
            </m:r>
          </m:e>
          <m:sub>
            <m:r>
              <m:t>i</m:t>
            </m:r>
          </m:sub>
        </m:sSub>
      </m:oMath>
      <w:r>
        <w:t xml:space="preserve"> </w:t>
      </w:r>
      <w:r>
        <w:t xml:space="preserve">is the observed mean log odds ratio of tocilizumab versus control</w:t>
      </w:r>
      <w:r>
        <w:t xml:space="preserve"> </w:t>
      </w:r>
      <w:r>
        <w:t xml:space="preserve">and</w:t>
      </w:r>
      <w:r>
        <w:t xml:space="preserve"> </w:t>
      </w:r>
      <m:oMath>
        <m:sSubSup>
          <m:e>
            <m:r>
              <m:t>σ</m:t>
            </m:r>
          </m:e>
          <m:sub>
            <m:r>
              <m:t>i</m:t>
            </m:r>
          </m:sub>
          <m:sup>
            <m:r>
              <m:t>2</m:t>
            </m:r>
          </m:sup>
        </m:sSubSup>
      </m:oMath>
      <w:r>
        <w:t xml:space="preserve"> </w:t>
      </w:r>
      <w:r>
        <w:t xml:space="preserve">is the known sampling variance in study</w:t>
      </w:r>
      <w:r>
        <w:t xml:space="preserve"> </w:t>
      </w:r>
      <m:oMath>
        <m:r>
          <m:t>i</m:t>
        </m:r>
      </m:oMath>
      <w:r>
        <w:t xml:space="preserve">. Because this is a</w:t>
      </w:r>
      <w:r>
        <w:t xml:space="preserve"> </w:t>
      </w:r>
      <w:r>
        <w:t xml:space="preserve">random-effect model, each study</w:t>
      </w:r>
      <w:r>
        <w:t xml:space="preserve"> </w:t>
      </w:r>
      <m:oMath>
        <m:r>
          <m:t>i</m:t>
        </m:r>
      </m:oMath>
      <w:r>
        <w:t xml:space="preserve"> </w:t>
      </w:r>
      <w:r>
        <w:t xml:space="preserve">has its own distribution, where</w:t>
      </w:r>
      <w:r>
        <w:t xml:space="preserve"> </w:t>
      </w:r>
      <m:oMath>
        <m:sSub>
          <m:e>
            <m:r>
              <m:t>θ</m:t>
            </m:r>
          </m:e>
          <m:sub>
            <m:r>
              <m:t>i</m:t>
            </m:r>
          </m:sub>
        </m:sSub>
      </m:oMath>
      <w:r>
        <w:t xml:space="preserve"> </w:t>
      </w:r>
      <w:r>
        <w:t xml:space="preserve">represents its mean effect. All</w:t>
      </w:r>
      <w:r>
        <w:t xml:space="preserve"> </w:t>
      </w:r>
      <m:oMath>
        <m:sSub>
          <m:e>
            <m:r>
              <m:t>θ</m:t>
            </m:r>
          </m:e>
          <m:sub>
            <m:r>
              <m:t>i</m:t>
            </m:r>
          </m:sub>
        </m:sSub>
      </m:oMath>
      <w:r>
        <w:t xml:space="preserve">s are drawn from normal distribution where</w:t>
      </w:r>
      <w:r>
        <w:t xml:space="preserve"> </w:t>
      </w:r>
      <w:r>
        <w:t xml:space="preserve">the mean effect is</w:t>
      </w:r>
      <w:r>
        <w:t xml:space="preserve"> </w:t>
      </w:r>
      <m:oMath>
        <m:r>
          <m:t>μ</m:t>
        </m:r>
      </m:oMath>
      <w:r>
        <w:t xml:space="preserve"> </w:t>
      </w:r>
      <w:r>
        <w:t xml:space="preserve">and the variance</w:t>
      </w:r>
      <w:r>
        <w:t xml:space="preserve"> </w:t>
      </w:r>
      <m:oMath>
        <m:sSup>
          <m:e>
            <m:r>
              <m:t>τ</m:t>
            </m:r>
          </m:e>
          <m:sup>
            <m:r>
              <m:t>2</m:t>
            </m:r>
          </m:sup>
        </m:sSup>
      </m:oMath>
      <w:r>
        <w:t xml:space="preserve">, which represents the</w:t>
      </w:r>
      <w:r>
        <w:t xml:space="preserve"> </w:t>
      </w:r>
      <w:r>
        <w:t xml:space="preserve">between-study heterogeneity.</w:t>
      </w:r>
      <w:r>
        <w:t xml:space="preserve"> </w:t>
      </w:r>
      <m:oMath>
        <m:r>
          <m:t>μ</m:t>
        </m:r>
      </m:oMath>
      <w:r>
        <w:t xml:space="preserve"> </w:t>
      </w:r>
      <w:r>
        <w:t xml:space="preserve">is predicted by a no-intercept linear regression,</w:t>
      </w:r>
      <w:r>
        <w:t xml:space="preserve"> </w:t>
      </w:r>
      <w:r>
        <w:t xml:space="preserve">where each subgroup</w:t>
      </w:r>
      <w:r>
        <w:t xml:space="preserve"> </w:t>
      </w:r>
      <m:oMath>
        <m:r>
          <m:t>k</m:t>
        </m:r>
      </m:oMath>
      <w:r>
        <w:t xml:space="preserve"> </w:t>
      </w:r>
      <w:r>
        <w:t xml:space="preserve">(simple oxygen only; noninvasive ventilation; invasive</w:t>
      </w:r>
      <w:r>
        <w:t xml:space="preserve"> </w:t>
      </w:r>
      <w:r>
        <w:t xml:space="preserve">mechanical ventilation) has its own parameter</w:t>
      </w:r>
      <w:r>
        <w:t xml:space="preserve"> </w:t>
      </w:r>
      <m:oMath>
        <m:r>
          <m:t>α</m:t>
        </m:r>
      </m:oMath>
      <w:r>
        <w:t xml:space="preserve">, representing the mean</w:t>
      </w:r>
      <w:r>
        <w:t xml:space="preserve"> </w:t>
      </w:r>
      <w:r>
        <w:t xml:space="preserve">effect of each respective subgroup.</w:t>
      </w:r>
    </w:p>
    <w:p>
      <w:pPr>
        <w:pStyle w:val="BodyText"/>
      </w:pPr>
      <w:r>
        <w:t xml:space="preserve">In this case, we are able to assess tocilizumab’s effect in each subgroup while</w:t>
      </w:r>
      <w:r>
        <w:t xml:space="preserve"> </w:t>
      </w:r>
      <w:r>
        <w:t xml:space="preserve">assuming a common between-study heterogeneity:</w:t>
      </w:r>
    </w:p>
    <w:p>
      <w:pPr>
        <w:numPr>
          <w:ilvl w:val="0"/>
          <w:numId w:val="1001"/>
        </w:numPr>
        <w:pStyle w:val="Compact"/>
      </w:pPr>
      <w:r>
        <w:t xml:space="preserve">Simple oxygen only =</w:t>
      </w:r>
      <w:r>
        <w:t xml:space="preserve"> </w:t>
      </w:r>
      <m:oMath>
        <m:sSub>
          <m:e>
            <m:r>
              <m:t>α</m:t>
            </m:r>
          </m:e>
          <m:sub>
            <m:r>
              <m:t>S</m:t>
            </m:r>
            <m:r>
              <m:t>O</m:t>
            </m:r>
            <m:r>
              <m:t>O</m:t>
            </m:r>
          </m:sub>
        </m:sSub>
      </m:oMath>
    </w:p>
    <w:p>
      <w:pPr>
        <w:numPr>
          <w:ilvl w:val="0"/>
          <w:numId w:val="1001"/>
        </w:numPr>
        <w:pStyle w:val="Compact"/>
      </w:pPr>
      <w:r>
        <w:t xml:space="preserve">Noninvasive ventilation =</w:t>
      </w:r>
      <w:r>
        <w:t xml:space="preserve"> </w:t>
      </w:r>
      <m:oMath>
        <m:sSub>
          <m:e>
            <m:r>
              <m:t>α</m:t>
            </m:r>
          </m:e>
          <m:sub>
            <m:r>
              <m:t>N</m:t>
            </m:r>
            <m:r>
              <m:t>I</m:t>
            </m:r>
            <m:r>
              <m:t>V</m:t>
            </m:r>
          </m:sub>
        </m:sSub>
      </m:oMath>
    </w:p>
    <w:p>
      <w:pPr>
        <w:numPr>
          <w:ilvl w:val="0"/>
          <w:numId w:val="1001"/>
        </w:numPr>
        <w:pStyle w:val="Compact"/>
      </w:pPr>
      <w:r>
        <w:t xml:space="preserve">Invasive mechanical ventilation =</w:t>
      </w:r>
      <w:r>
        <w:t xml:space="preserve"> </w:t>
      </w:r>
      <m:oMath>
        <m:sSub>
          <m:e>
            <m:r>
              <m:t>α</m:t>
            </m:r>
          </m:e>
          <m:sub>
            <m:r>
              <m:t>I</m:t>
            </m:r>
            <m:r>
              <m:t>M</m:t>
            </m:r>
            <m:r>
              <m:t>V</m:t>
            </m:r>
          </m:sub>
        </m:sSub>
      </m:oMath>
    </w:p>
    <w:bookmarkStart w:id="23" w:name="weakly-informative-priors"/>
    <w:p>
      <w:pPr>
        <w:pStyle w:val="Heading3"/>
      </w:pPr>
      <w:r>
        <w:t xml:space="preserve">Weakly informative priors</w:t>
      </w:r>
    </w:p>
    <w:p>
      <w:pPr>
        <w:pStyle w:val="FirstParagraph"/>
      </w:pPr>
      <w:r>
        <w:t xml:space="preserve">Because we applied the Bayesian framework, we assigned a prior distribution for</w:t>
      </w:r>
      <w:r>
        <w:t xml:space="preserve"> </w:t>
      </w:r>
      <w:r>
        <w:t xml:space="preserve">each parameter. In our main model, we implemented priors that cover plausible</w:t>
      </w:r>
      <w:r>
        <w:t xml:space="preserve"> </w:t>
      </w:r>
      <w:r>
        <w:t xml:space="preserve">values for all parameters, assigning limited density to impossible values, and</w:t>
      </w:r>
      <w:r>
        <w:t xml:space="preserve"> </w:t>
      </w:r>
      <w:r>
        <w:t xml:space="preserve">thus employed little influence in the results (hereafter, known as weakly</w:t>
      </w:r>
      <w:r>
        <w:t xml:space="preserve"> </w:t>
      </w:r>
      <w:r>
        <w:t xml:space="preserve">informative priors). These are our weakly informative priors:</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nor/>
                    <m:sty m:val="p"/>
                  </m:rPr>
                  <m:t>Normal</m:t>
                </m:r>
                <m:d>
                  <m:dPr>
                    <m:begChr m:val="("/>
                    <m:endChr m:val=")"/>
                    <m:sepChr m:val=""/>
                    <m:grow/>
                  </m:dPr>
                  <m:e>
                    <m:r>
                      <m:t>0</m:t>
                    </m:r>
                    <m:r>
                      <m:rPr>
                        <m:sty m:val="p"/>
                      </m:rPr>
                      <m:t>,</m:t>
                    </m:r>
                    <m:sSup>
                      <m:e>
                        <m:r>
                          <m:t>0.82</m:t>
                        </m:r>
                      </m:e>
                      <m:sup>
                        <m:r>
                          <m:t>2</m:t>
                        </m:r>
                      </m:sup>
                    </m:sSup>
                  </m:e>
                </m:d>
              </m:e>
            </m:mr>
            <m:mr>
              <m:e>
                <m:r>
                  <m:t>τ</m:t>
                </m:r>
              </m:e>
              <m:e>
                <m:r>
                  <m:rPr>
                    <m:sty m:val="p"/>
                  </m:rPr>
                  <m:t>∼</m:t>
                </m:r>
                <m:r>
                  <m:rPr>
                    <m:nor/>
                    <m:sty m:val="p"/>
                  </m:rPr>
                  <m:t>Half-Normal</m:t>
                </m:r>
                <m:d>
                  <m:dPr>
                    <m:begChr m:val="("/>
                    <m:endChr m:val=")"/>
                    <m:sepChr m:val=""/>
                    <m:grow/>
                  </m:dPr>
                  <m:e>
                    <m:sSup>
                      <m:e>
                        <m:r>
                          <m:t>0.5</m:t>
                        </m:r>
                      </m:e>
                      <m:sup>
                        <m:r>
                          <m:t>2</m:t>
                        </m:r>
                      </m:sup>
                    </m:sSup>
                  </m:e>
                </m:d>
              </m:e>
            </m:mr>
          </m:m>
        </m:oMath>
      </m:oMathPara>
    </w:p>
    <w:p>
      <w:pPr>
        <w:pStyle w:val="FirstParagraph"/>
      </w:pPr>
      <w:r>
        <w:t xml:space="preserve">Now, we will explain the rationale underlying these distributions.</w:t>
      </w:r>
    </w:p>
    <w:p>
      <w:pPr>
        <w:pStyle w:val="BodyText"/>
      </w:pPr>
      <w:r>
        <w:t xml:space="preserve">We find highly unlikely that a pharmacological treatment, such as tocilizumab,</w:t>
      </w:r>
      <w:r>
        <w:t xml:space="preserve"> </w:t>
      </w:r>
      <w:r>
        <w:t xml:space="preserve">will yield a 80% odds reduction in 28-days all-cause mortality regardless of</w:t>
      </w:r>
      <w:r>
        <w:t xml:space="preserve"> </w:t>
      </w:r>
      <w:r>
        <w:t xml:space="preserve">the subgroup of patients, as suggested by empirical evidence. Thus, for</w:t>
      </w:r>
      <w:r>
        <w:t xml:space="preserve"> </w:t>
      </w:r>
      <m:oMath>
        <m:r>
          <m:t>α</m:t>
        </m:r>
      </m:oMath>
      <w:r>
        <w:t xml:space="preserve">, we set a prior distribution of</w:t>
      </w:r>
      <w:r>
        <w:t xml:space="preserve"> </w:t>
      </w:r>
      <m:oMath>
        <m:r>
          <m:t>N</m:t>
        </m:r>
        <m:r>
          <m:t>o</m:t>
        </m:r>
        <m:r>
          <m:t>r</m:t>
        </m:r>
        <m:r>
          <m:t>m</m:t>
        </m:r>
        <m:r>
          <m:t>a</m:t>
        </m:r>
        <m:r>
          <m:t>l</m:t>
        </m:r>
        <m:d>
          <m:dPr>
            <m:begChr m:val="("/>
            <m:endChr m:val=")"/>
            <m:sepChr m:val=""/>
            <m:grow/>
          </m:dPr>
          <m:e>
            <m:r>
              <m:t>0</m:t>
            </m:r>
            <m:r>
              <m:rPr>
                <m:sty m:val="p"/>
              </m:rPr>
              <m:t>,</m:t>
            </m:r>
            <m:r>
              <m:t>0.82</m:t>
            </m:r>
          </m:e>
        </m:d>
      </m:oMath>
      <w:r>
        <w:t xml:space="preserve"> </w:t>
      </w:r>
      <w:r>
        <w:t xml:space="preserve">in the log odds ratio scale.</w:t>
      </w:r>
    </w:p>
    <w:p>
      <w:pPr>
        <w:pStyle w:val="BodyText"/>
      </w:pPr>
      <w:r>
        <w:drawing>
          <wp:inline>
            <wp:extent cx="5334000" cy="2333625"/>
            <wp:effectExtent b="0" l="0" r="0" t="0"/>
            <wp:docPr descr="" title="" id="1" name="Picture"/>
            <a:graphic>
              <a:graphicData uri="http://schemas.openxmlformats.org/drawingml/2006/picture">
                <pic:pic>
                  <pic:nvPicPr>
                    <pic:cNvPr descr="supplementary_material_files/figure-docx/unnamed-chunk-2-1.png" id="0" name="Picture"/>
                    <pic:cNvPicPr>
                      <a:picLocks noChangeArrowheads="1" noChangeAspect="1"/>
                    </pic:cNvPicPr>
                  </pic:nvPicPr>
                  <pic:blipFill>
                    <a:blip r:embed="rId20"/>
                    <a:stretch>
                      <a:fillRect/>
                    </a:stretch>
                  </pic:blipFill>
                  <pic:spPr bwMode="auto">
                    <a:xfrm>
                      <a:off x="0" y="0"/>
                      <a:ext cx="5334000" cy="2333625"/>
                    </a:xfrm>
                    <a:prstGeom prst="rect">
                      <a:avLst/>
                    </a:prstGeom>
                    <a:noFill/>
                    <a:ln w="9525">
                      <a:noFill/>
                      <a:headEnd/>
                      <a:tailEnd/>
                    </a:ln>
                  </pic:spPr>
                </pic:pic>
              </a:graphicData>
            </a:graphic>
          </wp:inline>
        </w:drawing>
      </w:r>
    </w:p>
    <w:p>
      <w:pPr>
        <w:pStyle w:val="BodyText"/>
      </w:pPr>
      <w:r>
        <w:t xml:space="preserve">To facilitate the understanding of these distributions, here are the corresponding</w:t>
      </w:r>
      <w:r>
        <w:t xml:space="preserve"> </w:t>
      </w:r>
      <w:r>
        <w:t xml:space="preserve">95% quantile intervals in the linear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1"/>
        <w:gridCol w:w="839"/>
        <w:gridCol w:w="1022"/>
        <w:gridCol w:w="1144"/>
      </w:tblGrid>
      <w:tr>
        <w:trPr>
          <w:cantSplit/>
          <w:trHeight w:val="577"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 scale</w:t>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Linear scale</w:t>
            </w:r>
          </w:p>
        </w:tc>
      </w:tr>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 5]</w:t>
            </w:r>
          </w:p>
        </w:tc>
      </w:tr>
    </w:tbl>
    <w:p>
      <w:pPr>
        <w:pStyle w:val="BodyText"/>
      </w:pPr>
      <w:r>
        <w:t xml:space="preserve">Another way to assess the plausibility of the aforementioned priors is to</w:t>
      </w:r>
      <w:r>
        <w:t xml:space="preserve"> </w:t>
      </w:r>
      <w:r>
        <w:t xml:space="preserve">perform a prior predictive check, which can be visualized below:</w:t>
      </w:r>
    </w:p>
    <w:p>
      <w:pPr>
        <w:pStyle w:val="CaptionedFigure"/>
      </w:pPr>
      <w:r>
        <w:drawing>
          <wp:inline>
            <wp:extent cx="5334000" cy="3200400"/>
            <wp:effectExtent b="0" l="0" r="0" t="0"/>
            <wp:docPr descr="Point estimate depicts the median and interval bar depicts the 95% quantile interval." title="" id="1" name="Picture"/>
            <a:graphic>
              <a:graphicData uri="http://schemas.openxmlformats.org/drawingml/2006/picture">
                <pic:pic>
                  <pic:nvPicPr>
                    <pic:cNvPr descr="supplementary_material_files/figure-docx/unnamed-chunk-4-1.png" id="0"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Point estimate depicts the median and interval bar depicts the 95% quantile interval.</w:t>
      </w:r>
    </w:p>
    <w:p>
      <w:pPr>
        <w:pStyle w:val="BodyText"/>
      </w:pPr>
      <w:r>
        <w:t xml:space="preserve">As expected, the distribution approximately ranges from 0.2 to 5.0.</w:t>
      </w:r>
    </w:p>
    <w:p>
      <w:pPr>
        <w:pStyle w:val="BodyText"/>
      </w:pPr>
      <w:r>
        <w:t xml:space="preserve">Lastly, we will now discuss the weakly informative prior distribution for</w:t>
      </w:r>
      <w:r>
        <w:t xml:space="preserve"> </w:t>
      </w:r>
      <m:oMath>
        <m:r>
          <m:t>τ</m:t>
        </m:r>
      </m:oMath>
      <w:r>
        <w:t xml:space="preserve">.</w:t>
      </w:r>
      <w:r>
        <w:t xml:space="preserve"> </w:t>
      </w:r>
      <w:r>
        <w:t xml:space="preserve">Because we wanted to perform unconditional inferences beyond the included</w:t>
      </w:r>
      <w:r>
        <w:t xml:space="preserve"> </w:t>
      </w:r>
      <w:r>
        <w:t xml:space="preserve">studies, we fitted a random-effect meta-analysis. In this model, one assumes</w:t>
      </w:r>
      <w:r>
        <w:t xml:space="preserve"> </w:t>
      </w:r>
      <w:r>
        <w:t xml:space="preserve">there is within-study heterogeneity (represented by</w:t>
      </w:r>
      <w:r>
        <w:t xml:space="preserve"> </w:t>
      </w:r>
      <m:oMath>
        <m:sSubSup>
          <m:e>
            <m:r>
              <m:t>σ</m:t>
            </m:r>
          </m:e>
          <m:sub>
            <m:r>
              <m:t>i</m:t>
            </m:r>
          </m:sub>
          <m:sup>
            <m:r>
              <m:t>2</m:t>
            </m:r>
          </m:sup>
        </m:sSubSup>
      </m:oMath>
      <w:r>
        <w:t xml:space="preserve">, the known</w:t>
      </w:r>
      <w:r>
        <w:t xml:space="preserve"> </w:t>
      </w:r>
      <w:r>
        <w:t xml:space="preserve">sampling variance in study</w:t>
      </w:r>
      <w:r>
        <w:t xml:space="preserve"> </w:t>
      </w:r>
      <m:oMath>
        <m:r>
          <m:t>i</m:t>
        </m:r>
      </m:oMath>
      <w:r>
        <w:t xml:space="preserve">) and the between-study heterogeneity (represented</w:t>
      </w:r>
      <w:r>
        <w:t xml:space="preserve"> </w:t>
      </w:r>
      <w:r>
        <w:t xml:space="preserve">by</w:t>
      </w:r>
      <w:r>
        <w:t xml:space="preserve"> </w:t>
      </w:r>
      <m:oMath>
        <m:r>
          <m:t>τ</m:t>
        </m:r>
      </m:oMath>
      <w:r>
        <w:t xml:space="preserve">).</w:t>
      </w:r>
    </w:p>
    <w:p>
      <w:pPr>
        <w:pStyle w:val="BodyText"/>
      </w:pPr>
      <w:r>
        <w:t xml:space="preserve">Although the definition of small or large between-study heterogeneity is</w:t>
      </w:r>
      <w:r>
        <w:t xml:space="preserve"> </w:t>
      </w:r>
      <w:r>
        <w:t xml:space="preserve">arbitrary, previous work suggests cutoff values (</w:t>
      </w:r>
      <w:r>
        <w:t xml:space="preserve">“</w:t>
      </w:r>
      <w:r>
        <w:t xml:space="preserve">reasonable</w:t>
      </w:r>
      <w:r>
        <w:t xml:space="preserve">”</w:t>
      </w:r>
      <w:r>
        <w:t xml:space="preserve"> </w:t>
      </w:r>
      <w:r>
        <w:t xml:space="preserve">heterogeneity</w:t>
      </w:r>
      <w:r>
        <w:t xml:space="preserve"> </w:t>
      </w:r>
      <w:r>
        <w:t xml:space="preserve">between 0.1 and 0.5,</w:t>
      </w:r>
      <w:r>
        <w:t xml:space="preserve"> </w:t>
      </w:r>
      <w:r>
        <w:t xml:space="preserve">“</w:t>
      </w:r>
      <w:r>
        <w:t xml:space="preserve">fairly high</w:t>
      </w:r>
      <w:r>
        <w:t xml:space="preserve">”</w:t>
      </w:r>
      <w:r>
        <w:t xml:space="preserve"> </w:t>
      </w:r>
      <w:r>
        <w:t xml:space="preserve">between 0.5 and 1.0, and</w:t>
      </w:r>
      <w:r>
        <w:t xml:space="preserve"> </w:t>
      </w:r>
      <w:r>
        <w:t xml:space="preserve">“</w:t>
      </w:r>
      <w:r>
        <w:t xml:space="preserve">fairly extreme</w:t>
      </w:r>
      <w:r>
        <w:t xml:space="preserve">”</w:t>
      </w:r>
      <w:r>
        <w:t xml:space="preserve"> </w:t>
      </w:r>
      <w:r>
        <w:t xml:space="preserve">for values larger than 1.0 log odds ratio).[7,13] We added a category for low</w:t>
      </w:r>
      <w:r>
        <w:t xml:space="preserve"> </w:t>
      </w:r>
      <w:r>
        <w:t xml:space="preserve">heterogeneity (between 0 and 0.1).</w:t>
      </w:r>
    </w:p>
    <w:p>
      <w:pPr>
        <w:pStyle w:val="BodyText"/>
      </w:pPr>
      <w:r>
        <w:t xml:space="preserve">The</w:t>
      </w:r>
      <w:r>
        <w:t xml:space="preserve"> </w:t>
      </w:r>
      <m:oMath>
        <m:r>
          <m:rPr>
            <m:nor/>
            <m:sty m:val="p"/>
          </m:rPr>
          <m:t>Half-Normal</m:t>
        </m:r>
        <m:d>
          <m:dPr>
            <m:begChr m:val="("/>
            <m:endChr m:val=")"/>
            <m:sepChr m:val=""/>
            <m:grow/>
          </m:dPr>
          <m:e>
            <m:r>
              <m:t>0.5</m:t>
            </m:r>
          </m:e>
        </m:d>
      </m:oMath>
      <w:r>
        <w:t xml:space="preserve"> </w:t>
      </w:r>
      <w:r>
        <w:t xml:space="preserve">distribution yields plausible</w:t>
      </w:r>
      <w:r>
        <w:t xml:space="preserve"> </w:t>
      </w:r>
      <w:r>
        <w:t xml:space="preserve">probabilities in each of these ranges.</w:t>
      </w:r>
    </w:p>
    <w:p>
      <w:pPr>
        <w:pStyle w:val="BodyText"/>
      </w:pPr>
      <w:r>
        <w:drawing>
          <wp:inline>
            <wp:extent cx="5334000" cy="2333625"/>
            <wp:effectExtent b="0" l="0" r="0" t="0"/>
            <wp:docPr descr="" title="" id="1" name="Picture"/>
            <a:graphic>
              <a:graphicData uri="http://schemas.openxmlformats.org/drawingml/2006/picture">
                <pic:pic>
                  <pic:nvPicPr>
                    <pic:cNvPr descr="supplementary_material_files/figure-docx/unnamed-chunk-5-1.png" id="0" name="Picture"/>
                    <pic:cNvPicPr>
                      <a:picLocks noChangeArrowheads="1" noChangeAspect="1"/>
                    </pic:cNvPicPr>
                  </pic:nvPicPr>
                  <pic:blipFill>
                    <a:blip r:embed="rId22"/>
                    <a:stretch>
                      <a:fillRect/>
                    </a:stretch>
                  </pic:blipFill>
                  <pic:spPr bwMode="auto">
                    <a:xfrm>
                      <a:off x="0" y="0"/>
                      <a:ext cx="5334000" cy="2333625"/>
                    </a:xfrm>
                    <a:prstGeom prst="rect">
                      <a:avLst/>
                    </a:prstGeom>
                    <a:noFill/>
                    <a:ln w="9525">
                      <a:noFill/>
                      <a:headEnd/>
                      <a:tailEnd/>
                    </a:ln>
                  </pic:spPr>
                </pic:pic>
              </a:graphicData>
            </a:graphic>
          </wp:inline>
        </w:drawing>
      </w:r>
    </w:p>
    <w:p>
      <w:pPr>
        <w:pStyle w:val="BodyText"/>
      </w:pPr>
      <w:r>
        <w:t xml:space="preserve">Here are the corresponding probabilities within each of the aforementioned</w:t>
      </w:r>
      <w:r>
        <w:t xml:space="preserve"> </w:t>
      </w:r>
      <w:r>
        <w:t xml:space="preserve">heterogeneity ranges: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51"/>
        <w:gridCol w:w="1585"/>
        <w:gridCol w:w="1462"/>
        <w:gridCol w:w="1829"/>
      </w:tblGrid>
      <w:tr>
        <w:trPr>
          <w:cantSplit/>
          <w:trHeight w:val="618" w:hRule="auto"/>
          <w:tblHeader/>
        </w:trPr>
        <w:tc>
          <w:tcPr>
            <w:gridSpan w:val="4"/>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Heterogeneity Range</w:t>
            </w:r>
          </w:p>
        </w:tc>
      </w:tr>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Reasonable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Fairly 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Fairly Extreme</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bookmarkEnd w:id="23"/>
    <w:bookmarkStart w:id="26" w:name="alternative-priors"/>
    <w:p>
      <w:pPr>
        <w:pStyle w:val="Heading3"/>
      </w:pPr>
      <w:r>
        <w:t xml:space="preserve">Alternative priors</w:t>
      </w:r>
    </w:p>
    <w:p>
      <w:pPr>
        <w:pStyle w:val="FirstParagraph"/>
      </w:pPr>
      <w:r>
        <w:t xml:space="preserve">To check whether the choice of weakly informative priors meaningfully impacted</w:t>
      </w:r>
      <w:r>
        <w:t xml:space="preserve"> </w:t>
      </w:r>
      <w:r>
        <w:t xml:space="preserve">our results or our conclusions, we also fitted models using vague or informative</w:t>
      </w:r>
      <w:r>
        <w:t xml:space="preserve"> </w:t>
      </w:r>
      <w:r>
        <w:t xml:space="preserve">priors.</w:t>
      </w:r>
    </w:p>
    <w:p>
      <w:pPr>
        <w:pStyle w:val="BodyText"/>
      </w:pPr>
      <w:r>
        <w:t xml:space="preserve">Vague priors:</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nor/>
                    <m:sty m:val="p"/>
                  </m:rPr>
                  <m:t>Normal</m:t>
                </m:r>
                <m:d>
                  <m:dPr>
                    <m:begChr m:val="("/>
                    <m:endChr m:val=")"/>
                    <m:sepChr m:val=""/>
                    <m:grow/>
                  </m:dPr>
                  <m:e>
                    <m:r>
                      <m:t>0</m:t>
                    </m:r>
                    <m:r>
                      <m:rPr>
                        <m:sty m:val="p"/>
                      </m:rPr>
                      <m:t>,</m:t>
                    </m:r>
                    <m:sSup>
                      <m:e>
                        <m:r>
                          <m:t>4</m:t>
                        </m:r>
                      </m:e>
                      <m:sup>
                        <m:r>
                          <m:t>2</m:t>
                        </m:r>
                      </m:sup>
                    </m:sSup>
                  </m:e>
                </m:d>
              </m:e>
            </m:mr>
            <m:mr>
              <m:e>
                <m:r>
                  <m:t>τ</m:t>
                </m:r>
              </m:e>
              <m:e>
                <m:r>
                  <m:rPr>
                    <m:sty m:val="p"/>
                  </m:rPr>
                  <m:t>∼</m:t>
                </m:r>
                <m:r>
                  <m:rPr>
                    <m:nor/>
                    <m:sty m:val="p"/>
                  </m:rPr>
                  <m:t>Half-Normal</m:t>
                </m:r>
                <m:d>
                  <m:dPr>
                    <m:begChr m:val="("/>
                    <m:endChr m:val=")"/>
                    <m:sepChr m:val=""/>
                    <m:grow/>
                  </m:dPr>
                  <m:e>
                    <m:sSup>
                      <m:e>
                        <m:r>
                          <m:t>4</m:t>
                        </m:r>
                      </m:e>
                      <m:sup>
                        <m:r>
                          <m:t>2</m:t>
                        </m:r>
                      </m:sup>
                    </m:sSup>
                  </m:e>
                </m:d>
              </m:e>
            </m:mr>
          </m:m>
        </m:oMath>
      </m:oMathPara>
    </w:p>
    <w:p>
      <w:pPr>
        <w:pStyle w:val="FirstParagraph"/>
      </w:pPr>
      <w:r>
        <w:t xml:space="preserve">Informative priors:</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nor/>
                    <m:sty m:val="p"/>
                  </m:rPr>
                  <m:t>Normal</m:t>
                </m:r>
                <m:d>
                  <m:dPr>
                    <m:begChr m:val="("/>
                    <m:endChr m:val=")"/>
                    <m:sepChr m:val=""/>
                    <m:grow/>
                  </m:dPr>
                  <m:e>
                    <m:r>
                      <m:t>0</m:t>
                    </m:r>
                    <m:r>
                      <m:rPr>
                        <m:sty m:val="p"/>
                      </m:rPr>
                      <m:t>,</m:t>
                    </m:r>
                    <m:sSup>
                      <m:e>
                        <m:r>
                          <m:t>0.35</m:t>
                        </m:r>
                      </m:e>
                      <m:sup>
                        <m:r>
                          <m:t>2</m:t>
                        </m:r>
                      </m:sup>
                    </m:sSup>
                  </m:e>
                </m:d>
              </m:e>
            </m:mr>
            <m:mr>
              <m:e>
                <m:r>
                  <m:t>τ</m:t>
                </m:r>
              </m:e>
              <m:e>
                <m:r>
                  <m:rPr>
                    <m:sty m:val="p"/>
                  </m:rPr>
                  <m:t>∼</m:t>
                </m:r>
                <m:r>
                  <m:rPr>
                    <m:nor/>
                    <m:sty m:val="p"/>
                  </m:rPr>
                  <m:t>Log-Normal</m:t>
                </m:r>
                <m:d>
                  <m:dPr>
                    <m:begChr m:val="("/>
                    <m:endChr m:val=")"/>
                    <m:sepChr m:val=""/>
                    <m:grow/>
                  </m:dPr>
                  <m:e>
                    <m:r>
                      <m:rPr>
                        <m:sty m:val="p"/>
                      </m:rPr>
                      <m:t>−</m:t>
                    </m:r>
                    <m:r>
                      <m:t>1.975</m:t>
                    </m:r>
                    <m:r>
                      <m:rPr>
                        <m:sty m:val="p"/>
                      </m:rPr>
                      <m:t>,</m:t>
                    </m:r>
                    <m:sSup>
                      <m:e>
                        <m:r>
                          <m:t>0.67</m:t>
                        </m:r>
                      </m:e>
                      <m:sup>
                        <m:r>
                          <m:t>2</m:t>
                        </m:r>
                      </m:sup>
                    </m:sSup>
                  </m:e>
                </m:d>
              </m:e>
            </m:mr>
          </m:m>
        </m:oMath>
      </m:oMathPara>
    </w:p>
    <w:p>
      <w:pPr>
        <w:pStyle w:val="FirstParagraph"/>
      </w:pPr>
      <w:r>
        <w:t xml:space="preserve">Here are graphical representations of these normal distributions (along with the weakly</w:t>
      </w:r>
      <w:r>
        <w:t xml:space="preserve"> </w:t>
      </w:r>
      <w:r>
        <w:t xml:space="preserve">informative mentioned before):</w:t>
      </w:r>
    </w:p>
    <w:p>
      <w:pPr>
        <w:pStyle w:val="BodyText"/>
      </w:pPr>
      <w:r>
        <w:drawing>
          <wp:inline>
            <wp:extent cx="5334000" cy="2074333"/>
            <wp:effectExtent b="0" l="0" r="0" t="0"/>
            <wp:docPr descr="" title="" id="1" name="Picture"/>
            <a:graphic>
              <a:graphicData uri="http://schemas.openxmlformats.org/drawingml/2006/picture">
                <pic:pic>
                  <pic:nvPicPr>
                    <pic:cNvPr descr="supplementary_material_files/figure-docx/unnamed-chunk-7-1.png" id="0" name="Picture"/>
                    <pic:cNvPicPr>
                      <a:picLocks noChangeArrowheads="1" noChangeAspect="1"/>
                    </pic:cNvPicPr>
                  </pic:nvPicPr>
                  <pic:blipFill>
                    <a:blip r:embed="rId24"/>
                    <a:stretch>
                      <a:fillRect/>
                    </a:stretch>
                  </pic:blipFill>
                  <pic:spPr bwMode="auto">
                    <a:xfrm>
                      <a:off x="0" y="0"/>
                      <a:ext cx="5334000" cy="2074333"/>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1"/>
        <w:gridCol w:w="839"/>
        <w:gridCol w:w="1022"/>
        <w:gridCol w:w="1512"/>
      </w:tblGrid>
      <w:tr>
        <w:trPr>
          <w:cantSplit/>
          <w:trHeight w:val="577"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 scale</w:t>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Linear scale</w:t>
            </w:r>
          </w:p>
        </w:tc>
      </w:tr>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61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 2]</w:t>
            </w:r>
          </w:p>
        </w:tc>
      </w:tr>
      <w:tr>
        <w:trPr>
          <w:cantSplit/>
          <w:trHeight w:val="61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 5]</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 2540.2]</w:t>
            </w:r>
          </w:p>
        </w:tc>
      </w:tr>
    </w:tbl>
    <w:p>
      <w:pPr>
        <w:pStyle w:val="BodyText"/>
      </w:pPr>
      <w:r>
        <w:t xml:space="preserve">Here are graphical representations of distributions for the between-study</w:t>
      </w:r>
      <w:r>
        <w:t xml:space="preserve"> </w:t>
      </w:r>
      <w:r>
        <w:t xml:space="preserve">standard deviation (</w:t>
      </w:r>
      <m:oMath>
        <m:r>
          <m:t>τ</m:t>
        </m:r>
      </m:oMath>
      <w:r>
        <w:t xml:space="preserve">) (along with the weakly informative mentioned before):</w:t>
      </w:r>
    </w:p>
    <w:p>
      <w:pPr>
        <w:pStyle w:val="BodyText"/>
      </w:pPr>
      <w:r>
        <w:drawing>
          <wp:inline>
            <wp:extent cx="5334000" cy="2074333"/>
            <wp:effectExtent b="0" l="0" r="0" t="0"/>
            <wp:docPr descr="" title="" id="1" name="Picture"/>
            <a:graphic>
              <a:graphicData uri="http://schemas.openxmlformats.org/drawingml/2006/picture">
                <pic:pic>
                  <pic:nvPicPr>
                    <pic:cNvPr descr="supplementary_material_files/figure-docx/unnamed-chunk-9-1.png" id="0" name="Picture"/>
                    <pic:cNvPicPr>
                      <a:picLocks noChangeArrowheads="1" noChangeAspect="1"/>
                    </pic:cNvPicPr>
                  </pic:nvPicPr>
                  <pic:blipFill>
                    <a:blip r:embed="rId25"/>
                    <a:stretch>
                      <a:fillRect/>
                    </a:stretch>
                  </pic:blipFill>
                  <pic:spPr bwMode="auto">
                    <a:xfrm>
                      <a:off x="0" y="0"/>
                      <a:ext cx="5334000" cy="2074333"/>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2881"/>
        <w:gridCol w:w="851"/>
        <w:gridCol w:w="1585"/>
        <w:gridCol w:w="1462"/>
        <w:gridCol w:w="1829"/>
      </w:tblGrid>
      <w:tr>
        <w:trPr>
          <w:cantSplit/>
          <w:trHeight w:val="618"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4"/>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Heterogeneity Range</w:t>
            </w:r>
          </w:p>
        </w:tc>
      </w:tr>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Prior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Distribution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Reasonable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Fairly 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Fairly Extreme</w:t>
            </w:r>
          </w:p>
        </w:tc>
      </w:tr>
      <w:tr>
        <w:trPr>
          <w:cantSplit/>
          <w:trHeight w:val="618"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Weakly informative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Half-Normal(0.5)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617"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Vague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Half-Normal(4.0)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Informative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Log-Normal(-1.975, 0.67)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bl>
    <w:bookmarkEnd w:id="26"/>
    <w:bookmarkEnd w:id="27"/>
    <w:bookmarkStart w:id="37" w:name="X7ccce66ffa9a8ccbaaff3af633f16e978fb3c1f"/>
    <w:p>
      <w:pPr>
        <w:pStyle w:val="Heading2"/>
      </w:pPr>
      <w:r>
        <w:t xml:space="preserve">Predictive analysis to confirm tocilizumab’s association with mortality benefit</w:t>
      </w:r>
    </w:p>
    <w:p>
      <w:pPr>
        <w:pStyle w:val="FirstParagraph"/>
      </w:pPr>
      <w:r>
        <w:t xml:space="preserve">Lastly, we will update our current evidence (as modeled in our</w:t>
      </w:r>
      <w:r>
        <w:t xml:space="preserve"> </w:t>
      </w:r>
      <w:r>
        <w:t xml:space="preserve">main meta-regression model) with generated randomized clinical trials (RCTs) of</w:t>
      </w:r>
      <w:r>
        <w:t xml:space="preserve"> </w:t>
      </w:r>
      <w:r>
        <w:t xml:space="preserve">different sample sizes comparing tocilizumab to control on patients on invasive</w:t>
      </w:r>
      <w:r>
        <w:t xml:space="preserve"> </w:t>
      </w:r>
      <w:r>
        <w:t xml:space="preserve">mechanical ventilation.</w:t>
      </w:r>
    </w:p>
    <w:p>
      <w:pPr>
        <w:pStyle w:val="BodyText"/>
      </w:pPr>
      <w:r>
        <w:t xml:space="preserve">We will use the estimated marginal posterior mean and standard error on this subgroup to create a prior distribution. Then, we will use normal conjugate analyses to update this prior with new data (likelihood), and form an updated posterior distribution.</w:t>
      </w:r>
    </w:p>
    <w:bookmarkStart w:id="29" w:name="prior"/>
    <w:p>
      <w:pPr>
        <w:pStyle w:val="Heading3"/>
      </w:pPr>
      <w:r>
        <w:t xml:space="preserve">Prior</w:t>
      </w:r>
    </w:p>
    <w:p>
      <w:pPr>
        <w:pStyle w:val="FirstParagraph"/>
      </w:pPr>
      <w:r>
        <w:t xml:space="preserve">As described before, we fitted a Bayesian meta-regression model, from which we</w:t>
      </w:r>
      <w:r>
        <w:t xml:space="preserve"> </w:t>
      </w:r>
      <w:r>
        <w:t xml:space="preserve">estimated marginal posterior distributions on different subgroups.</w:t>
      </w:r>
    </w:p>
    <w:p>
      <w:pPr>
        <w:pStyle w:val="BodyText"/>
      </w:pPr>
      <w:r>
        <w:t xml:space="preserve">Here, the subgroup of interest is the invasive mechanical ventilation:</w:t>
      </w:r>
    </w:p>
    <w:p>
      <w:pPr>
        <w:pStyle w:val="CaptionedFigure"/>
      </w:pPr>
      <w:r>
        <w:drawing>
          <wp:inline>
            <wp:extent cx="5334000" cy="3200400"/>
            <wp:effectExtent b="0" l="0" r="0" t="0"/>
            <wp:docPr descr="Marginal posterior distribution of the invasive mechanical ventilation subgroup. The interval bar depicts the mean and 95% quantile interval." title="" id="1" name="Picture"/>
            <a:graphic>
              <a:graphicData uri="http://schemas.openxmlformats.org/drawingml/2006/picture">
                <pic:pic>
                  <pic:nvPicPr>
                    <pic:cNvPr descr="supplementary_material_files/figure-docx/unnamed-chunk-11-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Marginal posterior distribution of the invasive mechanical ventilation subgroup. The interval bar depicts the mean and 95% quantile interval.</w:t>
      </w:r>
    </w:p>
    <w:p>
      <w:pPr>
        <w:pStyle w:val="BodyText"/>
      </w:pPr>
      <w:r>
        <w:t xml:space="preserve">In the linear scale, the mean of this marginal posterior distribution is</w:t>
      </w:r>
      <w:r>
        <w:t xml:space="preserve"> </w:t>
      </w:r>
      <w:r>
        <w:t xml:space="preserve">0.89. Because we will</w:t>
      </w:r>
      <w:r>
        <w:t xml:space="preserve"> </w:t>
      </w:r>
      <w:r>
        <w:t xml:space="preserve">use normal conjugate analysis, it is of greater interest to evaluate this</w:t>
      </w:r>
      <w:r>
        <w:t xml:space="preserve"> </w:t>
      </w:r>
      <w:r>
        <w:t xml:space="preserve">distribution on the log scale, which is approximately normally distributed.</w:t>
      </w:r>
      <w:r>
        <w:t xml:space="preserve"> </w:t>
      </w:r>
      <w:r>
        <w:t xml:space="preserve">In this case, the mean is -0.12 and</w:t>
      </w:r>
      <w:r>
        <w:t xml:space="preserve"> </w:t>
      </w:r>
      <w:r>
        <w:t xml:space="preserve">the standard error is 0.17.</w:t>
      </w:r>
    </w:p>
    <w:bookmarkEnd w:id="29"/>
    <w:bookmarkStart w:id="36" w:name="likelihood"/>
    <w:p>
      <w:pPr>
        <w:pStyle w:val="Heading3"/>
      </w:pPr>
      <w:r>
        <w:t xml:space="preserve">Likelihood</w:t>
      </w:r>
    </w:p>
    <w:p>
      <w:pPr>
        <w:pStyle w:val="FirstParagraph"/>
      </w:pPr>
      <w:r>
        <w:t xml:space="preserve">We will create six different RCTs and update the prior distribution mentioned above</w:t>
      </w:r>
      <w:r>
        <w:t xml:space="preserve"> </w:t>
      </w:r>
      <w:r>
        <w:t xml:space="preserve">six separate times.</w:t>
      </w:r>
    </w:p>
    <w:p>
      <w:pPr>
        <w:pStyle w:val="BodyText"/>
      </w:pPr>
      <w:r>
        <w:t xml:space="preserve">Assuming the prior is normally distributed</w:t>
      </w:r>
    </w:p>
    <w:p>
      <w:pPr>
        <w:pStyle w:val="BodyText"/>
      </w:pPr>
      <m:oMathPara>
        <m:oMathParaPr>
          <m:jc m:val="center"/>
        </m:oMathParaPr>
        <m:oMath>
          <m:r>
            <m:t>N</m:t>
          </m:r>
          <m:d>
            <m:dPr>
              <m:begChr m:val="("/>
              <m:endChr m:val=")"/>
              <m:sepChr m:val=""/>
              <m:grow/>
            </m:dPr>
            <m:e>
              <m:r>
                <m:t>θ</m:t>
              </m:r>
              <m:r>
                <m:rPr>
                  <m:sty m:val="p"/>
                </m:rPr>
                <m:t>,</m:t>
              </m:r>
              <m:sSup>
                <m:e>
                  <m:r>
                    <m:t>σ</m:t>
                  </m:r>
                </m:e>
                <m:sup>
                  <m:r>
                    <m:t>2</m:t>
                  </m:r>
                </m:sup>
              </m:sSup>
            </m:e>
          </m:d>
        </m:oMath>
      </m:oMathPara>
    </w:p>
    <w:p>
      <w:pPr>
        <w:pStyle w:val="FirstParagraph"/>
      </w:pPr>
      <w:r>
        <w:t xml:space="preserve">and so is the data (likelihood).</w:t>
      </w:r>
    </w:p>
    <w:p>
      <w:pPr>
        <w:pStyle w:val="BodyText"/>
      </w:pPr>
      <m:oMathPara>
        <m:oMathParaPr>
          <m:jc m:val="center"/>
        </m:oMathParaPr>
        <m:oMath>
          <m:r>
            <m:t>N</m:t>
          </m:r>
          <m:d>
            <m:dPr>
              <m:begChr m:val="("/>
              <m:endChr m:val=")"/>
              <m:sepChr m:val=""/>
              <m:grow/>
            </m:dPr>
            <m:e>
              <m:acc>
                <m:accPr>
                  <m:chr m:val="̂"/>
                </m:accPr>
                <m:e>
                  <m:r>
                    <m:t>θ</m:t>
                  </m:r>
                </m:e>
              </m:acc>
              <m:r>
                <m:rPr>
                  <m:sty m:val="p"/>
                </m:rPr>
                <m:t>,</m:t>
              </m:r>
              <m:sSup>
                <m:e>
                  <m:acc>
                    <m:accPr>
                      <m:chr m:val="̂"/>
                    </m:accPr>
                    <m:e>
                      <m:r>
                        <m:t>σ</m:t>
                      </m:r>
                    </m:e>
                  </m:acc>
                </m:e>
                <m:sup>
                  <m:r>
                    <m:t>2</m:t>
                  </m:r>
                </m:sup>
              </m:sSup>
            </m:e>
          </m:d>
        </m:oMath>
      </m:oMathPara>
    </w:p>
    <w:p>
      <w:pPr>
        <w:pStyle w:val="FirstParagraph"/>
      </w:pPr>
      <w:r>
        <w:t xml:space="preserve">The mean and variance of the posterior distributions can be estimated by the</w:t>
      </w:r>
      <w:r>
        <w:t xml:space="preserve"> </w:t>
      </w:r>
      <w:r>
        <w:t xml:space="preserve">following formulas:</w:t>
      </w:r>
    </w:p>
    <w:p>
      <w:pPr>
        <w:numPr>
          <w:ilvl w:val="0"/>
          <w:numId w:val="1002"/>
        </w:numPr>
        <w:pStyle w:val="Compact"/>
      </w:pPr>
      <w:r>
        <w:t xml:space="preserve">Mean</w:t>
      </w:r>
    </w:p>
    <w:p>
      <w:pPr>
        <w:pStyle w:val="FirstParagraph"/>
      </w:pPr>
      <m:oMathPara>
        <m:oMathParaPr>
          <m:jc m:val="center"/>
        </m:oMathParaPr>
        <m:oMath>
          <m:f>
            <m:fPr>
              <m:type m:val="bar"/>
            </m:fPr>
            <m:num>
              <m:f>
                <m:fPr>
                  <m:type m:val="bar"/>
                </m:fPr>
                <m:num>
                  <m:r>
                    <m:t>θ</m:t>
                  </m:r>
                </m:num>
                <m:den>
                  <m:sSup>
                    <m:e>
                      <m:r>
                        <m:t>σ</m:t>
                      </m:r>
                    </m:e>
                    <m:sup>
                      <m:r>
                        <m:t>2</m:t>
                      </m:r>
                    </m:sup>
                  </m:sSup>
                </m:den>
              </m:f>
              <m:r>
                <m:rPr>
                  <m:sty m:val="p"/>
                </m:rPr>
                <m:t>+</m:t>
              </m:r>
              <m:f>
                <m:fPr>
                  <m:type m:val="bar"/>
                </m:fPr>
                <m:num>
                  <m:acc>
                    <m:accPr>
                      <m:chr m:val="̂"/>
                    </m:accPr>
                    <m:e>
                      <m:r>
                        <m:t>θ</m:t>
                      </m:r>
                    </m:e>
                  </m:acc>
                </m:num>
                <m:den>
                  <m:sSup>
                    <m:e>
                      <m:acc>
                        <m:accPr>
                          <m:chr m:val="̂"/>
                        </m:accPr>
                        <m:e>
                          <m:r>
                            <m:t>σ</m:t>
                          </m:r>
                        </m:e>
                      </m:acc>
                    </m:e>
                    <m:sup>
                      <m:r>
                        <m:t>2</m:t>
                      </m:r>
                    </m:sup>
                  </m:sSup>
                </m:den>
              </m:f>
            </m:num>
            <m:den>
              <m:f>
                <m:fPr>
                  <m:type m:val="bar"/>
                </m:fPr>
                <m:num>
                  <m:r>
                    <m:t>1</m:t>
                  </m:r>
                </m:num>
                <m:den>
                  <m:sSup>
                    <m:e>
                      <m:r>
                        <m:t>σ</m:t>
                      </m:r>
                    </m:e>
                    <m:sup>
                      <m:r>
                        <m:t>2</m:t>
                      </m:r>
                    </m:sup>
                  </m:sSup>
                </m:den>
              </m:f>
              <m:r>
                <m:rPr>
                  <m:sty m:val="p"/>
                </m:rPr>
                <m:t>+</m:t>
              </m:r>
              <m:f>
                <m:fPr>
                  <m:type m:val="bar"/>
                </m:fPr>
                <m:num>
                  <m:r>
                    <m:t>1</m:t>
                  </m:r>
                </m:num>
                <m:den>
                  <m:sSup>
                    <m:e>
                      <m:acc>
                        <m:accPr>
                          <m:chr m:val="̂"/>
                        </m:accPr>
                        <m:e>
                          <m:r>
                            <m:t>σ</m:t>
                          </m:r>
                        </m:e>
                      </m:acc>
                    </m:e>
                    <m:sup>
                      <m:r>
                        <m:t>2</m:t>
                      </m:r>
                    </m:sup>
                  </m:sSup>
                </m:den>
              </m:f>
            </m:den>
          </m:f>
        </m:oMath>
      </m:oMathPara>
    </w:p>
    <w:p>
      <w:pPr>
        <w:numPr>
          <w:ilvl w:val="0"/>
          <w:numId w:val="1003"/>
        </w:numPr>
        <w:pStyle w:val="Compact"/>
      </w:pPr>
      <w:r>
        <w:t xml:space="preserve">Variance</w:t>
      </w:r>
    </w:p>
    <w:p>
      <w:pPr>
        <w:pStyle w:val="FirstParagraph"/>
      </w:pPr>
      <m:oMathPara>
        <m:oMathParaPr>
          <m:jc m:val="center"/>
        </m:oMathParaPr>
        <m:oMath>
          <m:f>
            <m:fPr>
              <m:type m:val="bar"/>
            </m:fPr>
            <m:num>
              <m:r>
                <m:t>1</m:t>
              </m:r>
            </m:num>
            <m:den>
              <m:f>
                <m:fPr>
                  <m:type m:val="bar"/>
                </m:fPr>
                <m:num>
                  <m:r>
                    <m:t>1</m:t>
                  </m:r>
                </m:num>
                <m:den>
                  <m:sSup>
                    <m:e>
                      <m:r>
                        <m:t>σ</m:t>
                      </m:r>
                    </m:e>
                    <m:sup>
                      <m:r>
                        <m:t>2</m:t>
                      </m:r>
                    </m:sup>
                  </m:sSup>
                </m:den>
              </m:f>
              <m:r>
                <m:rPr>
                  <m:sty m:val="p"/>
                </m:rPr>
                <m:t>+</m:t>
              </m:r>
              <m:f>
                <m:fPr>
                  <m:type m:val="bar"/>
                </m:fPr>
                <m:num>
                  <m:r>
                    <m:t>1</m:t>
                  </m:r>
                </m:num>
                <m:den>
                  <m:sSup>
                    <m:e>
                      <m:acc>
                        <m:accPr>
                          <m:chr m:val="̂"/>
                        </m:accPr>
                        <m:e>
                          <m:r>
                            <m:t>σ</m:t>
                          </m:r>
                        </m:e>
                      </m:acc>
                    </m:e>
                    <m:sup>
                      <m:r>
                        <m:t>2</m:t>
                      </m:r>
                    </m:sup>
                  </m:sSup>
                </m:den>
              </m:f>
            </m:den>
          </m:f>
        </m:oMath>
      </m:oMathPara>
    </w:p>
    <w:p>
      <w:pPr>
        <w:pStyle w:val="FirstParagraph"/>
      </w:pPr>
      <w:r>
        <w:t xml:space="preserve">In summary, we are able to update a normally distributed prior distribution</w:t>
      </w:r>
      <w:r>
        <w:t xml:space="preserve"> </w:t>
      </w:r>
      <w:r>
        <w:t xml:space="preserve">(shown in the Figure above) with normally distributed data to generate a</w:t>
      </w:r>
      <w:r>
        <w:t xml:space="preserve"> </w:t>
      </w:r>
      <w:r>
        <w:t xml:space="preserve">normally distributed posterior distribution. Based on the posterior’s mean and</w:t>
      </w:r>
      <w:r>
        <w:t xml:space="preserve"> </w:t>
      </w:r>
      <w:r>
        <w:t xml:space="preserve">variance, we will generate 100,000 random samples (seed number of 123).</w:t>
      </w:r>
    </w:p>
    <w:p>
      <w:pPr>
        <w:pStyle w:val="BodyText"/>
      </w:pPr>
      <w:r>
        <w:t xml:space="preserve">As mentioned before, we will create six different RCTs to separately generate</w:t>
      </w:r>
      <w:r>
        <w:t xml:space="preserve"> </w:t>
      </w:r>
      <w:r>
        <w:t xml:space="preserve">six different posterior distributions (from the same prior distribution).</w:t>
      </w:r>
      <w:r>
        <w:t xml:space="preserve"> </w:t>
      </w:r>
      <w:r>
        <w:t xml:space="preserve">Therefore, we now have to decide the mean and standard deviation of the likelihood.</w:t>
      </w:r>
    </w:p>
    <w:p>
      <w:pPr>
        <w:pStyle w:val="BodyText"/>
      </w:pPr>
      <w:r>
        <w:t xml:space="preserve">All RCTs will have a mean of -0.26 (log scale).</w:t>
      </w:r>
      <w:r>
        <w:t xml:space="preserve"> </w:t>
      </w:r>
      <w:r>
        <w:t xml:space="preserve">This value is the equal to 0.77 in the linear scale,</w:t>
      </w:r>
      <w:r>
        <w:t xml:space="preserve"> </w:t>
      </w:r>
      <w:r>
        <w:t xml:space="preserve">which was chosen based on WHO’s meta-analysis</w:t>
      </w:r>
      <w:r>
        <w:t xml:space="preserve"> </w:t>
      </w:r>
      <w:r>
        <w:t xml:space="preserve">(</w:t>
      </w:r>
      <w:hyperlink r:id="rId30">
        <w:r>
          <w:rPr>
            <w:rStyle w:val="Hyperlink"/>
          </w:rPr>
          <w:t xml:space="preserve">page 14 in Supplement 2</w:t>
        </w:r>
      </w:hyperlink>
      <w:r>
        <w:t xml:space="preserve">). This is the mean odds</w:t>
      </w:r>
      <w:r>
        <w:t xml:space="preserve"> </w:t>
      </w:r>
      <w:r>
        <w:t xml:space="preserve">ratio of tocilizumab vs. control in patients using corticosteroids (overall</w:t>
      </w:r>
      <w:r>
        <w:t xml:space="preserve"> </w:t>
      </w:r>
      <w:r>
        <w:t xml:space="preserve">results).</w:t>
      </w:r>
    </w:p>
    <w:p>
      <w:pPr>
        <w:pStyle w:val="BodyText"/>
      </w:pPr>
      <w:r>
        <w:t xml:space="preserve">Here are our assumptions to calculate the standard deviation of each RCTs:</w:t>
      </w:r>
    </w:p>
    <w:p>
      <w:pPr>
        <w:numPr>
          <w:ilvl w:val="0"/>
          <w:numId w:val="1004"/>
        </w:numPr>
      </w:pPr>
      <w:r>
        <w:t xml:space="preserve">We assume equal allocation in both treatment arms (tocilizumab and control).</w:t>
      </w:r>
    </w:p>
    <w:p>
      <w:pPr>
        <w:numPr>
          <w:ilvl w:val="0"/>
          <w:numId w:val="1004"/>
        </w:numPr>
      </w:pPr>
      <w:r>
        <w:t xml:space="preserve">Adapting from the suggestions in the</w:t>
      </w:r>
      <w:r>
        <w:t xml:space="preserve"> </w:t>
      </w:r>
      <w:hyperlink r:id="rId31">
        <w:r>
          <w:rPr>
            <w:rStyle w:val="Hyperlink"/>
          </w:rPr>
          <w:t xml:space="preserve">GRADE guidelines</w:t>
        </w:r>
      </w:hyperlink>
      <w:r>
        <w:t xml:space="preserve">, we found</w:t>
      </w:r>
      <w:r>
        <w:t xml:space="preserve"> </w:t>
      </w:r>
      <w:r>
        <w:t xml:space="preserve">a striking discrepancy between the control mortality risk in this data (52%)</w:t>
      </w:r>
      <w:r>
        <w:t xml:space="preserve"> </w:t>
      </w:r>
      <w:r>
        <w:t xml:space="preserve">in comparison to another</w:t>
      </w:r>
      <w:r>
        <w:t xml:space="preserve"> </w:t>
      </w:r>
      <w:hyperlink r:id="rId32">
        <w:r>
          <w:rPr>
            <w:rStyle w:val="Hyperlink"/>
          </w:rPr>
          <w:t xml:space="preserve">previously published meta-analysis</w:t>
        </w:r>
      </w:hyperlink>
      <w:r>
        <w:t xml:space="preserve"> </w:t>
      </w:r>
      <w:r>
        <w:t xml:space="preserve">(34% in patients on IVM and using corticosteroids).</w:t>
      </w:r>
      <w:r>
        <w:t xml:space="preserve"> </w:t>
      </w:r>
      <w:r>
        <w:t xml:space="preserve">Thus, we have decided to use 43% (arithmetic mean between 34 and 52) as our</w:t>
      </w:r>
      <w:r>
        <w:t xml:space="preserve"> </w:t>
      </w:r>
      <w:r>
        <w:t xml:space="preserve">reference risk in the IVM subgroup..</w:t>
      </w:r>
    </w:p>
    <w:p>
      <w:pPr>
        <w:numPr>
          <w:ilvl w:val="0"/>
          <w:numId w:val="1004"/>
        </w:numPr>
      </w:pPr>
      <w:r>
        <w:t xml:space="preserve">The mortality risk in the tocilizumab was calculated using the following</w:t>
      </w:r>
      <w:r>
        <w:t xml:space="preserve"> </w:t>
      </w:r>
      <w:r>
        <w:t xml:space="preserve">formula (Box 1 in</w:t>
      </w:r>
      <w:r>
        <w:t xml:space="preserve"> </w:t>
      </w:r>
      <w:hyperlink r:id="rId33">
        <w:r>
          <w:rPr>
            <w:rStyle w:val="Hyperlink"/>
          </w:rPr>
          <w:t xml:space="preserve">Doi et al., 2020</w:t>
        </w:r>
      </w:hyperlink>
      <w:r>
        <w:t xml:space="preserve">):</w:t>
      </w:r>
    </w:p>
    <w:p>
      <w:pPr>
        <w:pStyle w:val="FirstParagraph"/>
      </w:pPr>
      <m:oMathPara>
        <m:oMathParaPr>
          <m:jc m:val="center"/>
        </m:oMathParaPr>
        <m:oMath>
          <m:sSub>
            <m:e>
              <m:r>
                <m:t>R</m:t>
              </m:r>
            </m:e>
            <m:sub>
              <m:r>
                <m:t>T</m:t>
              </m:r>
            </m:sub>
          </m:sSub>
          <m:r>
            <m:rPr>
              <m:sty m:val="p"/>
            </m:rPr>
            <m:t>=</m:t>
          </m:r>
          <m:f>
            <m:fPr>
              <m:type m:val="bar"/>
            </m:fPr>
            <m:num>
              <m:sSub>
                <m:e>
                  <m:r>
                    <m:t>R</m:t>
                  </m:r>
                </m:e>
                <m:sub>
                  <m:r>
                    <m:t>C</m:t>
                  </m:r>
                </m:sub>
              </m:sSub>
              <m:r>
                <m:t>O</m:t>
              </m:r>
              <m:r>
                <m:t>R</m:t>
              </m:r>
            </m:num>
            <m:den>
              <m:sSub>
                <m:e>
                  <m:r>
                    <m:t>R</m:t>
                  </m:r>
                </m:e>
                <m:sub>
                  <m:r>
                    <m:t>C</m:t>
                  </m:r>
                </m:sub>
              </m:sSub>
              <m:d>
                <m:dPr>
                  <m:begChr m:val="("/>
                  <m:endChr m:val=")"/>
                  <m:sepChr m:val=""/>
                  <m:grow/>
                </m:dPr>
                <m:e>
                  <m:r>
                    <m:t>O</m:t>
                  </m:r>
                  <m:r>
                    <m:t>R</m:t>
                  </m:r>
                  <m:r>
                    <m:rPr>
                      <m:sty m:val="p"/>
                    </m:rPr>
                    <m:t>−</m:t>
                  </m:r>
                  <m:r>
                    <m:t>1</m:t>
                  </m:r>
                </m:e>
              </m:d>
              <m:r>
                <m:rPr>
                  <m:sty m:val="p"/>
                </m:rPr>
                <m:t>+</m:t>
              </m:r>
              <m:r>
                <m:t>1</m:t>
              </m:r>
            </m:den>
          </m:f>
        </m:oMath>
      </m:oMathPara>
    </w:p>
    <w:p>
      <w:pPr>
        <w:pStyle w:val="FirstParagraph"/>
      </w:pPr>
      <w:r>
        <w:t xml:space="preserve">where</w:t>
      </w:r>
      <w:r>
        <w:t xml:space="preserve"> </w:t>
      </w:r>
      <m:oMath>
        <m:sSub>
          <m:e>
            <m:r>
              <m:t>R</m:t>
            </m:r>
          </m:e>
          <m:sub>
            <m:r>
              <m:t>T</m:t>
            </m:r>
          </m:sub>
        </m:sSub>
      </m:oMath>
      <w:r>
        <w:t xml:space="preserve"> </w:t>
      </w:r>
      <w:r>
        <w:t xml:space="preserve">is the mortality risk in the tocilizumab group,</w:t>
      </w:r>
      <w:r>
        <w:t xml:space="preserve"> </w:t>
      </w:r>
      <m:oMath>
        <m:sSub>
          <m:e>
            <m:r>
              <m:t>R</m:t>
            </m:r>
          </m:e>
          <m:sub>
            <m:r>
              <m:t>C</m:t>
            </m:r>
          </m:sub>
        </m:sSub>
      </m:oMath>
      <w:r>
        <w:t xml:space="preserve"> </w:t>
      </w:r>
      <w:r>
        <w:t xml:space="preserve">is the</w:t>
      </w:r>
      <w:r>
        <w:t xml:space="preserve"> </w:t>
      </w:r>
      <w:r>
        <w:t xml:space="preserve">mortality risk in the control group and</w:t>
      </w:r>
      <w:r>
        <w:t xml:space="preserve"> </w:t>
      </w:r>
      <m:oMath>
        <m:r>
          <m:t>O</m:t>
        </m:r>
        <m:r>
          <m:t>R</m:t>
        </m:r>
      </m:oMath>
      <w:r>
        <w:t xml:space="preserve"> </w:t>
      </w:r>
      <w:r>
        <w:t xml:space="preserve">is the odds ratio mentioned above.</w:t>
      </w:r>
      <w:r>
        <w:t xml:space="preserve"> </w:t>
      </w:r>
      <w:r>
        <w:t xml:space="preserve">Thus, the tocilizumab risk is equal to 0.37.</w:t>
      </w:r>
    </w:p>
    <w:p>
      <w:pPr>
        <w:pStyle w:val="BodyText"/>
      </w:pPr>
      <w:r>
        <w:t xml:space="preserve">Thus, we are simulating RCTs with mean OR equal to 0.77, control</w:t>
      </w:r>
      <w:r>
        <w:t xml:space="preserve"> </w:t>
      </w:r>
      <w:r>
        <w:t xml:space="preserve">risk mortality of 0.43, and tocilizumab risk of</w:t>
      </w:r>
      <w:r>
        <w:t xml:space="preserve"> </w:t>
      </w:r>
      <w:r>
        <w:t xml:space="preserve">0.37.</w:t>
      </w:r>
    </w:p>
    <w:p>
      <w:pPr>
        <w:pStyle w:val="BodyText"/>
      </w:pPr>
      <w:r>
        <w:t xml:space="preserve">Based on these values, we can estimate the standard deviation (</w:t>
      </w:r>
      <m:oMath>
        <m:r>
          <m:t>S</m:t>
        </m:r>
        <m:r>
          <m:t>D</m:t>
        </m:r>
      </m:oMath>
      <w:r>
        <w:t xml:space="preserve">) with the following</w:t>
      </w:r>
      <w:r>
        <w:t xml:space="preserve"> </w:t>
      </w:r>
      <w:hyperlink r:id="rId34">
        <w:r>
          <w:rPr>
            <w:rStyle w:val="Hyperlink"/>
          </w:rPr>
          <w:t xml:space="preserve">formula</w:t>
        </w:r>
      </w:hyperlink>
      <w:r>
        <w:t xml:space="preserve">:</w:t>
      </w:r>
    </w:p>
    <w:p>
      <w:pPr>
        <w:pStyle w:val="BodyText"/>
      </w:pPr>
      <m:oMathPara>
        <m:oMathParaPr>
          <m:jc m:val="center"/>
        </m:oMathParaPr>
        <m:oMath>
          <m:r>
            <m:t>S</m:t>
          </m:r>
          <m:r>
            <m:t>D</m:t>
          </m:r>
          <m:r>
            <m:rPr>
              <m:sty m:val="p"/>
            </m:rPr>
            <m:t>=</m:t>
          </m:r>
          <m:rad>
            <m:radPr>
              <m:degHide m:val="1"/>
            </m:radPr>
            <m:deg/>
            <m:e>
              <m:f>
                <m:fPr>
                  <m:type m:val="bar"/>
                </m:fPr>
                <m:num>
                  <m:r>
                    <m:t>1</m:t>
                  </m:r>
                </m:num>
                <m:den>
                  <m:r>
                    <m:t>a</m:t>
                  </m:r>
                  <m:r>
                    <m:rPr>
                      <m:sty m:val="p"/>
                    </m:rPr>
                    <m:t>+</m:t>
                  </m:r>
                  <m:f>
                    <m:fPr>
                      <m:type m:val="bar"/>
                    </m:fPr>
                    <m:num>
                      <m:r>
                        <m:t>1</m:t>
                      </m:r>
                    </m:num>
                    <m:den>
                      <m:r>
                        <m:t>2</m:t>
                      </m:r>
                    </m:den>
                  </m:f>
                </m:den>
              </m:f>
              <m:r>
                <m:rPr>
                  <m:sty m:val="p"/>
                </m:rPr>
                <m:t>+</m:t>
              </m:r>
              <m:f>
                <m:fPr>
                  <m:type m:val="bar"/>
                </m:fPr>
                <m:num>
                  <m:r>
                    <m:t>1</m:t>
                  </m:r>
                </m:num>
                <m:den>
                  <m:r>
                    <m:t>b</m:t>
                  </m:r>
                  <m:r>
                    <m:rPr>
                      <m:sty m:val="p"/>
                    </m:rPr>
                    <m:t>+</m:t>
                  </m:r>
                  <m:f>
                    <m:fPr>
                      <m:type m:val="bar"/>
                    </m:fPr>
                    <m:num>
                      <m:r>
                        <m:t>1</m:t>
                      </m:r>
                    </m:num>
                    <m:den>
                      <m:r>
                        <m:t>2</m:t>
                      </m:r>
                    </m:den>
                  </m:f>
                </m:den>
              </m:f>
              <m:r>
                <m:rPr>
                  <m:sty m:val="p"/>
                </m:rPr>
                <m:t>+</m:t>
              </m:r>
              <m:f>
                <m:fPr>
                  <m:type m:val="bar"/>
                </m:fPr>
                <m:num>
                  <m:r>
                    <m:t>1</m:t>
                  </m:r>
                </m:num>
                <m:den>
                  <m:r>
                    <m:t>c</m:t>
                  </m:r>
                  <m:r>
                    <m:rPr>
                      <m:sty m:val="p"/>
                    </m:rPr>
                    <m:t>+</m:t>
                  </m:r>
                  <m:f>
                    <m:fPr>
                      <m:type m:val="bar"/>
                    </m:fPr>
                    <m:num>
                      <m:r>
                        <m:t>1</m:t>
                      </m:r>
                    </m:num>
                    <m:den>
                      <m:r>
                        <m:t>2</m:t>
                      </m:r>
                    </m:den>
                  </m:f>
                </m:den>
              </m:f>
              <m:r>
                <m:rPr>
                  <m:sty m:val="p"/>
                </m:rPr>
                <m:t>+</m:t>
              </m:r>
              <m:f>
                <m:fPr>
                  <m:type m:val="bar"/>
                </m:fPr>
                <m:num>
                  <m:r>
                    <m:t>1</m:t>
                  </m:r>
                </m:num>
                <m:den>
                  <m:r>
                    <m:t>d</m:t>
                  </m:r>
                  <m:r>
                    <m:rPr>
                      <m:sty m:val="p"/>
                    </m:rPr>
                    <m:t>+</m:t>
                  </m:r>
                  <m:f>
                    <m:fPr>
                      <m:type m:val="bar"/>
                    </m:fPr>
                    <m:num>
                      <m:r>
                        <m:t>1</m:t>
                      </m:r>
                    </m:num>
                    <m:den>
                      <m:r>
                        <m:t>2</m:t>
                      </m:r>
                    </m:den>
                  </m:f>
                </m:den>
              </m:f>
            </m:e>
          </m:rad>
        </m:oMath>
      </m:oMathPara>
    </w:p>
    <w:p>
      <w:pPr>
        <w:pStyle w:val="FirstParagraph"/>
      </w:pPr>
      <w:r>
        <w:t xml:space="preserve">where</w:t>
      </w:r>
      <w:r>
        <w:t xml:space="preserve"> </w:t>
      </w:r>
      <m:oMath>
        <m:r>
          <m:t>a</m:t>
        </m:r>
      </m:oMath>
      <w:r>
        <w:t xml:space="preserve">,</w:t>
      </w:r>
      <w:r>
        <w:t xml:space="preserve"> </w:t>
      </w:r>
      <m:oMath>
        <m:r>
          <m:t>b</m:t>
        </m:r>
      </m:oMath>
      <w:r>
        <w:t xml:space="preserve">,</w:t>
      </w:r>
      <w:r>
        <w:t xml:space="preserve"> </w:t>
      </w:r>
      <m:oMath>
        <m:r>
          <m:t>c</m:t>
        </m:r>
      </m:oMath>
      <w:r>
        <w:t xml:space="preserve"> </w:t>
      </w:r>
      <w:r>
        <w:t xml:space="preserve">and</w:t>
      </w:r>
      <w:r>
        <w:t xml:space="preserve"> </w:t>
      </w:r>
      <m:oMath>
        <m:r>
          <m:t>d</m:t>
        </m:r>
      </m:oMath>
      <w:r>
        <w:t xml:space="preserve"> </w:t>
      </w:r>
      <w:r>
        <w:t xml:space="preserve">are number of events and follow this 2x2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04"/>
        <w:gridCol w:w="1584"/>
        <w:gridCol w:w="1120"/>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Event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Tocilizumab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Control</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death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w:t>
            </w:r>
          </w:p>
        </w:tc>
      </w:tr>
    </w:tbl>
    <w:p>
      <w:pPr>
        <w:pStyle w:val="BodyText"/>
      </w:pPr>
      <w:r>
        <w:t xml:space="preserve">As similarly shown in the supplementary material of</w:t>
      </w:r>
      <w:r>
        <w:t xml:space="preserve"> </w:t>
      </w:r>
      <w:hyperlink r:id="rId35">
        <w:r>
          <w:rPr>
            <w:rStyle w:val="Hyperlink"/>
          </w:rPr>
          <w:t xml:space="preserve">Higgins and Spiegelhalter, 2002</w:t>
        </w:r>
      </w:hyperlink>
      <w:r>
        <w:t xml:space="preserve">, we can</w:t>
      </w:r>
      <w:r>
        <w:t xml:space="preserve"> </w:t>
      </w:r>
      <w:r>
        <w:t xml:space="preserve">estimate these values as:</w:t>
      </w:r>
    </w:p>
    <w:p>
      <w:pPr>
        <w:numPr>
          <w:ilvl w:val="0"/>
          <w:numId w:val="1005"/>
        </w:numPr>
        <w:pStyle w:val="Compact"/>
      </w:pPr>
      <m:oMath>
        <m:r>
          <m:t>a</m:t>
        </m:r>
        <m:r>
          <m:rPr>
            <m:sty m:val="p"/>
          </m:rPr>
          <m:t>=</m:t>
        </m:r>
        <m:sSub>
          <m:e>
            <m:r>
              <m:t>R</m:t>
            </m:r>
          </m:e>
          <m:sub>
            <m:r>
              <m:t>T</m:t>
            </m:r>
          </m:sub>
        </m:sSub>
        <m:r>
          <m:t>S</m:t>
        </m:r>
        <m:sSub>
          <m:e>
            <m:r>
              <m:t>S</m:t>
            </m:r>
          </m:e>
          <m:sub>
            <m:r>
              <m:t>T</m:t>
            </m:r>
          </m:sub>
        </m:sSub>
      </m:oMath>
    </w:p>
    <w:p>
      <w:pPr>
        <w:numPr>
          <w:ilvl w:val="0"/>
          <w:numId w:val="1005"/>
        </w:numPr>
        <w:pStyle w:val="Compact"/>
      </w:pPr>
      <m:oMath>
        <m:r>
          <m:t>b</m:t>
        </m:r>
        <m:r>
          <m:rPr>
            <m:sty m:val="p"/>
          </m:rPr>
          <m:t>=</m:t>
        </m:r>
        <m:r>
          <m:t>S</m:t>
        </m:r>
        <m:sSub>
          <m:e>
            <m:r>
              <m:t>S</m:t>
            </m:r>
          </m:e>
          <m:sub>
            <m:r>
              <m:t>T</m:t>
            </m:r>
          </m:sub>
        </m:sSub>
        <m:r>
          <m:rPr>
            <m:sty m:val="p"/>
          </m:rPr>
          <m:t>−</m:t>
        </m:r>
        <m:sSub>
          <m:e>
            <m:r>
              <m:t>R</m:t>
            </m:r>
          </m:e>
          <m:sub>
            <m:r>
              <m:t>T</m:t>
            </m:r>
          </m:sub>
        </m:sSub>
        <m:r>
          <m:t>S</m:t>
        </m:r>
        <m:sSub>
          <m:e>
            <m:r>
              <m:t>S</m:t>
            </m:r>
          </m:e>
          <m:sub>
            <m:r>
              <m:t>T</m:t>
            </m:r>
          </m:sub>
        </m:sSub>
      </m:oMath>
    </w:p>
    <w:p>
      <w:pPr>
        <w:numPr>
          <w:ilvl w:val="0"/>
          <w:numId w:val="1005"/>
        </w:numPr>
        <w:pStyle w:val="Compact"/>
      </w:pPr>
      <m:oMath>
        <m:r>
          <m:t>c</m:t>
        </m:r>
        <m:r>
          <m:rPr>
            <m:sty m:val="p"/>
          </m:rPr>
          <m:t>=</m:t>
        </m:r>
        <m:sSub>
          <m:e>
            <m:r>
              <m:t>R</m:t>
            </m:r>
          </m:e>
          <m:sub>
            <m:r>
              <m:t>C</m:t>
            </m:r>
          </m:sub>
        </m:sSub>
        <m:r>
          <m:t>S</m:t>
        </m:r>
        <m:sSub>
          <m:e>
            <m:r>
              <m:t>S</m:t>
            </m:r>
          </m:e>
          <m:sub>
            <m:r>
              <m:t>C</m:t>
            </m:r>
          </m:sub>
        </m:sSub>
      </m:oMath>
    </w:p>
    <w:p>
      <w:pPr>
        <w:numPr>
          <w:ilvl w:val="0"/>
          <w:numId w:val="1005"/>
        </w:numPr>
        <w:pStyle w:val="Compact"/>
      </w:pPr>
      <m:oMath>
        <m:r>
          <m:t>d</m:t>
        </m:r>
        <m:r>
          <m:rPr>
            <m:sty m:val="p"/>
          </m:rPr>
          <m:t>=</m:t>
        </m:r>
        <m:r>
          <m:t>S</m:t>
        </m:r>
        <m:sSub>
          <m:e>
            <m:r>
              <m:t>S</m:t>
            </m:r>
          </m:e>
          <m:sub>
            <m:r>
              <m:t>C</m:t>
            </m:r>
          </m:sub>
        </m:sSub>
        <m:r>
          <m:rPr>
            <m:sty m:val="p"/>
          </m:rPr>
          <m:t>−</m:t>
        </m:r>
        <m:sSub>
          <m:e>
            <m:r>
              <m:t>R</m:t>
            </m:r>
          </m:e>
          <m:sub>
            <m:r>
              <m:t>C</m:t>
            </m:r>
          </m:sub>
        </m:sSub>
        <m:r>
          <m:t>S</m:t>
        </m:r>
        <m:sSub>
          <m:e>
            <m:r>
              <m:t>S</m:t>
            </m:r>
          </m:e>
          <m:sub>
            <m:r>
              <m:t>C</m:t>
            </m:r>
          </m:sub>
        </m:sSub>
      </m:oMath>
    </w:p>
    <w:p>
      <w:pPr>
        <w:pStyle w:val="FirstParagraph"/>
      </w:pPr>
      <w:r>
        <w:t xml:space="preserve">where</w:t>
      </w:r>
      <w:r>
        <w:t xml:space="preserve"> </w:t>
      </w:r>
      <m:oMath>
        <m:r>
          <m:t>S</m:t>
        </m:r>
        <m:sSub>
          <m:e>
            <m:r>
              <m:t>S</m:t>
            </m:r>
          </m:e>
          <m:sub>
            <m:r>
              <m:t>T</m:t>
            </m:r>
          </m:sub>
        </m:sSub>
      </m:oMath>
      <w:r>
        <w:t xml:space="preserve"> </w:t>
      </w:r>
      <w:r>
        <w:t xml:space="preserve">and</w:t>
      </w:r>
      <w:r>
        <w:t xml:space="preserve"> </w:t>
      </w:r>
      <m:oMath>
        <m:r>
          <m:t>S</m:t>
        </m:r>
        <m:sSub>
          <m:e>
            <m:r>
              <m:t>S</m:t>
            </m:r>
          </m:e>
          <m:sub>
            <m:r>
              <m:t>C</m:t>
            </m:r>
          </m:sub>
        </m:sSub>
      </m:oMath>
      <w:r>
        <w:t xml:space="preserve"> </w:t>
      </w:r>
      <w:r>
        <w:t xml:space="preserve">are the sample sizes in the tocilizumab and control</w:t>
      </w:r>
      <w:r>
        <w:t xml:space="preserve"> </w:t>
      </w:r>
      <w:r>
        <w:t xml:space="preserve">arms, respectively. As mentioned above, we assume equal allocation in</w:t>
      </w:r>
      <w:r>
        <w:t xml:space="preserve"> </w:t>
      </w:r>
      <w:r>
        <w:t xml:space="preserve">both treatment arms, thus</w:t>
      </w:r>
      <w:r>
        <w:t xml:space="preserve"> </w:t>
      </w:r>
      <m:oMath>
        <m:r>
          <m:t>S</m:t>
        </m:r>
        <m:sSub>
          <m:e>
            <m:r>
              <m:t>S</m:t>
            </m:r>
          </m:e>
          <m:sub>
            <m:r>
              <m:t>T</m:t>
            </m:r>
          </m:sub>
        </m:sSub>
        <m:r>
          <m:rPr>
            <m:sty m:val="p"/>
          </m:rPr>
          <m:t>=</m:t>
        </m:r>
        <m:r>
          <m:t>S</m:t>
        </m:r>
        <m:sSub>
          <m:e>
            <m:r>
              <m:t>S</m:t>
            </m:r>
          </m:e>
          <m:sub>
            <m:r>
              <m:t>C</m:t>
            </m:r>
          </m:sub>
        </m:sSub>
      </m:oMath>
      <w:r>
        <w:t xml:space="preserve">.</w:t>
      </w:r>
    </w:p>
    <w:p>
      <w:pPr>
        <w:pStyle w:val="BodyText"/>
      </w:pPr>
      <w:r>
        <w:t xml:space="preserve">Finally, we can estimate the</w:t>
      </w:r>
      <w:r>
        <w:t xml:space="preserve"> </w:t>
      </w:r>
      <m:oMath>
        <m:r>
          <m:t>S</m:t>
        </m:r>
        <m:r>
          <m:t>D</m:t>
        </m:r>
      </m:oMath>
      <w:r>
        <w:t xml:space="preserve"> </w:t>
      </w:r>
      <w:r>
        <w:t xml:space="preserve">(log scale) based on the 6 different sample sizes</w:t>
      </w:r>
      <w:r>
        <w:t xml:space="preserve"> </w:t>
      </w:r>
      <w:r>
        <w:t xml:space="preserve">mentioned above: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10"/>
        <w:gridCol w:w="2122"/>
        <w:gridCol w:w="839"/>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 size in each treatment arm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Total sample 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SD</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r>
      <w:tr>
        <w:trPr>
          <w:cantSplit/>
          <w:trHeight w:val="59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59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r>
    </w:tbl>
    <w:bookmarkEnd w:id="36"/>
    <w:bookmarkEnd w:id="37"/>
    <w:bookmarkStart w:id="40" w:name="deriving-risk-difference-from-odds-ratio"/>
    <w:p>
      <w:pPr>
        <w:pStyle w:val="Heading2"/>
      </w:pPr>
      <w:r>
        <w:t xml:space="preserve">Deriving risk difference from odds ratio</w:t>
      </w:r>
    </w:p>
    <w:p>
      <w:pPr>
        <w:pStyle w:val="FirstParagraph"/>
      </w:pPr>
      <w:r>
        <w:t xml:space="preserve">We used the odds ratio as our primary estimand, following the suggestions</w:t>
      </w:r>
      <w:r>
        <w:t xml:space="preserve"> </w:t>
      </w:r>
      <w:r>
        <w:t xml:space="preserve">by</w:t>
      </w:r>
      <w:r>
        <w:t xml:space="preserve"> </w:t>
      </w:r>
      <w:hyperlink r:id="rId33">
        <w:r>
          <w:rPr>
            <w:rStyle w:val="Hyperlink"/>
          </w:rPr>
          <w:t xml:space="preserve">Doi et al., 2020</w:t>
        </w:r>
      </w:hyperlink>
      <w:r>
        <w:t xml:space="preserve"> </w:t>
      </w:r>
      <w:r>
        <w:t xml:space="preserve">and</w:t>
      </w:r>
      <w:r>
        <w:t xml:space="preserve"> </w:t>
      </w:r>
      <w:hyperlink r:id="rId38">
        <w:r>
          <w:rPr>
            <w:rStyle w:val="Hyperlink"/>
          </w:rPr>
          <w:t xml:space="preserve">Doi et al., 2021</w:t>
        </w:r>
      </w:hyperlink>
      <w:r>
        <w:t xml:space="preserve">.</w:t>
      </w:r>
    </w:p>
    <w:p>
      <w:pPr>
        <w:pStyle w:val="BodyText"/>
      </w:pPr>
      <w:r>
        <w:t xml:space="preserve">Moreover, we derived the risk in the tocilizumab group using the following</w:t>
      </w:r>
      <w:r>
        <w:t xml:space="preserve"> </w:t>
      </w:r>
      <w:r>
        <w:t xml:space="preserve">formula (Box 1 in</w:t>
      </w:r>
      <w:r>
        <w:t xml:space="preserve"> </w:t>
      </w:r>
      <w:hyperlink r:id="rId33">
        <w:r>
          <w:rPr>
            <w:rStyle w:val="Hyperlink"/>
          </w:rPr>
          <w:t xml:space="preserve">Doi et al., 2020</w:t>
        </w:r>
      </w:hyperlink>
      <w:r>
        <w:t xml:space="preserve">):</w:t>
      </w:r>
    </w:p>
    <w:p>
      <w:pPr>
        <w:pStyle w:val="BodyText"/>
      </w:pPr>
      <m:oMathPara>
        <m:oMathParaPr>
          <m:jc m:val="center"/>
        </m:oMathParaPr>
        <m:oMath>
          <m:sSub>
            <m:e>
              <m:r>
                <m:t>R</m:t>
              </m:r>
            </m:e>
            <m:sub>
              <m:r>
                <m:t>T</m:t>
              </m:r>
            </m:sub>
          </m:sSub>
          <m:r>
            <m:rPr>
              <m:sty m:val="p"/>
            </m:rPr>
            <m:t>=</m:t>
          </m:r>
          <m:f>
            <m:fPr>
              <m:type m:val="bar"/>
            </m:fPr>
            <m:num>
              <m:sSub>
                <m:e>
                  <m:r>
                    <m:t>R</m:t>
                  </m:r>
                </m:e>
                <m:sub>
                  <m:r>
                    <m:t>C</m:t>
                  </m:r>
                </m:sub>
              </m:sSub>
              <m:r>
                <m:t>O</m:t>
              </m:r>
              <m:r>
                <m:t>R</m:t>
              </m:r>
            </m:num>
            <m:den>
              <m:sSub>
                <m:e>
                  <m:r>
                    <m:t>R</m:t>
                  </m:r>
                </m:e>
                <m:sub>
                  <m:r>
                    <m:t>C</m:t>
                  </m:r>
                </m:sub>
              </m:sSub>
              <m:d>
                <m:dPr>
                  <m:begChr m:val="("/>
                  <m:endChr m:val=")"/>
                  <m:sepChr m:val=""/>
                  <m:grow/>
                </m:dPr>
                <m:e>
                  <m:r>
                    <m:t>O</m:t>
                  </m:r>
                  <m:r>
                    <m:t>R</m:t>
                  </m:r>
                  <m:r>
                    <m:rPr>
                      <m:sty m:val="p"/>
                    </m:rPr>
                    <m:t>−</m:t>
                  </m:r>
                  <m:r>
                    <m:t>1</m:t>
                  </m:r>
                </m:e>
              </m:d>
              <m:r>
                <m:rPr>
                  <m:sty m:val="p"/>
                </m:rPr>
                <m:t>+</m:t>
              </m:r>
              <m:r>
                <m:t>1</m:t>
              </m:r>
            </m:den>
          </m:f>
        </m:oMath>
      </m:oMathPara>
    </w:p>
    <w:p>
      <w:pPr>
        <w:pStyle w:val="FirstParagraph"/>
      </w:pPr>
      <w:r>
        <w:t xml:space="preserve">where</w:t>
      </w:r>
      <w:r>
        <w:t xml:space="preserve"> </w:t>
      </w:r>
      <m:oMath>
        <m:sSub>
          <m:e>
            <m:r>
              <m:t>R</m:t>
            </m:r>
          </m:e>
          <m:sub>
            <m:r>
              <m:t>T</m:t>
            </m:r>
          </m:sub>
        </m:sSub>
      </m:oMath>
      <w:r>
        <w:t xml:space="preserve"> </w:t>
      </w:r>
      <w:r>
        <w:t xml:space="preserve">is the mortality risk in the tocilizumab group,</w:t>
      </w:r>
      <w:r>
        <w:t xml:space="preserve"> </w:t>
      </w:r>
      <m:oMath>
        <m:sSub>
          <m:e>
            <m:r>
              <m:t>R</m:t>
            </m:r>
          </m:e>
          <m:sub>
            <m:r>
              <m:t>C</m:t>
            </m:r>
          </m:sub>
        </m:sSub>
      </m:oMath>
      <w:r>
        <w:t xml:space="preserve"> </w:t>
      </w:r>
      <w:r>
        <w:t xml:space="preserve">is the</w:t>
      </w:r>
      <w:r>
        <w:t xml:space="preserve"> </w:t>
      </w:r>
      <w:r>
        <w:t xml:space="preserve">mortality risk in the control group and</w:t>
      </w:r>
      <w:r>
        <w:t xml:space="preserve"> </w:t>
      </w:r>
      <m:oMath>
        <m:r>
          <m:t>O</m:t>
        </m:r>
        <m:r>
          <m:t>R</m:t>
        </m:r>
      </m:oMath>
      <w:r>
        <w:t xml:space="preserve"> </w:t>
      </w:r>
      <w:r>
        <w:t xml:space="preserve">is the odds ratio.</w:t>
      </w:r>
    </w:p>
    <w:p>
      <w:pPr>
        <w:pStyle w:val="BodyText"/>
      </w:pPr>
      <w:r>
        <w:t xml:space="preserve">We then calculated the risk difference (RD) with the following formula, which</w:t>
      </w:r>
      <w:r>
        <w:t xml:space="preserve"> </w:t>
      </w:r>
      <w:r>
        <w:t xml:space="preserve">was also the procedure suggested by</w:t>
      </w:r>
      <w:r>
        <w:t xml:space="preserve"> </w:t>
      </w:r>
      <w:hyperlink r:id="rId33">
        <w:r>
          <w:rPr>
            <w:rStyle w:val="Hyperlink"/>
          </w:rPr>
          <w:t xml:space="preserve">Doi et al., 2020</w:t>
        </w:r>
      </w:hyperlink>
      <w:r>
        <w:t xml:space="preserve"> </w:t>
      </w:r>
      <w:r>
        <w:t xml:space="preserve">(page 4):</w:t>
      </w:r>
    </w:p>
    <w:p>
      <w:pPr>
        <w:pStyle w:val="BodyText"/>
      </w:pPr>
      <m:oMathPara>
        <m:oMathParaPr>
          <m:jc m:val="center"/>
        </m:oMathParaPr>
        <m:oMath>
          <m:r>
            <m:t>R</m:t>
          </m:r>
          <m:r>
            <m:t>D</m:t>
          </m:r>
          <m:r>
            <m:rPr>
              <m:sty m:val="p"/>
            </m:rPr>
            <m:t>=</m:t>
          </m:r>
          <m:sSub>
            <m:e>
              <m:r>
                <m:t>R</m:t>
              </m:r>
            </m:e>
            <m:sub>
              <m:r>
                <m:t>T</m:t>
              </m:r>
            </m:sub>
          </m:sSub>
          <m:r>
            <m:rPr>
              <m:sty m:val="p"/>
            </m:rPr>
            <m:t>−</m:t>
          </m:r>
          <m:sSub>
            <m:e>
              <m:r>
                <m:t>R</m:t>
              </m:r>
            </m:e>
            <m:sub>
              <m:r>
                <m:t>C</m:t>
              </m:r>
            </m:sub>
          </m:sSub>
        </m:oMath>
      </m:oMathPara>
    </w:p>
    <w:p>
      <w:pPr>
        <w:pStyle w:val="FirstParagraph"/>
      </w:pPr>
      <w:r>
        <w:t xml:space="preserve">Adapting from the suggestions in the</w:t>
      </w:r>
      <w:r>
        <w:t xml:space="preserve"> </w:t>
      </w:r>
      <w:hyperlink r:id="rId31">
        <w:r>
          <w:rPr>
            <w:rStyle w:val="Hyperlink"/>
          </w:rPr>
          <w:t xml:space="preserve">GRADE guidelines</w:t>
        </w:r>
      </w:hyperlink>
      <w:r>
        <w:t xml:space="preserve">,</w:t>
      </w:r>
      <w:r>
        <w:t xml:space="preserve"> </w:t>
      </w:r>
      <w:r>
        <w:t xml:space="preserve">we assumed different mortality risks in each subgroup. For the simple oxygen only and</w:t>
      </w:r>
      <w:r>
        <w:t xml:space="preserve"> </w:t>
      </w:r>
      <w:r>
        <w:t xml:space="preserve">noninvasive ventilation subgroups, we used the average mortality risk in each</w:t>
      </w:r>
      <w:r>
        <w:t xml:space="preserve"> </w:t>
      </w:r>
      <w:r>
        <w:t xml:space="preserve">subgroup based on the data included in this reanalysis of a</w:t>
      </w:r>
      <w:r>
        <w:t xml:space="preserve"> </w:t>
      </w:r>
      <w:hyperlink r:id="rId39">
        <w:r>
          <w:rPr>
            <w:rStyle w:val="Hyperlink"/>
          </w:rPr>
          <w:t xml:space="preserve">previously published</w:t>
        </w:r>
        <w:r>
          <w:rPr>
            <w:rStyle w:val="Hyperlink"/>
          </w:rPr>
          <w:t xml:space="preserve"> </w:t>
        </w:r>
        <w:r>
          <w:rPr>
            <w:rStyle w:val="Hyperlink"/>
          </w:rPr>
          <w:t xml:space="preserve">meta-analysis</w:t>
        </w:r>
      </w:hyperlink>
      <w:r>
        <w:t xml:space="preserve">. In contrast, regarding the invasive</w:t>
      </w:r>
      <w:r>
        <w:t xml:space="preserve"> </w:t>
      </w:r>
      <w:r>
        <w:t xml:space="preserve">mechanical ventilation (IVM) subgroup, we found a striking discrepancy between</w:t>
      </w:r>
      <w:r>
        <w:t xml:space="preserve"> </w:t>
      </w:r>
      <w:r>
        <w:t xml:space="preserve">the control mortality risk in this data (52%)</w:t>
      </w:r>
      <w:r>
        <w:t xml:space="preserve"> </w:t>
      </w:r>
      <w:r>
        <w:t xml:space="preserve">in comparison to another</w:t>
      </w:r>
      <w:r>
        <w:t xml:space="preserve"> </w:t>
      </w:r>
      <w:hyperlink r:id="rId32">
        <w:r>
          <w:rPr>
            <w:rStyle w:val="Hyperlink"/>
          </w:rPr>
          <w:t xml:space="preserve">previously published meta-analysis</w:t>
        </w:r>
      </w:hyperlink>
      <w:r>
        <w:t xml:space="preserve"> </w:t>
      </w:r>
      <w:r>
        <w:t xml:space="preserve">(34% in patients on IVM and using corticosteroids).</w:t>
      </w:r>
      <w:r>
        <w:t xml:space="preserve"> </w:t>
      </w:r>
      <w:r>
        <w:t xml:space="preserve">Thus, we have decided to use 43% (arithmetic mean between 34 and 52) as our</w:t>
      </w:r>
      <w:r>
        <w:t xml:space="preserve"> </w:t>
      </w:r>
      <w:r>
        <w:t xml:space="preserve">reference risk in the IVM subgroup. Recognizing the potential variability of the</w:t>
      </w:r>
      <w:r>
        <w:t xml:space="preserve"> </w:t>
      </w:r>
      <w:r>
        <w:t xml:space="preserve">subgroup baseline risks, we estimated the risk differences with twenty different</w:t>
      </w:r>
      <w:r>
        <w:t xml:space="preserve"> </w:t>
      </w:r>
      <w:r>
        <w:t xml:space="preserve">plausible baseline risks for each subgroup (spanning +- 10% change from the</w:t>
      </w:r>
      <w:r>
        <w:t xml:space="preserve"> </w:t>
      </w:r>
      <w:r>
        <w:t xml:space="preserve">reference risks mentioned above).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43"/>
        <w:gridCol w:w="1609"/>
      </w:tblGrid>
      <w:tr>
        <w:trPr>
          <w:cantSplit/>
          <w:trHeight w:val="62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Control Risk</w:t>
            </w:r>
          </w:p>
        </w:tc>
      </w:tr>
      <w:tr>
        <w:trPr>
          <w:cantSplit/>
          <w:trHeight w:val="62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Simple oxygen only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+- 10%</w:t>
            </w:r>
          </w:p>
        </w:tc>
      </w:tr>
      <w:tr>
        <w:trPr>
          <w:cantSplit/>
          <w:trHeight w:val="57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Noninvasive ventilation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 +- 10%</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Invasive mechanical ventilation</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 +- 10%</w:t>
            </w:r>
          </w:p>
        </w:tc>
      </w:tr>
    </w:tbl>
    <w:bookmarkEnd w:id="40"/>
    <w:bookmarkEnd w:id="41"/>
    <w:bookmarkStart w:id="58" w:name="efigures-and-etables"/>
    <w:p>
      <w:pPr>
        <w:pStyle w:val="Heading1"/>
      </w:pPr>
      <w:r>
        <w:t xml:space="preserve">eFigures and eTables</w:t>
      </w:r>
    </w:p>
    <w:bookmarkStart w:id="42" w:name="etable-1"/>
    <w:p>
      <w:pPr>
        <w:pStyle w:val="Heading2"/>
      </w:pPr>
      <w:r>
        <w:t xml:space="preserve">eTable 1</w:t>
      </w:r>
    </w:p>
    <w:bookmarkEnd w:id="42"/>
    <w:bookmarkStart w:id="44" w:name="efigure-1"/>
    <w:p>
      <w:pPr>
        <w:pStyle w:val="Heading2"/>
      </w:pPr>
      <w:r>
        <w:t xml:space="preserve">eFigure 1</w:t>
      </w:r>
    </w:p>
    <w:p>
      <w:pPr>
        <w:pStyle w:val="CaptionedFigure"/>
      </w:pPr>
      <w:r>
        <w:drawing>
          <wp:inline>
            <wp:extent cx="5334000" cy="2424545"/>
            <wp:effectExtent b="0" l="0" r="0" t="0"/>
            <wp:docPr descr="Posterior probabilities of benefit per subgroup in the risk difference scale assuming weakly informative priors. Each line represents the posterior probability of benefit for a specific cutoff, such as risk difference greater than 0% or 1%, across plausible ranges of mortality risk under control treatment. Underlying weakly informative priors are N(0, 0.82) for the mean effect, N(0, 1.5) for the coefficients, and HN(0.5) for the between-study standard deviation. N(mu, sigma) = Normal(mean, standard deviation); HN(sigma) = Half-Normal(standard deviation)" title="" id="1" name="Picture"/>
            <a:graphic>
              <a:graphicData uri="http://schemas.openxmlformats.org/drawingml/2006/picture">
                <pic:pic>
                  <pic:nvPicPr>
                    <pic:cNvPr descr="supplementary_material_files/figure-docx/unnamed-chunk-24-1.png" id="0" name="Picture"/>
                    <pic:cNvPicPr>
                      <a:picLocks noChangeArrowheads="1" noChangeAspect="1"/>
                    </pic:cNvPicPr>
                  </pic:nvPicPr>
                  <pic:blipFill>
                    <a:blip r:embed="rId43"/>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Posterior probabilities of benefit per subgroup in the risk difference scale assuming weakly informative priors. Each line represents the posterior probability of benefit for a specific cutoff, such as risk difference greater than 0% or 1%, across plausible ranges of mortality risk under control treatment. Underlying weakly informative priors are N(0, 0.82) for the mean effect, N(0, 1.5) for the coefficients, and HN(0.5) for the between-study standard deviation. N(mu, sigma) = Normal(mean, standard deviation); HN(sigma) = Half-Normal(standard deviation)</w:t>
      </w:r>
    </w:p>
    <w:bookmarkEnd w:id="44"/>
    <w:bookmarkStart w:id="46" w:name="efigure-2"/>
    <w:p>
      <w:pPr>
        <w:pStyle w:val="Heading2"/>
      </w:pPr>
      <w:r>
        <w:t xml:space="preserve">eFigure 2</w:t>
      </w:r>
    </w:p>
    <w:p>
      <w:pPr>
        <w:pStyle w:val="FirstParagraph"/>
      </w:pPr>
      <w:r>
        <w:drawing>
          <wp:inline>
            <wp:extent cx="5334000" cy="1333500"/>
            <wp:effectExtent b="0" l="0" r="0" t="0"/>
            <wp:docPr descr="" title="" id="1" name="Picture"/>
            <a:graphic>
              <a:graphicData uri="http://schemas.openxmlformats.org/drawingml/2006/picture">
                <pic:pic>
                  <pic:nvPicPr>
                    <pic:cNvPr descr="/Users/arthur/Coding/projects/done/tocilizumab_reanalysis/03_updated_analyses_who/output/figures/supplementary_figure_02.png" id="0" name="Picture"/>
                    <pic:cNvPicPr>
                      <a:picLocks noChangeArrowheads="1" noChangeAspect="1"/>
                    </pic:cNvPicPr>
                  </pic:nvPicPr>
                  <pic:blipFill>
                    <a:blip r:embed="rId45"/>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Posterior distributions for comparisons of effect sizes between subgroups while</w:t>
      </w:r>
      <w:r>
        <w:t xml:space="preserve"> </w:t>
      </w:r>
      <w:r>
        <w:t xml:space="preserve">assuming weakly informative priors. Each distribution represents the ratio of</w:t>
      </w:r>
      <w:r>
        <w:t xml:space="preserve"> </w:t>
      </w:r>
      <w:r>
        <w:t xml:space="preserve">odds ratios of two subgroups.</w:t>
      </w:r>
      <w:r>
        <w:t xml:space="preserve"> </w:t>
      </w:r>
      <w:r>
        <w:t xml:space="preserve">On top of each distribution, there is a percentage representing the posterior</w:t>
      </w:r>
      <w:r>
        <w:t xml:space="preserve"> </w:t>
      </w:r>
      <w:r>
        <w:t xml:space="preserve">probability of a ratio of odds ratios greater than 1.0.</w:t>
      </w:r>
      <w:r>
        <w:t xml:space="preserve"> </w:t>
      </w:r>
      <w:r>
        <w:t xml:space="preserve">Arrows on the bottom represent - in that comparison - which subgroup benefited</w:t>
      </w:r>
      <w:r>
        <w:t xml:space="preserve"> </w:t>
      </w:r>
      <w:r>
        <w:t xml:space="preserve">to a greater extent tocilizumab’s effect on mortality reduction. For example,</w:t>
      </w:r>
      <w:r>
        <w:t xml:space="preserve"> </w:t>
      </w:r>
      <w:r>
        <w:t xml:space="preserve">assuming our model, there was a 85% probability that tocilizumab reduces</w:t>
      </w:r>
      <w:r>
        <w:t xml:space="preserve"> </w:t>
      </w:r>
      <w:r>
        <w:t xml:space="preserve">mortality to a greater extent in the simple oxygen subgroup in comparison to</w:t>
      </w:r>
      <w:r>
        <w:t xml:space="preserve"> </w:t>
      </w:r>
      <w:r>
        <w:t xml:space="preserve">noninvasive ventilation. Underlying weakly informative priors are N(0, 0.82) for</w:t>
      </w:r>
      <w:r>
        <w:t xml:space="preserve"> </w:t>
      </w:r>
      <w:r>
        <w:t xml:space="preserve">the mean effect, N(0, 1.5) for the coefficients, and HN(0.5) for the</w:t>
      </w:r>
      <w:r>
        <w:t xml:space="preserve"> </w:t>
      </w:r>
      <w:r>
        <w:t xml:space="preserve">between-study standard deviation. N(mu, sigma) = Normal(mean, standard</w:t>
      </w:r>
      <w:r>
        <w:t xml:space="preserve"> </w:t>
      </w:r>
      <w:r>
        <w:t xml:space="preserve">deviation); HN(sigma) = Half-Normal(standard deviation).</w:t>
      </w:r>
    </w:p>
    <w:bookmarkEnd w:id="46"/>
    <w:bookmarkStart w:id="47" w:name="etable-2"/>
    <w:p>
      <w:pPr>
        <w:pStyle w:val="Heading2"/>
      </w:pPr>
      <w:r>
        <w:t xml:space="preserve">eTable 2</w:t>
      </w:r>
    </w:p>
    <w:bookmarkEnd w:id="47"/>
    <w:bookmarkStart w:id="49" w:name="efigure-3"/>
    <w:p>
      <w:pPr>
        <w:pStyle w:val="Heading2"/>
      </w:pPr>
      <w:r>
        <w:t xml:space="preserve">eFigure 3</w:t>
      </w:r>
    </w:p>
    <w:p>
      <w:pPr>
        <w:pStyle w:val="CaptionedFigure"/>
      </w:pPr>
      <w:r>
        <w:drawing>
          <wp:inline>
            <wp:extent cx="4876800" cy="4876800"/>
            <wp:effectExtent b="0" l="0" r="0" t="0"/>
            <wp:docPr descr="Posterior distributions (log scale) of the between study standard deviation (tau) upon different underlying prior distributions (weakly informative, vague or informative). Tau is a proxy for the between-study heterogeneity in random-effect meta-analyses. Weakly informative priors: Intercept N(0, 0.82); Coefficients N(0, 1.5); Between-study standard deviation HN(0.5) / Vague priors: Intercept N(0, 4); Coefficients N(0, 4); Between-study standard deviation HN(4) / Informative priors: Intercept N(0, 0.35); Coefficients N(0, 0.2); Between-study standard deviation LN(-1.975, 0.67). N(mu, sigma) = Normal(mean, standard deviation); HN(sigma) = Half-Normal(standard deviation); LN(mu, sigma) = Log-Normal(mean, standard deviation)." title="" id="1" name="Picture"/>
            <a:graphic>
              <a:graphicData uri="http://schemas.openxmlformats.org/drawingml/2006/picture">
                <pic:pic>
                  <pic:nvPicPr>
                    <pic:cNvPr descr="supplementary_material_files/figure-docx/unnamed-chunk-33-1.png" id="0" name="Picture"/>
                    <pic:cNvPicPr>
                      <a:picLocks noChangeArrowheads="1" noChangeAspect="1"/>
                    </pic:cNvPicPr>
                  </pic:nvPicPr>
                  <pic:blipFill>
                    <a:blip r:embed="rId4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Posterior distributions (log scale) of the between study standard deviation (tau) upon different underlying prior distributions (weakly informative, vague or informative). Tau is a proxy for the between-study heterogeneity in random-effect meta-analyses. Weakly informative priors: Intercept N(0, 0.82); Coefficients N(0, 1.5); Between-study standard deviation HN(0.5) / Vague priors: Intercept N(0, 4); Coefficients N(0, 4); Between-study standard deviation HN(4) / Informative priors: Intercept N(0, 0.35); Coefficients N(0, 0.2); Between-study standard deviation LN(-1.975, 0.67). N(mu, sigma) = Normal(mean, standard deviation); HN(sigma) = Half-Normal(standard deviation); LN(mu, sigma) = Log-Normal(mean, standard deviation).</w:t>
      </w:r>
    </w:p>
    <w:bookmarkEnd w:id="49"/>
    <w:bookmarkStart w:id="50" w:name="etable-3"/>
    <w:p>
      <w:pPr>
        <w:pStyle w:val="Heading2"/>
      </w:pPr>
      <w:r>
        <w:t xml:space="preserve">eTable 3</w:t>
      </w:r>
    </w:p>
    <w:bookmarkEnd w:id="50"/>
    <w:bookmarkStart w:id="51" w:name="etable-4"/>
    <w:p>
      <w:pPr>
        <w:pStyle w:val="Heading2"/>
      </w:pPr>
      <w:r>
        <w:t xml:space="preserve">eTable 4</w:t>
      </w:r>
    </w:p>
    <w:bookmarkEnd w:id="51"/>
    <w:bookmarkStart w:id="52" w:name="etable-5"/>
    <w:p>
      <w:pPr>
        <w:pStyle w:val="Heading2"/>
      </w:pPr>
      <w:r>
        <w:t xml:space="preserve">eTable 5</w:t>
      </w:r>
    </w:p>
    <w:bookmarkEnd w:id="52"/>
    <w:bookmarkStart w:id="54" w:name="efigure-4"/>
    <w:p>
      <w:pPr>
        <w:pStyle w:val="Heading2"/>
      </w:pPr>
      <w:r>
        <w:t xml:space="preserve">eFigure 4</w:t>
      </w:r>
    </w:p>
    <w:p>
      <w:pPr>
        <w:pStyle w:val="CaptionedFigure"/>
      </w:pPr>
      <w:r>
        <w:drawing>
          <wp:inline>
            <wp:extent cx="5334000" cy="4000500"/>
            <wp:effectExtent b="0" l="0" r="0" t="0"/>
            <wp:docPr descr="Results from the normal conjugate analyses updating current evidence on invasive mechanical ventilation (used as the Prior) with generated RCTs (used as Data, eTable 5). These analyses yield posterior distributions. Each panel represents a different model, in which the prior distribution is centered at 0.77 odds ratio. The label on top of each panel depict the number of total patients on invasive mechanical ventilation included in each respective model (current plus generated patients). Point estimates depict the median and interval bars represent the 95% credible intervals for both prior, data (likelihood) and posterior distributions." title="" id="1" name="Picture"/>
            <a:graphic>
              <a:graphicData uri="http://schemas.openxmlformats.org/drawingml/2006/picture">
                <pic:pic>
                  <pic:nvPicPr>
                    <pic:cNvPr descr="supplementary_material_files/figure-docx/unnamed-chunk-37-1.pn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Results from the normal conjugate analyses updating current evidence on invasive mechanical ventilation (used as the</w:t>
      </w:r>
      <w:r>
        <w:t xml:space="preserve"> </w:t>
      </w:r>
      <w:r>
        <w:rPr>
          <w:rStyle w:val="VerbatimChar"/>
        </w:rPr>
        <w:t xml:space="preserve">Prior</w:t>
      </w:r>
      <w:r>
        <w:t xml:space="preserve">) with generated RCTs (used as</w:t>
      </w:r>
      <w:r>
        <w:t xml:space="preserve"> </w:t>
      </w:r>
      <w:r>
        <w:rPr>
          <w:rStyle w:val="VerbatimChar"/>
        </w:rPr>
        <w:t xml:space="preserve">Data</w:t>
      </w:r>
      <w:r>
        <w:t xml:space="preserve">, eTable 5). These analyses yield posterior distributions. Each panel represents a different model, in which the prior distribution is centered at 0.77 odds ratio. The label on top of each panel depict the number of total patients on invasive mechanical ventilation included in each respective model (current plus generated patients). Point estimates depict the median and interval bars represent the 95% credible intervals for both prior, data (likelihood) and posterior distributions.</w:t>
      </w:r>
    </w:p>
    <w:bookmarkEnd w:id="54"/>
    <w:bookmarkStart w:id="55" w:name="etable-6"/>
    <w:p>
      <w:pPr>
        <w:pStyle w:val="Heading2"/>
      </w:pPr>
      <w:r>
        <w:t xml:space="preserve">eTable 6</w:t>
      </w:r>
    </w:p>
    <w:bookmarkEnd w:id="55"/>
    <w:bookmarkStart w:id="57" w:name="efigure-5"/>
    <w:p>
      <w:pPr>
        <w:pStyle w:val="Heading2"/>
      </w:pPr>
      <w:r>
        <w:t xml:space="preserve">eFigure 5</w:t>
      </w:r>
    </w:p>
    <w:p>
      <w:pPr>
        <w:pStyle w:val="CaptionedFigure"/>
      </w:pPr>
      <w:r>
        <w:drawing>
          <wp:inline>
            <wp:extent cx="5334000" cy="5334000"/>
            <wp:effectExtent b="0" l="0" r="0" t="0"/>
            <wp:docPr descr="Results from the normal conjugate analyses updating current evidence on invasive mechanical ventilation (used as the Prior) with generated RCTs (used as Data, eTable 6). These analyses yield posterior distributions as depicted on Panel A. In contrast to the results shown in eFigure4, the genereated RCTs in these analyses are centered at 1.0 odds ratio. Panel A: Each panel represents a different model. The label on top of each panel depict the number of total patients on invasive mechanical ventilation included in each respective model (current plus generated patients). Point estimates depict the median and interval bars represent the 95% credible intervals for both prior, data (likelihood) and posterior distributions. Panel B shows the posterior probability of benefit for different thresholds (OR &lt; 1.0 and &lt; 0.9)." title="" id="1" name="Picture"/>
            <a:graphic>
              <a:graphicData uri="http://schemas.openxmlformats.org/drawingml/2006/picture">
                <pic:pic>
                  <pic:nvPicPr>
                    <pic:cNvPr descr="supplementary_material_files/figure-docx/unnamed-chunk-41-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Results from the normal conjugate analyses updating current evidence on invasive mechanical ventilation (used as the</w:t>
      </w:r>
      <w:r>
        <w:t xml:space="preserve"> </w:t>
      </w:r>
      <w:r>
        <w:rPr>
          <w:rStyle w:val="VerbatimChar"/>
        </w:rPr>
        <w:t xml:space="preserve">Prior</w:t>
      </w:r>
      <w:r>
        <w:t xml:space="preserve">) with generated RCTs (used as</w:t>
      </w:r>
      <w:r>
        <w:t xml:space="preserve"> </w:t>
      </w:r>
      <w:r>
        <w:rPr>
          <w:rStyle w:val="VerbatimChar"/>
        </w:rPr>
        <w:t xml:space="preserve">Data</w:t>
      </w:r>
      <w:r>
        <w:t xml:space="preserve">, eTable 6). These analyses yield posterior distributions as depicted on Panel A. In contrast to the results shown in eFigure4, the genereated RCTs in these analyses are centered at 1.0 odds ratio. Panel A: Each panel represents a different model. The label on top of each panel depict the number of total patients on invasive mechanical ventilation included in each respective model (current plus generated patients). Point estimates depict the median and interval bars represent the 95% credible intervals for both prior, data (likelihood) and posterior distributions. Panel B shows the posterior probability of benefit for different thresholds (OR &lt; 1.0 and &lt; 0.9).</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21" Target="media/rId21.png" /><Relationship Type="http://schemas.openxmlformats.org/officeDocument/2006/relationships/image" Id="rId56" Target="media/rId56.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9" Target="10.1001/jama.2021.11330" TargetMode="External" /><Relationship Type="http://schemas.openxmlformats.org/officeDocument/2006/relationships/hyperlink" Id="rId30" Target="doi:10.1001/jama.2021.11330" TargetMode="External" /><Relationship Type="http://schemas.openxmlformats.org/officeDocument/2006/relationships/hyperlink" Id="rId31" Target="http://dx.doi.org/10.1016/j.jclinepi.2012.01.012" TargetMode="External" /><Relationship Type="http://schemas.openxmlformats.org/officeDocument/2006/relationships/hyperlink" Id="rId35" Target="https://academic.oup.com/ije/article/31/1/96/655931?login=true" TargetMode="External" /><Relationship Type="http://schemas.openxmlformats.org/officeDocument/2006/relationships/hyperlink" Id="rId34" Target="https://doi.org/10.1016/j.jclinepi.2008.07.006" TargetMode="External" /><Relationship Type="http://schemas.openxmlformats.org/officeDocument/2006/relationships/hyperlink" Id="rId33" Target="https://doi.org/10.1016/j.jclinepi.2020.08.019" TargetMode="External" /><Relationship Type="http://schemas.openxmlformats.org/officeDocument/2006/relationships/hyperlink" Id="rId38" Target="https://doi.org/10.1016/j.jclinepi.2021.08.003" TargetMode="External" /><Relationship Type="http://schemas.openxmlformats.org/officeDocument/2006/relationships/hyperlink" Id="rId32" Target="https://jamanetwork.com/journals/jama/fullarticle/2770279?utm_campaign=articlePDF&amp;utm_medium=articlePDFlink&amp;utm_source=articlePDF&amp;utm_content=jama.2020.17023" TargetMode="External" /></Relationships>
</file>

<file path=word/_rels/footnotes.xml.rels><?xml version="1.0" encoding="UTF-8"?><Relationships xmlns="http://schemas.openxmlformats.org/package/2006/relationships"><Relationship Type="http://schemas.openxmlformats.org/officeDocument/2006/relationships/hyperlink" Id="rId39" Target="10.1001/jama.2021.11330" TargetMode="External" /><Relationship Type="http://schemas.openxmlformats.org/officeDocument/2006/relationships/hyperlink" Id="rId30" Target="doi:10.1001/jama.2021.11330" TargetMode="External" /><Relationship Type="http://schemas.openxmlformats.org/officeDocument/2006/relationships/hyperlink" Id="rId31" Target="http://dx.doi.org/10.1016/j.jclinepi.2012.01.012" TargetMode="External" /><Relationship Type="http://schemas.openxmlformats.org/officeDocument/2006/relationships/hyperlink" Id="rId35" Target="https://academic.oup.com/ije/article/31/1/96/655931?login=true" TargetMode="External" /><Relationship Type="http://schemas.openxmlformats.org/officeDocument/2006/relationships/hyperlink" Id="rId34" Target="https://doi.org/10.1016/j.jclinepi.2008.07.006" TargetMode="External" /><Relationship Type="http://schemas.openxmlformats.org/officeDocument/2006/relationships/hyperlink" Id="rId33" Target="https://doi.org/10.1016/j.jclinepi.2020.08.019" TargetMode="External" /><Relationship Type="http://schemas.openxmlformats.org/officeDocument/2006/relationships/hyperlink" Id="rId38" Target="https://doi.org/10.1016/j.jclinepi.2021.08.003" TargetMode="External" /><Relationship Type="http://schemas.openxmlformats.org/officeDocument/2006/relationships/hyperlink" Id="rId32" Target="https://jamanetwork.com/journals/jama/fullarticle/2770279?utm_campaign=articlePDF&amp;utm_medium=articlePDFlink&amp;utm_source=articlePDF&amp;utm_content=jama.2020.17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Arthur M. Albuquerque, Lucas Tramujas, Lorenzo R. Sewanan, Donald R. Williams, James M. Brophy</dc:creator>
  <cp:keywords/>
  <dcterms:created xsi:type="dcterms:W3CDTF">2021-12-23T23:41:38Z</dcterms:created>
  <dcterms:modified xsi:type="dcterms:W3CDTF">2021-12-23T23:41:38Z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