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22C25" w14:textId="77777777" w:rsidR="002B037C" w:rsidRDefault="002B037C">
      <w:pPr>
        <w:ind w:firstLine="0"/>
        <w:jc w:val="center"/>
        <w:rPr>
          <w:sz w:val="20"/>
          <w:szCs w:val="20"/>
        </w:rPr>
      </w:pPr>
      <w:bookmarkStart w:id="0" w:name="_heading=h.h6hmbyy3tm39" w:colFirst="0" w:colLast="0"/>
      <w:bookmarkEnd w:id="0"/>
    </w:p>
    <w:p w14:paraId="56643F69" w14:textId="77777777" w:rsidR="002B037C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3BBE8D7C" wp14:editId="18468F63">
            <wp:extent cx="662400" cy="914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4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E19348" w14:textId="77777777" w:rsidR="002B037C" w:rsidRDefault="002B037C">
      <w:pPr>
        <w:ind w:firstLine="0"/>
        <w:jc w:val="center"/>
        <w:rPr>
          <w:sz w:val="20"/>
          <w:szCs w:val="20"/>
        </w:rPr>
      </w:pPr>
    </w:p>
    <w:p w14:paraId="0EDC1FD4" w14:textId="77777777" w:rsidR="002B037C" w:rsidRDefault="00000000">
      <w:pPr>
        <w:ind w:firstLine="0"/>
        <w:jc w:val="center"/>
      </w:pPr>
      <w:r>
        <w:t>UNIVERSIDADE FEDERAL DE SANTA CATARINA</w:t>
      </w:r>
    </w:p>
    <w:p w14:paraId="2DBDC65B" w14:textId="77777777" w:rsidR="002B037C" w:rsidRDefault="00000000">
      <w:pPr>
        <w:ind w:firstLine="0"/>
        <w:jc w:val="center"/>
      </w:pPr>
      <w:r>
        <w:t>CENTRO DE CIÊNCIAS DA EDUCAÇÃO</w:t>
      </w:r>
    </w:p>
    <w:p w14:paraId="646F6FB1" w14:textId="77777777" w:rsidR="002B037C" w:rsidRDefault="00000000">
      <w:pPr>
        <w:ind w:firstLine="0"/>
        <w:jc w:val="center"/>
      </w:pPr>
      <w:r>
        <w:t>DEPARTAMENTO DE CIÊNCIAS DA INFORMAÇÃO</w:t>
      </w:r>
    </w:p>
    <w:p w14:paraId="221CC2F4" w14:textId="77777777" w:rsidR="002B037C" w:rsidRDefault="00000000">
      <w:pPr>
        <w:ind w:firstLine="0"/>
        <w:jc w:val="center"/>
      </w:pPr>
      <w:r>
        <w:t>CURSO DE CIÊNCIA DE DADOS</w:t>
      </w:r>
    </w:p>
    <w:p w14:paraId="446FC276" w14:textId="77777777" w:rsidR="002B037C" w:rsidRDefault="002B037C">
      <w:pPr>
        <w:ind w:firstLine="0"/>
        <w:jc w:val="center"/>
      </w:pPr>
    </w:p>
    <w:p w14:paraId="0E840F13" w14:textId="77777777" w:rsidR="002B037C" w:rsidRDefault="002B037C">
      <w:pPr>
        <w:ind w:firstLine="0"/>
        <w:jc w:val="center"/>
      </w:pPr>
    </w:p>
    <w:p w14:paraId="7B42F615" w14:textId="77777777" w:rsidR="002B037C" w:rsidRDefault="002B037C">
      <w:pPr>
        <w:ind w:firstLine="0"/>
        <w:jc w:val="center"/>
      </w:pPr>
    </w:p>
    <w:p w14:paraId="52E78DF2" w14:textId="77777777" w:rsidR="002B037C" w:rsidRDefault="002B037C">
      <w:pPr>
        <w:ind w:firstLine="0"/>
        <w:jc w:val="center"/>
      </w:pPr>
    </w:p>
    <w:p w14:paraId="183D62BF" w14:textId="77777777" w:rsidR="002B037C" w:rsidRDefault="0097207C">
      <w:pPr>
        <w:ind w:firstLine="0"/>
        <w:jc w:val="center"/>
      </w:pPr>
      <w:r>
        <w:t>Arthur Cavalari Appel</w:t>
      </w:r>
    </w:p>
    <w:p w14:paraId="0601E719" w14:textId="77777777" w:rsidR="002B037C" w:rsidRDefault="002B037C">
      <w:pPr>
        <w:ind w:firstLine="0"/>
        <w:jc w:val="center"/>
      </w:pPr>
    </w:p>
    <w:p w14:paraId="120B55EB" w14:textId="77777777" w:rsidR="002B037C" w:rsidRDefault="002B037C">
      <w:pPr>
        <w:ind w:firstLine="0"/>
        <w:jc w:val="center"/>
      </w:pPr>
    </w:p>
    <w:p w14:paraId="57EBD5D0" w14:textId="77777777" w:rsidR="002B037C" w:rsidRDefault="002B037C">
      <w:pPr>
        <w:ind w:firstLine="0"/>
        <w:jc w:val="center"/>
      </w:pPr>
    </w:p>
    <w:p w14:paraId="0D76644F" w14:textId="77777777" w:rsidR="002B037C" w:rsidRDefault="002B037C">
      <w:pPr>
        <w:ind w:firstLine="0"/>
        <w:jc w:val="center"/>
      </w:pPr>
    </w:p>
    <w:p w14:paraId="11F2D2B7" w14:textId="77777777" w:rsidR="002B037C" w:rsidRDefault="002B037C">
      <w:pPr>
        <w:ind w:firstLine="0"/>
        <w:jc w:val="center"/>
      </w:pPr>
    </w:p>
    <w:p w14:paraId="2B8A69CF" w14:textId="77777777" w:rsidR="002B037C" w:rsidRDefault="0097207C">
      <w:pPr>
        <w:ind w:firstLine="0"/>
        <w:jc w:val="center"/>
        <w:rPr>
          <w:b/>
          <w:bCs/>
        </w:rPr>
      </w:pPr>
      <w:r>
        <w:rPr>
          <w:b/>
          <w:bCs/>
        </w:rPr>
        <w:t>CIN8001 - Introdução à Engenharia e Ciência de Dados</w:t>
      </w:r>
    </w:p>
    <w:p w14:paraId="7809EDEE" w14:textId="77777777" w:rsidR="002B037C" w:rsidRDefault="0097207C">
      <w:pPr>
        <w:ind w:firstLine="0"/>
        <w:jc w:val="center"/>
      </w:pPr>
      <w:r>
        <w:t>Relatório – Projeto I</w:t>
      </w:r>
    </w:p>
    <w:p w14:paraId="2FF9CB75" w14:textId="77777777" w:rsidR="002B037C" w:rsidRDefault="002B037C">
      <w:pPr>
        <w:ind w:firstLine="0"/>
        <w:jc w:val="center"/>
      </w:pPr>
    </w:p>
    <w:p w14:paraId="1CFF150F" w14:textId="77777777" w:rsidR="002B037C" w:rsidRDefault="002B037C">
      <w:pPr>
        <w:ind w:firstLine="0"/>
        <w:jc w:val="center"/>
      </w:pPr>
    </w:p>
    <w:p w14:paraId="00D793DB" w14:textId="77777777" w:rsidR="002B037C" w:rsidRDefault="002B037C">
      <w:pPr>
        <w:ind w:firstLine="0"/>
        <w:jc w:val="center"/>
      </w:pPr>
    </w:p>
    <w:p w14:paraId="694FDCE6" w14:textId="77777777" w:rsidR="002B037C" w:rsidRDefault="002B037C">
      <w:pPr>
        <w:ind w:firstLine="0"/>
        <w:jc w:val="center"/>
      </w:pPr>
    </w:p>
    <w:p w14:paraId="37DA4111" w14:textId="77777777" w:rsidR="002B037C" w:rsidRDefault="002B037C">
      <w:pPr>
        <w:ind w:firstLine="0"/>
        <w:jc w:val="center"/>
      </w:pPr>
    </w:p>
    <w:p w14:paraId="4AFF027D" w14:textId="77777777" w:rsidR="002B037C" w:rsidRDefault="002B037C">
      <w:pPr>
        <w:ind w:firstLine="0"/>
        <w:jc w:val="center"/>
      </w:pPr>
    </w:p>
    <w:p w14:paraId="340F6308" w14:textId="77777777" w:rsidR="002B037C" w:rsidRDefault="002B037C">
      <w:pPr>
        <w:ind w:firstLine="0"/>
        <w:jc w:val="center"/>
      </w:pPr>
    </w:p>
    <w:p w14:paraId="4D56F9C8" w14:textId="77777777" w:rsidR="002B037C" w:rsidRDefault="002B037C">
      <w:pPr>
        <w:ind w:firstLine="0"/>
        <w:jc w:val="center"/>
      </w:pPr>
    </w:p>
    <w:p w14:paraId="1CB93943" w14:textId="77777777" w:rsidR="002B037C" w:rsidRDefault="002B037C">
      <w:pPr>
        <w:ind w:firstLine="0"/>
        <w:jc w:val="center"/>
      </w:pPr>
    </w:p>
    <w:p w14:paraId="08D67D62" w14:textId="77777777" w:rsidR="002B037C" w:rsidRDefault="002B037C">
      <w:pPr>
        <w:ind w:firstLine="0"/>
        <w:jc w:val="center"/>
      </w:pPr>
    </w:p>
    <w:p w14:paraId="2794DB5D" w14:textId="77777777" w:rsidR="002B037C" w:rsidRDefault="00000000">
      <w:pPr>
        <w:ind w:firstLine="0"/>
        <w:jc w:val="center"/>
      </w:pPr>
      <w:r>
        <w:t>Florianópolis</w:t>
      </w:r>
    </w:p>
    <w:p w14:paraId="14B0528F" w14:textId="77777777" w:rsidR="002B037C" w:rsidRDefault="00000000">
      <w:pPr>
        <w:ind w:firstLine="0"/>
        <w:jc w:val="center"/>
      </w:pPr>
      <w:r>
        <w:t>2026</w:t>
      </w:r>
    </w:p>
    <w:p w14:paraId="4B5BEE46" w14:textId="77777777" w:rsidR="002B037C" w:rsidRDefault="00DD34B8">
      <w:pPr>
        <w:spacing w:line="240" w:lineRule="auto"/>
        <w:jc w:val="center"/>
        <w:rPr>
          <w:b/>
          <w:bCs/>
          <w:sz w:val="30"/>
          <w:szCs w:val="30"/>
        </w:rPr>
      </w:pPr>
      <w:r>
        <w:rPr>
          <w:rFonts w:ascii="Arial" w:hAnsi="Arial"/>
          <w:b/>
          <w:sz w:val="40"/>
        </w:rPr>
        <w:t>Valida UFSC: Auditor de Equivalências de Currículos</w:t>
      </w:r>
    </w:p>
    <w:p w14:paraId="20D0C15B" w14:textId="77777777" w:rsidR="002B037C" w:rsidRDefault="002B037C">
      <w:pPr>
        <w:spacing w:line="240" w:lineRule="auto"/>
        <w:jc w:val="center"/>
        <w:rPr>
          <w:b/>
          <w:bCs/>
          <w:sz w:val="30"/>
          <w:szCs w:val="30"/>
        </w:rPr>
      </w:pPr>
      <w:r>
        <w:rPr>
          <w:rFonts w:ascii="Arial" w:hAnsi="Arial"/>
          <w:i/>
          <w:sz w:val="24"/>
        </w:rPr>
        <w:t>Aproveitamento de disciplinas com pipeline de dados + IA local</w:t>
      </w:r>
    </w:p>
    <w:p>
      <w:pPr>
        <w:pStyle w:val="Ttulo1"/>
      </w:pPr>
      <w:r>
        <w:t>Resumo</w:t>
      </w:r>
    </w:p>
    <w:p>
      <w:pPr>
        <w:spacing w:line="360" w:lineRule="auto" w:after="120"/>
        <w:ind w:firstLine="706"/>
        <w:jc w:val="both"/>
      </w:pPr>
      <w:r>
        <w:t xml:space="preserve">Estudantes da UFSC que desejam mudar de curso ou aproveitar disciplinas precisam comparar manualmente dois currículos em PDF, disciplina por disciplina, para descobrir o que pode ser validado pelo colegiado de destino — um processo lento e propenso a erro. Este trabalho apresenta o </w:t>
      </w:r>
      <w:r>
        <w:t>Valida UFSC</w:t>
      </w:r>
      <w:r>
        <w:t xml:space="preserve">, uma aplicação web que automatiza essa triagem. O sistema integra um </w:t>
      </w:r>
      <w:r>
        <w:t>pipeline de engenharia de dados</w:t>
      </w:r>
      <w:r>
        <w:t xml:space="preserve"> (raspagem do sistema acadêmico CAGR com Playwright, extração de PDFs com pdfplumber e carga em PostgreSQL com a extensão pgvector (para comparar similaridade de vetores)), um </w:t>
      </w:r>
      <w:r>
        <w:t>motor de equivalência híbrido em camadas</w:t>
      </w:r>
      <w:r>
        <w:t xml:space="preserve"> (casamento por código, equivalência oficial declarada, similaridade semântica de ementas via </w:t>
      </w:r>
      <w:r>
        <w:rPr>
          <w:i/>
        </w:rPr>
        <w:t>embeddings</w:t>
      </w:r>
      <w:r>
        <w:t xml:space="preserve"> e somatório N:1 de carga horária) e uma </w:t>
      </w:r>
      <w:r>
        <w:t>interface web</w:t>
      </w:r>
      <w:r>
        <w:t xml:space="preserve"> em React. O critério de validação segue as Resoluções 17/CUn/97 e 115/2022/CGRAD da UFSC (≥ 75% de conteúdo e ≥ 75% de carga horária). O resultado é apresentado em duas faixas de confiança — </w:t>
      </w:r>
      <w:r>
        <w:rPr>
          <w:i/>
        </w:rPr>
        <w:t>aproveitamento direto</w:t>
      </w:r>
      <w:r>
        <w:t xml:space="preserve"> (determinístico) e </w:t>
      </w:r>
      <w:r>
        <w:rPr>
          <w:i/>
        </w:rPr>
        <w:t>boas chances</w:t>
      </w:r>
      <w:r>
        <w:t xml:space="preserve"> (semântico) —, reforçando que a decisão oficial é do colegiado. O limiar semântico foi </w:t>
      </w:r>
      <w:r>
        <w:t>calibrado empiricamente</w:t>
      </w:r>
      <w:r>
        <w:t xml:space="preserve"> usando as 3.794 equivalências oficiais da própria UFSC como gabarito. A base cobre ~109 cursos, ~6.200 disciplinas e 4.600 </w:t>
      </w:r>
      <w:r>
        <w:rPr>
          <w:i/>
        </w:rPr>
        <w:t>embeddings</w:t>
      </w:r>
      <w:r>
        <w:t>. Todo o ambiente é reproduzível via Docker Compose.</w:t>
      </w:r>
    </w:p>
    <w:p>
      <w:r>
        <w:br w:type="page"/>
      </w:r>
    </w:p>
    <w:p>
      <w:pPr>
        <w:pStyle w:val="Ttulo1"/>
      </w:pPr>
      <w:r>
        <w:t>Sumário</w:t>
      </w:r>
    </w:p>
    <w:p>
      <w:pPr>
        <w:spacing w:before="240" w:after="240"/>
        <w:jc w:val="center"/>
      </w:pPr>
      <w:fldSimple w:instr="TOC \o &quot;1-3&quot; \h \z \u">
        <w:r>
          <w:t>Sumário Acadêmico (Clique com o botão direito e selecione 'Atualizar Campo')</w:t>
        </w:r>
      </w:fldSimple>
    </w:p>
    <w:p>
      <w:pPr>
        <w:jc w:val="center"/>
      </w:pPr>
      <w:r>
        <w:rPr>
          <w:i/>
          <w:color w:val="787878"/>
          <w:sz w:val="20"/>
        </w:rPr>
        <w:t>(Para carregar as páginas do sumário no Word, clique com o botão direito sobre o texto acima e escolha 'Atualizar Campo' / 'Update Field')</w:t>
        <w:br/>
      </w:r>
    </w:p>
    <w:p>
      <w:r>
        <w:br w:type="page"/>
      </w:r>
    </w:p>
    <w:p>
      <w:pPr>
        <w:pStyle w:val="Ttulo1"/>
      </w:pPr>
      <w:r>
        <w:t>1. Introdução</w:t>
      </w:r>
    </w:p>
    <w:p>
      <w:pPr>
        <w:spacing w:line="360" w:lineRule="auto" w:after="120" w:before="0"/>
        <w:ind w:firstLine="706"/>
        <w:jc w:val="both"/>
      </w:pPr>
      <w:r>
        <w:t xml:space="preserve">A mobilidade entre cursos de graduação na UFSC — mudança de curso, retorno de graduado, ou aproveitamento de disciplinas entre currículos — exige um processo de </w:t>
      </w:r>
      <w:r>
        <w:t>aproveitamento de estudos</w:t>
      </w:r>
      <w:r>
        <w:t xml:space="preserve">, no qual o colegiado do curso de destino avalia se as disciplinas já cursadas pelo estudante equivalem às do novo currículo. Hoje, o(a) estudante faz esse levantamento </w:t>
      </w:r>
      <w:r>
        <w:t>manualmente</w:t>
      </w:r>
      <w:r>
        <w:t>, abrindo os dois currículos em PDF e comparando dezenas de disciplinas e ementas uma a uma. É um trabalho demorado, repetitivo e sujeito a erros.</w:t>
      </w:r>
    </w:p>
    <w:p>
      <w:pPr>
        <w:spacing w:line="360" w:lineRule="auto" w:after="120" w:before="0"/>
        <w:ind w:firstLine="706"/>
        <w:jc w:val="both"/>
      </w:pPr>
      <w:r>
        <w:t xml:space="preserve">Este projeto, desenvolvido na disciplina de </w:t>
      </w:r>
      <w:r>
        <w:t>Ciência e Engenharia de Dados</w:t>
      </w:r>
      <w:r>
        <w:t xml:space="preserve">, entrega o </w:t>
      </w:r>
      <w:r>
        <w:t>Valida UFSC</w:t>
      </w:r>
      <w:r>
        <w:t xml:space="preserve">: uma aplicação web na qual o usuário seleciona um </w:t>
      </w:r>
      <w:r>
        <w:t>curso de origem</w:t>
      </w:r>
      <w:r>
        <w:t xml:space="preserve"> e um </w:t>
      </w:r>
      <w:r>
        <w:t>curso de destino</w:t>
      </w:r>
      <w:r>
        <w:t xml:space="preserve"> (cujos currículos já foram coletados e armazenados) e recebe, instantaneamente, uma </w:t>
      </w:r>
      <w:r>
        <w:t>auditoria de equivalência</w:t>
      </w:r>
      <w:r>
        <w:t xml:space="preserve"> — quais disciplinas de origem têm chance de validar quais disciplinas de destino, com o método, a similaridade e a faixa de confiança. Opcionalmente, o(a) estudante pode enviar seu </w:t>
      </w:r>
      <w:r>
        <w:t>histórico escolar</w:t>
      </w:r>
      <w:r>
        <w:t xml:space="preserve"> em PDF para restringir a análise ao que já cursou.</w:t>
      </w:r>
    </w:p>
    <w:p>
      <w:pPr>
        <w:spacing w:line="360" w:lineRule="auto" w:after="120" w:before="0"/>
        <w:ind w:firstLine="706"/>
        <w:jc w:val="both"/>
      </w:pPr>
      <w:r>
        <w:t xml:space="preserve">O projeto foi estruturado em </w:t>
      </w:r>
      <w:r>
        <w:t>três pilares</w:t>
      </w:r>
      <w:r>
        <w:t xml:space="preserve">, todos tratados com igual cuidado: (i) um </w:t>
      </w:r>
      <w:r>
        <w:t>pipeline de engenharia de dados</w:t>
      </w:r>
      <w:r>
        <w:t xml:space="preserve"> (coleta, extração, carga e vetorização); (ii) um </w:t>
      </w:r>
      <w:r>
        <w:t>modelo de matching</w:t>
      </w:r>
      <w:r>
        <w:t xml:space="preserve"> que combina regras determinísticas e processamento de linguagem natural; e (iii) um </w:t>
      </w:r>
      <w:r>
        <w:t>produto</w:t>
      </w:r>
      <w:r>
        <w:t xml:space="preserve"> web polido e funcional.</w:t>
      </w:r>
    </w:p>
    <w:p>
      <w:pPr>
        <w:pStyle w:val="Ttulo2"/>
      </w:pPr>
      <w:r>
        <w:t>1.1. O insight central</w:t>
      </w:r>
    </w:p>
    <w:p>
      <w:pPr>
        <w:spacing w:line="360" w:lineRule="auto" w:after="120" w:before="0"/>
        <w:ind w:firstLine="706"/>
        <w:jc w:val="both"/>
      </w:pPr>
      <w:r>
        <w:t xml:space="preserve">A observação que define toda a arquitetura é simples: </w:t>
      </w:r>
      <w:r>
        <w:t>o código de uma disciplina é um identificador único em toda a UFSC</w:t>
      </w:r>
      <w:r>
        <w:t xml:space="preserve">. </w:t>
      </w:r>
      <w:r>
        <w:rPr>
          <w:rFonts w:ascii="Courier New" w:hAnsi="Courier New"/>
          <w:sz w:val="20"/>
        </w:rPr>
        <w:t>INE5111</w:t>
      </w:r>
      <w:r>
        <w:t xml:space="preserve">, </w:t>
      </w:r>
      <w:r>
        <w:rPr>
          <w:rFonts w:ascii="Courier New" w:hAnsi="Courier New"/>
          <w:sz w:val="20"/>
        </w:rPr>
        <w:t>MTM3110</w:t>
      </w:r>
      <w:r>
        <w:t xml:space="preserve"> ou </w:t>
      </w:r>
      <w:r>
        <w:rPr>
          <w:rFonts w:ascii="Courier New" w:hAnsi="Courier New"/>
          <w:sz w:val="20"/>
        </w:rPr>
        <w:t>CIN8001</w:t>
      </w:r>
      <w:r>
        <w:t xml:space="preserve"> designam a mesma disciplina independentemente do currículo em que aparecem. Logo, </w:t>
      </w:r>
      <w:r>
        <w:t>mesmo código ⇒ mesma disciplina</w:t>
      </w:r>
      <w:r>
        <w:t xml:space="preserve">, e uma parcela grande da equivalência é </w:t>
      </w:r>
      <w:r>
        <w:t>determinística e auditável</w:t>
      </w:r>
      <w:r>
        <w:t xml:space="preserve">. A inteligência artificial só precisa atuar no caso difícil: disciplinas com </w:t>
      </w:r>
      <w:r>
        <w:t>códigos diferentes</w:t>
      </w:r>
      <w:r>
        <w:t xml:space="preserve">, mas conteúdo potencialmente equivalente — onde é necessário comparar as </w:t>
      </w:r>
      <w:r>
        <w:t>ementas</w:t>
      </w:r>
      <w:r>
        <w:t>. Esse recorte torna o sistema confiável, explicável e barato de operar.</w:t>
      </w:r>
    </w:p>
    <w:p>
      <w:pPr>
        <w:pStyle w:val="Ttulo1"/>
      </w:pPr>
      <w:r>
        <w:t>2. Critério oficial de equivalência</w:t>
      </w:r>
    </w:p>
    <w:p>
      <w:pPr>
        <w:spacing w:line="360" w:lineRule="auto" w:after="120" w:before="0"/>
        <w:ind w:firstLine="706"/>
        <w:jc w:val="both"/>
      </w:pPr>
      <w:r>
        <w:t xml:space="preserve">A validação segue a </w:t>
      </w:r>
      <w:r>
        <w:t>Resolução nº 17/CUn/97</w:t>
      </w:r>
      <w:r>
        <w:t xml:space="preserve"> (Capítulo VI — Do Aproveitamento de Estudos) e a </w:t>
      </w:r>
      <w:r>
        <w:t>Resolução nº 115/2022/CGRAD</w:t>
      </w:r>
      <w:r>
        <w:t>. Consolidando a prática dos colegiados, uma disciplina de destino D é validada por uma ou mais disciplinas de origem O quando:</w:t>
      </w:r>
    </w:p>
    <w:p>
      <w:pPr>
        <w:spacing w:line="360" w:lineRule="auto" w:after="120" w:before="0"/>
        <w:ind w:left="360"/>
        <w:jc w:val="both"/>
      </w:pPr>
      <w:r>
        <w:t xml:space="preserve">• </w:t>
      </w:r>
      <w:r>
        <w:t>R1 — Conteúdo:</w:t>
      </w:r>
      <w:r>
        <w:t xml:space="preserve"> a(s) ementa(s) de O cobre(m) </w:t>
      </w:r>
      <w:r>
        <w:t>≥ 75% do conteúdo</w:t>
      </w:r>
      <w:r>
        <w:t xml:space="preserve"> de D (critério subjetivo, avaliado por leitura); - </w:t>
      </w:r>
      <w:r>
        <w:t>R2 — Carga horária:</w:t>
      </w:r>
      <w:r>
        <w:t xml:space="preserve"> a soma da carga horária de O é </w:t>
      </w:r>
      <w:r>
        <w:t>≥ 75% da carga horária</w:t>
      </w:r>
      <w:r>
        <w:t xml:space="preserve"> de D (critério objetivo e mecânico); - </w:t>
      </w:r>
      <w:r>
        <w:t>R3 — Somatório N:1:</w:t>
      </w:r>
      <w:r>
        <w:t xml:space="preserve"> é permitido </w:t>
      </w:r>
      <w:r>
        <w:t>somar duas ou mais disciplinas</w:t>
      </w:r>
      <w:r>
        <w:t xml:space="preserve"> de origem para cobrir R1 e R2; - </w:t>
      </w:r>
      <w:r>
        <w:t>R4 — Autoridade:</w:t>
      </w:r>
      <w:r>
        <w:t xml:space="preserve"> a decisão oficial é do </w:t>
      </w:r>
      <w:r>
        <w:t>colegiado do curso de destino</w:t>
      </w:r>
      <w:r>
        <w:t xml:space="preserve">; a ferramenta é um </w:t>
      </w:r>
      <w:r>
        <w:t>auxiliar de triagem</w:t>
      </w:r>
      <w:r>
        <w:t>.</w:t>
      </w:r>
    </w:p>
    <w:p>
      <w:pPr>
        <w:spacing w:line="360" w:lineRule="auto" w:after="120" w:before="0"/>
        <w:ind w:firstLine="706"/>
        <w:jc w:val="both"/>
      </w:pPr>
      <w:r>
        <w:t xml:space="preserve">Os limiares de 75% são </w:t>
      </w:r>
      <w:r>
        <w:t>parâmetros configuráveis</w:t>
      </w:r>
      <w:r>
        <w:t xml:space="preserve"> (</w:t>
      </w:r>
      <w:r>
        <w:rPr>
          <w:rFonts w:ascii="Courier New" w:hAnsi="Courier New"/>
          <w:sz w:val="20"/>
        </w:rPr>
        <w:t>.env</w:t>
      </w:r>
      <w:r>
        <w:t xml:space="preserve">), pois variam por colegiado. A distinção entre R1 (subjetivo) e R2 (objetivo) é central no projeto: a carga horária é tratada como </w:t>
      </w:r>
      <w:r>
        <w:t>filtro rígido</w:t>
      </w:r>
      <w:r>
        <w:t xml:space="preserve">, enquanto a compatibilidade de conteúdo é </w:t>
      </w:r>
      <w:r>
        <w:t>aproximada</w:t>
      </w:r>
      <w:r>
        <w:t xml:space="preserve"> por IA e sempre remetida ao colegiado.</w:t>
      </w:r>
    </w:p>
    <w:p>
      <w:pPr>
        <w:pStyle w:val="Ttulo1"/>
      </w:pPr>
      <w:r>
        <w:t>3. Visão geral da arquitetura</w:t>
      </w:r>
    </w:p>
    <w:p>
      <w:pPr>
        <w:spacing w:line="360" w:lineRule="auto" w:after="120" w:before="0"/>
        <w:ind w:firstLine="706"/>
        <w:jc w:val="both"/>
      </w:pPr>
      <w:r>
        <w:t>A Figura 1 resume o fluxo do sistema. O pipeline de dados (offline) alimenta o banco; a aplicação (online) consulta o banco e o motor de equivalência para responder às comparações.</w:t>
      </w:r>
    </w:p>
    <w:p>
      <w:pPr>
        <w:spacing w:line="360" w:lineRule="auto" w:after="120" w:before="0"/>
        <w:ind w:firstLine="706"/>
        <w:jc w:val="both"/>
      </w:pPr>
      <w:r>
        <w:t xml:space="preserve">&gt; </w:t>
      </w:r>
      <w:r>
        <w:t>[FIGURA 1 — Diagrama de arquitetura/fluxo do sistema]</w:t>
      </w:r>
      <w:r/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46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46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sz w:val="20"/>
        </w:rPr>
        <w:t>Figura 1: Visão dos containers Docker orquestrados pelo Docker Compose.</w:t>
      </w:r>
    </w:p>
    <w:p>
      <w:pPr>
        <w:spacing w:before="120" w:after="120"/>
        <w:ind w:left="720"/>
      </w:pPr>
      <w:r>
        <w:rPr>
          <w:rFonts w:ascii="Courier New" w:hAnsi="Courier New"/>
          <w:sz w:val="19"/>
        </w:rPr>
        <w:t>CAGR (JSF) --Playwright--&gt; Scraper --pdfplumber--&gt; Parser --&gt; Loader --&gt; PostgreSQL + pgvector</w:t>
        <w:br/>
        <w:t xml:space="preserve">                                                                |               ^</w:t>
        <w:br/>
        <w:t xml:space="preserve">                                                          Embeddings (Ollama) --+</w:t>
        <w:br/>
        <w:t xml:space="preserve"> Frontend (React) &lt;--REST (comunicação de dados)--&gt; Backend (FastAPI) --motor em camadas--&gt; +----------+</w:t>
      </w:r>
    </w:p>
    <w:p>
      <w:pPr>
        <w:spacing w:line="360" w:lineRule="auto" w:after="120" w:before="0"/>
        <w:ind w:firstLine="706"/>
        <w:jc w:val="both"/>
      </w:pPr>
      <w:r>
        <w:t xml:space="preserve">Todos os serviços são orquestrados por </w:t>
      </w:r>
      <w:r>
        <w:t>Docker Compose</w:t>
      </w:r>
      <w:r>
        <w:t>: banco (</w:t>
      </w:r>
      <w:r>
        <w:rPr>
          <w:rFonts w:ascii="Courier New" w:hAnsi="Courier New"/>
          <w:sz w:val="20"/>
        </w:rPr>
        <w:t>db</w:t>
      </w:r>
      <w:r>
        <w:t>), modelos de IA (</w:t>
      </w:r>
      <w:r>
        <w:rPr>
          <w:rFonts w:ascii="Courier New" w:hAnsi="Courier New"/>
          <w:sz w:val="20"/>
        </w:rPr>
        <w:t>ollama</w:t>
      </w:r>
      <w:r>
        <w:t>), API (</w:t>
      </w:r>
      <w:r>
        <w:rPr>
          <w:rFonts w:ascii="Courier New" w:hAnsi="Courier New"/>
          <w:sz w:val="20"/>
        </w:rPr>
        <w:t>backend</w:t>
      </w:r>
      <w:r>
        <w:t>), interface (</w:t>
      </w:r>
      <w:r>
        <w:rPr>
          <w:rFonts w:ascii="Courier New" w:hAnsi="Courier New"/>
          <w:sz w:val="20"/>
        </w:rPr>
        <w:t>frontend</w:t>
      </w:r>
      <w:r>
        <w:t>) e um job de ETL (</w:t>
      </w:r>
      <w:r>
        <w:rPr>
          <w:rFonts w:ascii="Courier New" w:hAnsi="Courier New"/>
          <w:sz w:val="20"/>
        </w:rPr>
        <w:t>etl</w:t>
      </w:r>
      <w:r>
        <w:t>).</w:t>
      </w:r>
    </w:p>
    <w:p>
      <w:pPr>
        <w:pStyle w:val="Ttulo1"/>
      </w:pPr>
      <w:r>
        <w:t>4. Pilar 1 — Pipeline de dados</w:t>
      </w:r>
    </w:p>
    <w:p>
      <w:pPr>
        <w:spacing w:line="360" w:lineRule="auto" w:after="120" w:before="0"/>
        <w:ind w:firstLine="706"/>
        <w:jc w:val="both"/>
      </w:pPr>
      <w:r>
        <w:t>O pipeline (</w:t>
      </w:r>
      <w:r>
        <w:rPr>
          <w:rFonts w:ascii="Courier New" w:hAnsi="Courier New"/>
          <w:sz w:val="20"/>
        </w:rPr>
        <w:t>backend/valida_ufsc/etl/</w:t>
      </w:r>
      <w:r>
        <w:t xml:space="preserve">) executa quatro etapas encadeadas em </w:t>
      </w:r>
      <w:r>
        <w:rPr>
          <w:rFonts w:ascii="Courier New" w:hAnsi="Courier New"/>
          <w:sz w:val="20"/>
        </w:rPr>
        <w:t>pipeline.py</w:t>
      </w:r>
      <w:r>
        <w:t>.</w:t>
      </w:r>
    </w:p>
    <w:p>
      <w:pPr>
        <w:pStyle w:val="Ttulo2"/>
      </w:pPr>
      <w:r>
        <w:t>4.1. Raspagem (scraper.py)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572000" cy="22419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1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sz w:val="20"/>
        </w:rPr>
        <w:t>Figura 6: Árvore do CAGR de onde raspamos os currículos do Campus Florianópolis.</w:t>
      </w:r>
    </w:p>
    <w:p>
      <w:pPr>
        <w:spacing w:line="360" w:lineRule="auto" w:after="120" w:before="0"/>
        <w:ind w:firstLine="706"/>
        <w:jc w:val="both"/>
      </w:pPr>
      <w:r>
        <w:t xml:space="preserve">O sistema CAGR expõe a árvore de cursos como uma aplicação </w:t>
      </w:r>
      <w:r>
        <w:t>JSF/RichFaces</w:t>
      </w:r>
      <w:r>
        <w:t xml:space="preserve"> com </w:t>
      </w:r>
      <w:r>
        <w:rPr>
          <w:i/>
        </w:rPr>
        <w:t>ViewState</w:t>
      </w:r>
      <w:r>
        <w:t xml:space="preserve"> e chamadas AJAX, sem </w:t>
      </w:r>
      <w:r>
        <w:rPr>
          <w:i/>
        </w:rPr>
        <w:t>links</w:t>
      </w:r>
      <w:r>
        <w:t xml:space="preserve"> estáticos. Usamos </w:t>
      </w:r>
      <w:r>
        <w:t>Playwright</w:t>
      </w:r>
      <w:r>
        <w:t xml:space="preserve"> (Chromium </w:t>
      </w:r>
      <w:r>
        <w:rPr>
          <w:i/>
        </w:rPr>
        <w:t>headless</w:t>
      </w:r>
      <w:r>
        <w:t xml:space="preserve">) para navegar a árvore do </w:t>
      </w:r>
      <w:r>
        <w:t>Campus Florianópolis</w:t>
      </w:r>
      <w:r>
        <w:t xml:space="preserve"> e coletar os pares </w:t>
      </w:r>
      <w:r>
        <w:rPr>
          <w:rFonts w:ascii="Courier New" w:hAnsi="Courier New"/>
          <w:sz w:val="20"/>
        </w:rPr>
        <w:t>(curso, currículo)</w:t>
      </w:r>
      <w:r>
        <w:t xml:space="preserve">. A </w:t>
      </w:r>
      <w:r>
        <w:t>descoberta-chave</w:t>
      </w:r>
      <w:r>
        <w:t xml:space="preserve"> foi que o relatório de currículo tem uma </w:t>
      </w:r>
      <w:r>
        <w:t>URL pública e direta</w:t>
      </w:r>
      <w:r>
        <w:t xml:space="preserve"> — </w:t>
      </w:r>
      <w:r>
        <w:rPr>
          <w:rFonts w:ascii="Courier New" w:hAnsi="Courier New"/>
          <w:sz w:val="20"/>
        </w:rPr>
        <w:t>relatorios/curriculoCurso?curso=X&amp;curriculo=Y</w:t>
      </w:r>
      <w:r>
        <w:t xml:space="preserve"> —, dispensando sessão. Isso permitiu baixar cada PDF de forma simples e robusta (com </w:t>
      </w:r>
      <w:r>
        <w:rPr>
          <w:i/>
        </w:rPr>
        <w:t>retry</w:t>
      </w:r>
      <w:r>
        <w:t xml:space="preserve"> e </w:t>
      </w:r>
      <w:r>
        <w:rPr>
          <w:i/>
        </w:rPr>
        <w:t>rate-limit</w:t>
      </w:r>
      <w:r>
        <w:t>).</w:t>
      </w:r>
    </w:p>
    <w:p>
      <w:pPr>
        <w:pStyle w:val="Ttulo2"/>
      </w:pPr>
      <w:r>
        <w:t>4.2. Extração (parser.py)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572000" cy="48074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07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sz w:val="20"/>
        </w:rPr>
        <w:t>Figura 7: Formato do relatório em PDF do CAGR de onde as disciplinas e ementas são extraídas.</w:t>
      </w:r>
    </w:p>
    <w:p>
      <w:pPr>
        <w:spacing w:line="360" w:lineRule="auto" w:after="120" w:before="0"/>
        <w:ind w:firstLine="706"/>
        <w:jc w:val="both"/>
      </w:pPr>
      <w:r>
        <w:t xml:space="preserve">O parsing foi o maior desafio técnico do pilar. No PDF de currículo, a </w:t>
      </w:r>
      <w:r>
        <w:t>ementa aparece acima</w:t>
      </w:r>
      <w:r>
        <w:t xml:space="preserve"> de cada linha de disciplina e, crucialmente, </w:t>
      </w:r>
      <w:r>
        <w:t>a ordem do texto no fluxo do PDF não corresponde à ordem visual</w:t>
      </w:r>
      <w:r>
        <w:t xml:space="preserve">. Uma extração ingênua produz texto embaralhado. A solução foi um </w:t>
      </w:r>
      <w:r>
        <w:t>parser por coordenadas</w:t>
      </w:r>
      <w:r>
        <w:t xml:space="preserve"> com pdfplumber: as palavras são reordenadas pela posição (x, y) na página, reconstruindo a tabela coluna a coluna (fronteiras de </w:t>
      </w:r>
      <w:r>
        <w:rPr>
          <w:rFonts w:ascii="Courier New" w:hAnsi="Courier New"/>
          <w:sz w:val="20"/>
        </w:rPr>
        <w:t>x0</w:t>
      </w:r>
      <w:r>
        <w:t xml:space="preserve"> para código, nome, tipo, H/A, equivalentes, pré-requisito); o </w:t>
      </w:r>
      <w:r>
        <w:t>tamanho da fonte</w:t>
      </w:r>
      <w:r>
        <w:t xml:space="preserve"> distingue a linha de dados da linha de ementa. A correção é validada por </w:t>
      </w:r>
      <w:r>
        <w:t>*testes de comparação com gabaritos</w:t>
      </w:r>
      <w:r>
        <w:t>* sobre PDFs de exemplo (contagem e códigos esperados).</w:t>
      </w:r>
    </w:p>
    <w:p>
      <w:pPr>
        <w:pStyle w:val="Ttulo2"/>
      </w:pPr>
      <w:r>
        <w:t>4.3. Carga (loader.py)</w:t>
      </w:r>
    </w:p>
    <w:p>
      <w:pPr>
        <w:spacing w:line="360" w:lineRule="auto" w:after="120" w:before="0"/>
        <w:ind w:firstLine="706"/>
        <w:jc w:val="both"/>
      </w:pPr>
      <w:r>
        <w:t xml:space="preserve">O </w:t>
      </w:r>
      <w:r>
        <w:rPr>
          <w:i/>
        </w:rPr>
        <w:t>loader</w:t>
      </w:r>
      <w:r>
        <w:t xml:space="preserve"> normaliza e faz </w:t>
      </w:r>
      <w:r>
        <w:t>inserção ou atualização inteligente (evitando duplicados)</w:t>
      </w:r>
      <w:r>
        <w:t xml:space="preserve">: a </w:t>
      </w:r>
      <w:r>
        <w:rPr>
          <w:rFonts w:ascii="Courier New" w:hAnsi="Courier New"/>
          <w:sz w:val="20"/>
        </w:rPr>
        <w:t>disciplina</w:t>
      </w:r>
      <w:r>
        <w:t xml:space="preserve"> é canônica por código (deduplicada entre currículos), e a junção </w:t>
      </w:r>
      <w:r>
        <w:rPr>
          <w:rFonts w:ascii="Courier New" w:hAnsi="Courier New"/>
          <w:sz w:val="20"/>
        </w:rPr>
        <w:t>curriculo_disciplina</w:t>
      </w:r>
      <w:r>
        <w:t xml:space="preserve"> guarda o que varia por currículo (tipo e fase). A coluna "Equivalentes" do PDF vira a tabela </w:t>
      </w:r>
      <w:r>
        <w:rPr>
          <w:rFonts w:ascii="Courier New" w:hAnsi="Courier New"/>
          <w:sz w:val="20"/>
        </w:rPr>
        <w:t>equivalencia_oficial</w:t>
      </w:r>
      <w:r>
        <w:t>. Uma política determinística ("vence o dado mais completo") garante resultado estável independentemente da ordem dos arquivos.</w:t>
      </w:r>
    </w:p>
    <w:p>
      <w:pPr>
        <w:pStyle w:val="Ttulo2"/>
      </w:pPr>
      <w:r>
        <w:t>4.4. Vetorização (embeddings)</w:t>
      </w:r>
    </w:p>
    <w:p>
      <w:pPr>
        <w:spacing w:line="360" w:lineRule="auto" w:after="120" w:before="0"/>
        <w:ind w:firstLine="706"/>
        <w:jc w:val="both"/>
      </w:pPr>
      <w:r>
        <w:t xml:space="preserve">Para cada disciplina com ementa, geramos um </w:t>
      </w:r>
      <w:r>
        <w:t>*embedding</w:t>
      </w:r>
      <w:r/>
      <w:r>
        <w:rPr>
          <w:i/>
        </w:rPr>
        <w:t xml:space="preserve"> de </w:t>
      </w:r>
      <w:r/>
      <w:r>
        <w:rPr>
          <w:i/>
        </w:rPr>
        <w:t>1024 dimensões</w:t>
      </w:r>
      <w:r/>
      <w:r>
        <w:rPr>
          <w:i/>
        </w:rPr>
        <w:t xml:space="preserve"> com o modelo </w:t>
      </w:r>
      <w:r/>
      <w:r>
        <w:rPr>
          <w:i/>
        </w:rPr>
        <w:t>`bge-m3`</w:t>
      </w:r>
      <w:r/>
      <w:r>
        <w:rPr>
          <w:i/>
        </w:rPr>
        <w:t xml:space="preserve"> (multilíngue, via Ollama) e o gravamos em `disciplina_embedding` (tipo `vector` do pgvector). A geração é </w:t>
      </w:r>
      <w:r/>
      <w:r>
        <w:rPr>
          <w:i/>
        </w:rPr>
        <w:t>idempotente</w:t>
      </w:r>
      <w:r/>
      <w:r>
        <w:rPr>
          <w:i/>
        </w:rPr>
        <w:t xml:space="preserve"> via </w:t>
      </w:r>
      <w:r>
        <w:t>hash* da ementa: só recalcula quando o texto muda.</w:t>
      </w:r>
    </w:p>
    <w:p>
      <w:pPr>
        <w:pStyle w:val="Ttulo1"/>
      </w:pPr>
      <w:r>
        <w:t>5. Pilar 2 — Motor de equivalência</w:t>
      </w:r>
    </w:p>
    <w:p>
      <w:pPr>
        <w:spacing w:line="360" w:lineRule="auto" w:after="120" w:before="0"/>
        <w:ind w:firstLine="706"/>
        <w:jc w:val="both"/>
      </w:pPr>
      <w:r>
        <w:t>O motor (</w:t>
      </w:r>
      <w:r>
        <w:rPr>
          <w:rFonts w:ascii="Courier New" w:hAnsi="Courier New"/>
          <w:sz w:val="20"/>
        </w:rPr>
        <w:t>backend/valida_ufsc/matching/engine.py</w:t>
      </w:r>
      <w:r>
        <w:t xml:space="preserve">) avalia, para </w:t>
      </w:r>
      <w:r>
        <w:t>cada disciplina de destino</w:t>
      </w:r>
      <w:r>
        <w:t xml:space="preserve">, as disciplinas de origem que a validam, em </w:t>
      </w:r>
      <w:r>
        <w:t>camadas de confiança decrescente</w:t>
      </w:r>
      <w:r>
        <w:t>, parando na primeira que resolve:</w:t>
      </w:r>
    </w:p>
    <w:p>
      <w:pPr>
        <w:spacing w:line="360" w:lineRule="auto" w:after="120" w:before="0"/>
        <w:ind w:firstLine="706"/>
        <w:jc w:val="both"/>
      </w:pPr>
      <w:r>
        <w:t xml:space="preserve">1. </w:t>
      </w:r>
      <w:r>
        <w:t>Código exato</w:t>
      </w:r>
      <w:r>
        <w:t xml:space="preserve"> — mesmo código UFSC ⇒ disciplina idêntica → </w:t>
      </w:r>
      <w:r>
        <w:rPr>
          <w:i/>
        </w:rPr>
        <w:t>aproveitamento direto</w:t>
      </w:r>
      <w:r>
        <w:t xml:space="preserve">. 2. </w:t>
      </w:r>
      <w:r>
        <w:t>Equivalência oficial</w:t>
      </w:r>
      <w:r>
        <w:t xml:space="preserve"> — declarada na coluna "Equivalentes" do PDF → </w:t>
      </w:r>
      <w:r>
        <w:rPr>
          <w:i/>
        </w:rPr>
        <w:t>aproveitamento direto</w:t>
      </w:r>
      <w:r>
        <w:t xml:space="preserve">. 3. </w:t>
      </w:r>
      <w:r>
        <w:t>Semântico</w:t>
      </w:r>
      <w:r>
        <w:t xml:space="preserve"> — similaridade de cosseno entre ementas (via pgvector); acima do </w:t>
      </w:r>
      <w:r>
        <w:t>corte calibrado (0,75)</w:t>
      </w:r>
      <w:r>
        <w:t xml:space="preserve"> → </w:t>
      </w:r>
      <w:r>
        <w:rPr>
          <w:i/>
        </w:rPr>
        <w:t>boa chance</w:t>
      </w:r>
      <w:r>
        <w:t xml:space="preserve">. 4. </w:t>
      </w:r>
      <w:r>
        <w:t>Somatório N:1</w:t>
      </w:r>
      <w:r>
        <w:t xml:space="preserve"> — quando uma origem isolada não cobre a carga horária, combina-se 2+ origens semelhantes até atingir 75%.</w:t>
      </w:r>
    </w:p>
    <w:p>
      <w:pPr>
        <w:spacing w:line="360" w:lineRule="auto" w:after="120" w:before="0"/>
        <w:ind w:firstLine="706"/>
        <w:jc w:val="both"/>
      </w:pPr>
      <w:r>
        <w:t xml:space="preserve">A saída é organizada em </w:t>
      </w:r>
      <w:r>
        <w:t>duas faixas</w:t>
      </w:r>
      <w:r>
        <w:t xml:space="preserve"> apresentadas ao usuário: </w:t>
      </w:r>
      <w:r>
        <w:t>Aproveitamento direto</w:t>
      </w:r>
      <w:r>
        <w:t xml:space="preserve"> (determinístico, alta confiança) e </w:t>
      </w:r>
      <w:r>
        <w:t>Boas chances</w:t>
      </w:r>
      <w:r>
        <w:t xml:space="preserve"> (semântico — leva ao colegiado).</w:t>
      </w:r>
    </w:p>
    <w:p>
      <w:pPr>
        <w:pStyle w:val="Ttulo2"/>
      </w:pPr>
      <w:r>
        <w:t>5.1. Regra rígida de carga horária</w:t>
      </w:r>
    </w:p>
    <w:p>
      <w:pPr>
        <w:spacing w:line="360" w:lineRule="auto" w:after="120" w:before="0"/>
        <w:ind w:firstLine="706"/>
        <w:jc w:val="both"/>
      </w:pPr>
      <w:r>
        <w:t xml:space="preserve">A regra </w:t>
      </w:r>
      <w:r>
        <w:t>R2 (75% de CH)</w:t>
      </w:r>
      <w:r>
        <w:t xml:space="preserve"> é aplicada como </w:t>
      </w:r>
      <w:r>
        <w:t>filtro objetivo</w:t>
      </w:r>
      <w:r>
        <w:t xml:space="preserve">: um candidato semântico cuja carga horária — sozinho ou somado (N:1) — não atinge 75% da disciplina de destino é </w:t>
      </w:r>
      <w:r>
        <w:t>removido</w:t>
      </w:r>
      <w:r>
        <w:t xml:space="preserve"> das "boas chances" (seria recusa certa do colegiado). Mantêm-se apenas os casos que cobrem a CH ou cuja carga do destino é desconhecida.</w:t>
      </w:r>
    </w:p>
    <w:p>
      <w:pPr>
        <w:pStyle w:val="Ttulo2"/>
      </w:pPr>
      <w:r>
        <w:t>5.2. Orientação a *recall* e reuso</w:t>
      </w:r>
    </w:p>
    <w:p>
      <w:pPr>
        <w:spacing w:line="360" w:lineRule="auto" w:after="120" w:before="0"/>
        <w:ind w:firstLine="706"/>
        <w:jc w:val="both"/>
      </w:pPr>
      <w:r>
        <w:t xml:space="preserve">Como a ferramenta é um </w:t>
      </w:r>
      <w:r>
        <w:t>triador para o aluno</w:t>
      </w:r>
      <w:r>
        <w:t xml:space="preserve">, a faixa semântica é orientada a </w:t>
      </w:r>
      <w:r>
        <w:t>*recall</w:t>
      </w:r>
      <w:r/>
      <w:r>
        <w:rPr>
          <w:i/>
        </w:rPr>
        <w:t xml:space="preserve">: busca-se o maior leque de candidatas plausíveis. Por isso, na faixa "boas chances" a mesma disciplina de origem </w:t>
      </w:r>
      <w:r/>
      <w:r>
        <w:rPr>
          <w:i/>
        </w:rPr>
        <w:t>pode ser sugerida para mais de uma disciplina de destino</w:t>
      </w:r>
      <w:r>
        <w:t>* (o colegiado valida cada origem em apenas uma). Na faixa determinística (código/oficial), mantém-se a relação 1:1.</w:t>
      </w:r>
    </w:p>
    <w:p>
      <w:pPr>
        <w:pStyle w:val="Ttulo2"/>
      </w:pPr>
      <w:r>
        <w:t>5.3. Testabilidade</w:t>
      </w:r>
    </w:p>
    <w:p>
      <w:pPr>
        <w:spacing w:line="360" w:lineRule="auto" w:after="120" w:before="0"/>
        <w:ind w:firstLine="706"/>
        <w:jc w:val="both"/>
      </w:pPr>
      <w:r>
        <w:t xml:space="preserve">A função de similaridade é </w:t>
      </w:r>
      <w:r>
        <w:t>configurado de forma independente (testável offline)</w:t>
      </w:r>
      <w:r>
        <w:t xml:space="preserve"> no motor, que assim é </w:t>
      </w:r>
      <w:r>
        <w:t>100% testável offline</w:t>
      </w:r>
      <w:r>
        <w:t xml:space="preserve"> (sem banco nem rede). São </w:t>
      </w:r>
      <w:r>
        <w:t>18 testes</w:t>
      </w:r>
      <w:r>
        <w:t xml:space="preserve"> unitários cobrindo as camadas, a regra de CH, o somatório N:1, o reuso, a calibração e regressões de simulações de casos reais.</w:t>
      </w:r>
    </w:p>
    <w:p>
      <w:pPr>
        <w:pStyle w:val="Ttulo1"/>
      </w:pPr>
      <w:r>
        <w:t>6. Backend, API e banco de dados</w:t>
      </w:r>
    </w:p>
    <w:p>
      <w:pPr>
        <w:spacing w:line="360" w:lineRule="auto" w:after="120" w:before="0"/>
        <w:ind w:firstLine="706"/>
        <w:jc w:val="both"/>
      </w:pPr>
      <w:r>
        <w:t xml:space="preserve">O backend é uma API </w:t>
      </w:r>
      <w:r>
        <w:t>FastAPI</w:t>
      </w:r>
      <w:r>
        <w:t xml:space="preserve"> com </w:t>
      </w:r>
      <w:r>
        <w:t>SQLAlchemy 2.0</w:t>
      </w:r>
      <w:r>
        <w:t xml:space="preserve"> e migrações </w:t>
      </w:r>
      <w:r>
        <w:t>Alembic</w:t>
      </w:r>
      <w:r>
        <w:t xml:space="preserve">. Os principais endpoints são: </w:t>
      </w:r>
      <w:r>
        <w:rPr>
          <w:rFonts w:ascii="Courier New" w:hAnsi="Courier New"/>
          <w:sz w:val="20"/>
        </w:rPr>
        <w:t>GET /cursos</w:t>
      </w:r>
      <w:r>
        <w:t xml:space="preserve"> (popula os seletores, </w:t>
      </w:r>
      <w:r>
        <w:t>filtrando currículos vazios</w:t>
      </w:r>
      <w:r>
        <w:t xml:space="preserve">); </w:t>
      </w:r>
      <w:r>
        <w:rPr>
          <w:rFonts w:ascii="Courier New" w:hAnsi="Courier New"/>
          <w:sz w:val="20"/>
        </w:rPr>
        <w:t>POST /comparacoes</w:t>
      </w:r>
      <w:r>
        <w:t xml:space="preserve"> (auditoria, com </w:t>
      </w:r>
      <w:r>
        <w:t>cache</w:t>
      </w:r>
      <w:r>
        <w:t xml:space="preserve"> por par de currículos e parâmetros); </w:t>
      </w:r>
      <w:r>
        <w:rPr>
          <w:rFonts w:ascii="Courier New" w:hAnsi="Courier New"/>
          <w:sz w:val="20"/>
        </w:rPr>
        <w:t>POST /historico</w:t>
      </w:r>
      <w:r>
        <w:t xml:space="preserve"> (upload e parsing do histórico); e </w:t>
      </w:r>
      <w:r>
        <w:rPr>
          <w:rFonts w:ascii="Courier New" w:hAnsi="Courier New"/>
          <w:sz w:val="20"/>
        </w:rPr>
        <w:t>POST /comparacoes/personalizada</w:t>
      </w:r>
      <w:r>
        <w:t xml:space="preserve"> (análise restrita às disciplinas aprovadas pelo aluno).</w:t>
      </w:r>
    </w:p>
    <w:p>
      <w:pPr>
        <w:spacing w:line="360" w:lineRule="auto" w:after="120" w:before="0"/>
        <w:ind w:firstLine="706"/>
        <w:jc w:val="both"/>
      </w:pPr>
      <w:r>
        <w:t xml:space="preserve">O </w:t>
      </w:r>
      <w:r>
        <w:t>modelo de dados</w:t>
      </w:r>
      <w:r>
        <w:t xml:space="preserve"> (PostgreSQL 16 + pgvector) está na Figura 2:</w:t>
      </w:r>
    </w:p>
    <w:p>
      <w:pPr>
        <w:spacing w:line="360" w:lineRule="auto" w:after="120" w:before="0"/>
        <w:ind w:firstLine="706"/>
        <w:jc w:val="both"/>
      </w:pPr>
      <w:r>
        <w:t xml:space="preserve">&gt; </w:t>
      </w:r>
      <w:r>
        <w:t>[FIGURA 2 — Diagrama Entidade-Relacionamento do banco]</w:t>
      </w:r>
      <w:r>
        <w:t xml:space="preserve"> </w:t>
      </w:r>
      <w:r>
        <w:rPr>
          <w:i/>
        </w:rPr>
        <w:t>(print já anexado no Claude Design)</w:t>
      </w:r>
      <w:r/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572000" cy="49251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925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sz w:val="20"/>
        </w:rPr>
        <w:t>Figura 2: Diagrama de Entidade-Relacionamento do Banco de Dados (PostgreSQL com pgvector).</w:t>
      </w:r>
    </w:p>
    <w:p>
      <w:pPr>
        <w:spacing w:line="360" w:lineRule="auto" w:after="120" w:before="0"/>
        <w:ind w:firstLine="706"/>
        <w:jc w:val="both"/>
      </w:pPr>
      <w:r>
        <w:t xml:space="preserve">Tabelas principais: </w:t>
      </w:r>
      <w:r>
        <w:rPr>
          <w:rFonts w:ascii="Courier New" w:hAnsi="Courier New"/>
          <w:sz w:val="20"/>
        </w:rPr>
        <w:t>curso</w:t>
      </w:r>
      <w:r>
        <w:t xml:space="preserve">, </w:t>
      </w:r>
      <w:r>
        <w:rPr>
          <w:rFonts w:ascii="Courier New" w:hAnsi="Courier New"/>
          <w:sz w:val="20"/>
        </w:rPr>
        <w:t>curriculo</w:t>
      </w:r>
      <w:r>
        <w:t xml:space="preserve"> (vigência, habilitação, carga total, </w:t>
      </w:r>
      <w:r>
        <w:rPr>
          <w:i/>
        </w:rPr>
        <w:t>flag</w:t>
      </w:r>
      <w:r>
        <w:t xml:space="preserve"> </w:t>
      </w:r>
      <w:r>
        <w:rPr>
          <w:rFonts w:ascii="Courier New" w:hAnsi="Courier New"/>
          <w:sz w:val="20"/>
        </w:rPr>
        <w:t>vigente</w:t>
      </w:r>
      <w:r>
        <w:t xml:space="preserve">), </w:t>
      </w:r>
      <w:r>
        <w:rPr>
          <w:rFonts w:ascii="Courier New" w:hAnsi="Courier New"/>
          <w:sz w:val="20"/>
        </w:rPr>
        <w:t>disciplina</w:t>
      </w:r>
      <w:r>
        <w:t xml:space="preserve"> (canônica por código, com ementa e CH), </w:t>
      </w:r>
      <w:r>
        <w:rPr>
          <w:rFonts w:ascii="Courier New" w:hAnsi="Courier New"/>
          <w:sz w:val="20"/>
        </w:rPr>
        <w:t>curriculo_disciplina</w:t>
      </w:r>
      <w:r>
        <w:t xml:space="preserve"> (junção tipo/fase), </w:t>
      </w:r>
      <w:r>
        <w:rPr>
          <w:rFonts w:ascii="Courier New" w:hAnsi="Courier New"/>
          <w:sz w:val="20"/>
        </w:rPr>
        <w:t>equivalencia_oficial</w:t>
      </w:r>
      <w:r>
        <w:t xml:space="preserve">, </w:t>
      </w:r>
      <w:r>
        <w:rPr>
          <w:rFonts w:ascii="Courier New" w:hAnsi="Courier New"/>
          <w:sz w:val="20"/>
        </w:rPr>
        <w:t>disciplina_embedding</w:t>
      </w:r>
      <w:r>
        <w:t xml:space="preserve"> (</w:t>
      </w:r>
      <w:r>
        <w:rPr>
          <w:rFonts w:ascii="Courier New" w:hAnsi="Courier New"/>
          <w:sz w:val="20"/>
        </w:rPr>
        <w:t>vector(1024)</w:t>
      </w:r>
      <w:r>
        <w:t xml:space="preserve"> com índice </w:t>
      </w:r>
      <w:r>
        <w:t>HNSW</w:t>
      </w:r>
      <w:r>
        <w:t xml:space="preserve">), e o cache de comparações </w:t>
      </w:r>
      <w:r>
        <w:rPr>
          <w:rFonts w:ascii="Courier New" w:hAnsi="Courier New"/>
          <w:sz w:val="20"/>
        </w:rPr>
        <w:t>comparacao</w:t>
      </w:r>
      <w:r>
        <w:t xml:space="preserve"> / </w:t>
      </w:r>
      <w:r>
        <w:rPr>
          <w:rFonts w:ascii="Courier New" w:hAnsi="Courier New"/>
          <w:sz w:val="20"/>
        </w:rPr>
        <w:t>comparacao_item</w:t>
      </w:r>
      <w:r>
        <w:t xml:space="preserve"> / </w:t>
      </w:r>
      <w:r>
        <w:rPr>
          <w:rFonts w:ascii="Courier New" w:hAnsi="Courier New"/>
          <w:sz w:val="20"/>
        </w:rPr>
        <w:t>comparacao_item_origem</w:t>
      </w:r>
      <w:r>
        <w:t xml:space="preserve"> — este último permitindo </w:t>
      </w:r>
      <w:r>
        <w:t>múltiplas origens por item</w:t>
      </w:r>
      <w:r>
        <w:t xml:space="preserve"> (suporte ao somatório N:1).</w:t>
      </w:r>
    </w:p>
    <w:p>
      <w:pPr>
        <w:spacing w:line="360" w:lineRule="auto" w:after="120" w:before="0"/>
        <w:ind w:firstLine="706"/>
        <w:jc w:val="both"/>
      </w:pPr>
      <w:r>
        <w:t xml:space="preserve">O </w:t>
      </w:r>
      <w:r>
        <w:t>cache</w:t>
      </w:r>
      <w:r>
        <w:t xml:space="preserve"> de comparações é versionado: a chave (</w:t>
      </w:r>
      <w:r>
        <w:rPr>
          <w:rFonts w:ascii="Courier New" w:hAnsi="Courier New"/>
          <w:sz w:val="20"/>
        </w:rPr>
        <w:t>params_hash</w:t>
      </w:r>
      <w:r>
        <w:t xml:space="preserve">) inclui uma </w:t>
      </w:r>
      <w:r>
        <w:t>versão do motor</w:t>
      </w:r>
      <w:r>
        <w:t xml:space="preserve">, de modo que qualquer mudança na lógica </w:t>
      </w:r>
      <w:r>
        <w:t>invalida o cache automaticamente</w:t>
      </w:r>
      <w:r>
        <w:t>.</w:t>
      </w:r>
    </w:p>
    <w:p>
      <w:pPr>
        <w:pStyle w:val="Ttulo1"/>
      </w:pPr>
      <w:r>
        <w:t>7. Pilar 3 — Frontend</w:t>
      </w:r>
    </w:p>
    <w:p>
      <w:pPr>
        <w:spacing w:line="360" w:lineRule="auto" w:after="120" w:before="0"/>
        <w:ind w:firstLine="706"/>
        <w:jc w:val="both"/>
      </w:pPr>
      <w:r>
        <w:t>A interface (</w:t>
      </w:r>
      <w:r>
        <w:rPr>
          <w:rFonts w:ascii="Courier New" w:hAnsi="Courier New"/>
          <w:sz w:val="20"/>
        </w:rPr>
        <w:t>frontend/</w:t>
      </w:r>
      <w:r>
        <w:t xml:space="preserve">) é uma </w:t>
      </w:r>
      <w:r>
        <w:t>tela única</w:t>
      </w:r>
      <w:r>
        <w:t xml:space="preserve"> em </w:t>
      </w:r>
      <w:r>
        <w:t>Vite + React + TypeScript + Tailwind</w:t>
      </w:r>
      <w:r>
        <w:t xml:space="preserve">. No painel esquerdo: seletores de grade de origem/destino, </w:t>
      </w:r>
      <w:r>
        <w:rPr>
          <w:i/>
        </w:rPr>
        <w:t>upload</w:t>
      </w:r>
      <w:r>
        <w:t xml:space="preserve"> opcional do histórico e legenda. Na área principal: </w:t>
      </w:r>
      <w:r>
        <w:t>cartões de KPI</w:t>
      </w:r>
      <w:r>
        <w:t xml:space="preserve"> (Cobertura, Aproveitamento direto, Boas chances), e a tabela de auditoria </w:t>
      </w:r>
      <w:r>
        <w:t>dividida nas duas faixas</w:t>
      </w:r>
      <w:r>
        <w:t xml:space="preserve">, com método, badge de carga horária, barra de similaridade e busca. As </w:t>
      </w:r>
      <w:r>
        <w:t>somas N:1</w:t>
      </w:r>
      <w:r>
        <w:t xml:space="preserve"> são visualizadas explicitamente (ex.: </w:t>
      </w:r>
      <w:r>
        <w:rPr>
          <w:rFonts w:ascii="Courier New" w:hAnsi="Courier New"/>
          <w:sz w:val="20"/>
        </w:rPr>
        <w:t>M1 (36h) + M2 (36h) = 72h · cobre 72h do destino</w:t>
      </w:r>
      <w:r>
        <w:t>).</w:t>
      </w:r>
    </w:p>
    <w:p>
      <w:pPr>
        <w:spacing w:line="360" w:lineRule="auto" w:after="120" w:before="0"/>
        <w:ind w:firstLine="706"/>
        <w:jc w:val="both"/>
      </w:pPr>
      <w:r>
        <w:t xml:space="preserve">&gt; </w:t>
      </w:r>
      <w:r>
        <w:t>[FIGURA 3 — Cópia de tela do app: KPIs e tabela em duas faixas]</w:t>
      </w:r>
      <w:r>
        <w:t xml:space="preserve"> &gt; </w:t>
      </w:r>
      <w:r>
        <w:t>[FIGURA 4 — Cópia de tela: visualização do somatório N:1]</w:t>
      </w:r>
      <w:r/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572000" cy="22383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38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sz w:val="20"/>
        </w:rPr>
        <w:t>Figura 3: Interface do app mostrando KPIs, Aproveitamento Direto e Boas Chances.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572000" cy="47562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56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sz w:val="20"/>
        </w:rPr>
        <w:t>Figura 4: Interface do app para preenchimento automático do formulário oficial de equivalência.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572000" cy="56122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12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sz w:val="20"/>
        </w:rPr>
        <w:t>Figura 5: Documento PDF oficial gerado e pré-preenchido automaticamente com dados de equivalência.</w:t>
      </w:r>
    </w:p>
    <w:p>
      <w:pPr>
        <w:pStyle w:val="Ttulo1"/>
      </w:pPr>
      <w:r>
        <w:t>8. Infraestrutura e reprodutibilidade</w:t>
      </w:r>
    </w:p>
    <w:p>
      <w:pPr>
        <w:spacing w:line="360" w:lineRule="auto" w:after="120" w:before="0"/>
        <w:ind w:firstLine="706"/>
        <w:jc w:val="both"/>
      </w:pPr>
      <w:r>
        <w:t xml:space="preserve">Todo o sistema sobe com </w:t>
      </w:r>
      <w:r>
        <w:t>Docker Compose</w:t>
      </w:r>
      <w:r>
        <w:t xml:space="preserve"> (serviços </w:t>
      </w:r>
      <w:r>
        <w:rPr>
          <w:rFonts w:ascii="Courier New" w:hAnsi="Courier New"/>
          <w:sz w:val="20"/>
        </w:rPr>
        <w:t>db</w:t>
      </w:r>
      <w:r>
        <w:t xml:space="preserve">, </w:t>
      </w:r>
      <w:r>
        <w:rPr>
          <w:rFonts w:ascii="Courier New" w:hAnsi="Courier New"/>
          <w:sz w:val="20"/>
        </w:rPr>
        <w:t>ollama</w:t>
      </w:r>
      <w:r>
        <w:t xml:space="preserve">, </w:t>
      </w:r>
      <w:r>
        <w:rPr>
          <w:rFonts w:ascii="Courier New" w:hAnsi="Courier New"/>
          <w:sz w:val="20"/>
        </w:rPr>
        <w:t>backend</w:t>
      </w:r>
      <w:r>
        <w:t xml:space="preserve">, </w:t>
      </w:r>
      <w:r>
        <w:rPr>
          <w:rFonts w:ascii="Courier New" w:hAnsi="Courier New"/>
          <w:sz w:val="20"/>
        </w:rPr>
        <w:t>frontend</w:t>
      </w:r>
      <w:r>
        <w:t xml:space="preserve"> e o job </w:t>
      </w:r>
      <w:r>
        <w:rPr>
          <w:rFonts w:ascii="Courier New" w:hAnsi="Courier New"/>
          <w:sz w:val="20"/>
        </w:rPr>
        <w:t>etl</w:t>
      </w:r>
      <w:r>
        <w:t xml:space="preserve">). Para que um colega clone e rode rapidamente, geramos um </w:t>
      </w:r>
      <w:r>
        <w:t>*seed</w:t>
      </w:r>
      <w:r/>
      <w:r>
        <w:rPr>
          <w:i/>
        </w:rPr>
        <w:t xml:space="preserve"> do banco (`pg_dump` comprimido) restaurável em ~1 minuto, evitando re-raspar o CAGR e re-gerar </w:t>
      </w:r>
      <w:r>
        <w:t xml:space="preserve">embeddings*. A configuração é centralizada em </w:t>
      </w:r>
      <w:r>
        <w:rPr>
          <w:rFonts w:ascii="Courier New" w:hAnsi="Courier New"/>
          <w:sz w:val="20"/>
        </w:rPr>
        <w:t>.env</w:t>
      </w:r>
      <w:r>
        <w:t xml:space="preserve"> (URLs, modelos, limiares). Veja o </w:t>
      </w:r>
      <w:r>
        <w:rPr>
          <w:rFonts w:ascii="Courier New" w:hAnsi="Courier New"/>
          <w:sz w:val="20"/>
        </w:rPr>
        <w:t>README.md</w:t>
      </w:r>
      <w:r>
        <w:t xml:space="preserve"> para o passo a passo.</w:t>
      </w:r>
    </w:p>
    <w:p>
      <w:pPr>
        <w:pStyle w:val="Ttulo1"/>
      </w:pPr>
      <w:r>
        <w:t>9. Decisões de projeto e lições aprendidas</w:t>
      </w:r>
    </w:p>
    <w:p>
      <w:pPr>
        <w:spacing w:line="360" w:lineRule="auto" w:after="120" w:before="0"/>
        <w:ind w:firstLine="706"/>
        <w:jc w:val="both"/>
      </w:pPr>
      <w:r>
        <w:t>Esta seção é o coração do relatório técnico: as escolhas não óbvias e o que descartamos.</w:t>
      </w:r>
    </w:p>
    <w:p>
      <w:pPr>
        <w:spacing w:line="360" w:lineRule="auto" w:after="120" w:before="0"/>
        <w:ind w:firstLine="706"/>
        <w:jc w:val="both"/>
      </w:pPr>
      <w:r/>
      <w:r>
        <w:t>9.1. *Embedding* rankeia, não decide.</w:t>
      </w:r>
      <w:r>
        <w:t xml:space="preserve"> Embeddings medem </w:t>
      </w:r>
      <w:r>
        <w:t>proximidade de texto</w:t>
      </w:r>
      <w:r>
        <w:t xml:space="preserve">, não equivalência curricular. Caso real: </w:t>
      </w:r>
      <w:r>
        <w:rPr>
          <w:i/>
        </w:rPr>
        <w:t>"Introdução a Algoritmos"</w:t>
      </w:r>
      <w:r>
        <w:t xml:space="preserve"> × </w:t>
      </w:r>
      <w:r>
        <w:rPr>
          <w:i/>
        </w:rPr>
        <w:t>"Circuitos e Técnicas Digitais"</w:t>
      </w:r>
      <w:r>
        <w:t xml:space="preserve"> obteve </w:t>
      </w:r>
      <w:r>
        <w:t>0,73</w:t>
      </w:r>
      <w:r>
        <w:t xml:space="preserve"> de similaridade apenas por compartilharem a palavra "lógica" (problemas </w:t>
      </w:r>
      <w:r>
        <w:rPr>
          <w:i/>
        </w:rPr>
        <w:t>lógicos</w:t>
      </w:r>
      <w:r>
        <w:t xml:space="preserve"> × portas </w:t>
      </w:r>
      <w:r>
        <w:rPr>
          <w:i/>
        </w:rPr>
        <w:t>lógicas</w:t>
      </w:r>
      <w:r>
        <w:t xml:space="preserve">), embora sejam software × hardware. Conclusão: o </w:t>
      </w:r>
      <w:r>
        <w:rPr>
          <w:i/>
        </w:rPr>
        <w:t>embedding</w:t>
      </w:r>
      <w:r>
        <w:t xml:space="preserve"> é </w:t>
      </w:r>
      <w:r>
        <w:t>peneira</w:t>
      </w:r>
      <w:r>
        <w:t xml:space="preserve"> (recupera candidatos), nunca juiz.</w:t>
      </w:r>
    </w:p>
    <w:p>
      <w:pPr>
        <w:spacing w:line="360" w:lineRule="auto" w:after="120" w:before="0"/>
        <w:ind w:firstLine="706"/>
        <w:jc w:val="both"/>
      </w:pPr>
      <w:r/>
      <w:r>
        <w:t>9.2. Calibração com gabarito real.</w:t>
      </w:r>
      <w:r>
        <w:t xml:space="preserve"> O limiar inicial de </w:t>
      </w:r>
      <w:r>
        <w:t>0,90</w:t>
      </w:r>
      <w:r>
        <w:t xml:space="preserve"> foi um chute e descartava ~75% das equivalências verdadeiras (o </w:t>
      </w:r>
      <w:r>
        <w:rPr>
          <w:rFonts w:ascii="Courier New" w:hAnsi="Courier New"/>
          <w:sz w:val="20"/>
        </w:rPr>
        <w:t>bge-m3</w:t>
      </w:r>
      <w:r>
        <w:t xml:space="preserve"> </w:t>
      </w:r>
      <w:r>
        <w:t>comprime</w:t>
      </w:r>
      <w:r>
        <w:t xml:space="preserve"> a similaridade numa faixa estreita). Usamos as </w:t>
      </w:r>
      <w:r>
        <w:t>3.794 equivalências oficiais da UFSC</w:t>
      </w:r>
      <w:r>
        <w:t xml:space="preserve"> como gabarito: medimos que pares de fato equivalentes têm similaridade com </w:t>
      </w:r>
      <w:r>
        <w:t>mediana 0,84</w:t>
      </w:r>
      <w:r>
        <w:t xml:space="preserve"> (p25 = 0,75), enquanto pares aleatórios (ruído) ficam abaixo de </w:t>
      </w:r>
      <w:r>
        <w:t>0,67</w:t>
      </w:r>
      <w:r>
        <w:t xml:space="preserve"> (percentil 99). O corte foi fixado de forma fundamentada em </w:t>
      </w:r>
      <w:r>
        <w:t>0,75</w:t>
      </w:r>
      <w:r>
        <w:t xml:space="preserve"> (ajustado a partir de 0,70 para mitigar falsos positivos/delírios observados na faixa de 0,72).</w:t>
      </w:r>
    </w:p>
    <w:p>
      <w:pPr>
        <w:spacing w:line="360" w:lineRule="auto" w:after="120" w:before="0"/>
        <w:ind w:firstLine="706"/>
        <w:jc w:val="both"/>
      </w:pPr>
      <w:r/>
      <w:r>
        <w:t>9.3. O juiz LLM era inviável na CPU.</w:t>
      </w:r>
      <w:r>
        <w:t xml:space="preserve"> Medimos que o LLM local (</w:t>
      </w:r>
      <w:r>
        <w:rPr>
          <w:rFonts w:ascii="Courier New" w:hAnsi="Courier New"/>
          <w:sz w:val="20"/>
        </w:rPr>
        <w:t>qwen2.5:3b</w:t>
      </w:r>
      <w:r>
        <w:t xml:space="preserve">) levava </w:t>
      </w:r>
      <w:r>
        <w:t>~8–30 s por chamada</w:t>
      </w:r>
      <w:r>
        <w:t xml:space="preserve">, com ganho de paralelismo de apenas ~1,5×; julgar uma comparação inteira de uma vez levava </w:t>
      </w:r>
      <w:r>
        <w:t>~994 s (16 min)</w:t>
      </w:r>
      <w:r>
        <w:t xml:space="preserve">. Além de lento, um modelo pequeno é </w:t>
      </w:r>
      <w:r>
        <w:t>cauteloso demais</w:t>
      </w:r>
      <w:r>
        <w:t xml:space="preserve"> (classifica quase tudo como "ressalva"). </w:t>
      </w:r>
      <w:r>
        <w:t>Decisão:</w:t>
      </w:r>
      <w:r>
        <w:t xml:space="preserve"> </w:t>
      </w:r>
      <w:r>
        <w:t>remover o juiz LLM do produto</w:t>
      </w:r>
      <w:r>
        <w:t xml:space="preserve"> e tornar a comparação </w:t>
      </w:r>
      <w:r>
        <w:t>instantânea</w:t>
      </w:r>
      <w:r>
        <w:t xml:space="preserve"> com a régua calibrada (o componente fica registrado aqui apenas como aprendizado). Lição: a restrição de hardware (CPU sem GPU) deve guiar o design — não dá para fingir que um componente lento é rápido.</w:t>
      </w:r>
    </w:p>
    <w:p>
      <w:pPr>
        <w:spacing w:line="360" w:lineRule="auto" w:after="120" w:before="0"/>
        <w:ind w:firstLine="706"/>
        <w:jc w:val="both"/>
      </w:pPr>
      <w:r/>
      <w:r>
        <w:t>9.4. *Recall* + carga horária obrigatória.</w:t>
      </w:r>
      <w:r>
        <w:t xml:space="preserve"> Reposicionamos a ferramenta como </w:t>
      </w:r>
      <w:r>
        <w:t>triador de recall</w:t>
      </w:r>
      <w:r>
        <w:t xml:space="preserve"> (mostrar o máximo de candidatas plausíveis), mas com a </w:t>
      </w:r>
      <w:r>
        <w:t>CH de 75% como filtro rígido</w:t>
      </w:r>
      <w:r>
        <w:t xml:space="preserve">: itens que nunca atingiriam 75% (mesmo somando) seriam recusa garantida e foram removidos. Ligamos o </w:t>
      </w:r>
      <w:r>
        <w:t>somatório N:1 também na faixa semântica</w:t>
      </w:r>
      <w:r>
        <w:t xml:space="preserve"> e permitimos </w:t>
      </w:r>
      <w:r>
        <w:t>reuso</w:t>
      </w:r>
      <w:r>
        <w:t xml:space="preserve"> de origem entre destinos, maximizando o leque sem inflar com casos inválidos.</w:t>
      </w:r>
    </w:p>
    <w:p>
      <w:pPr>
        <w:spacing w:line="360" w:lineRule="auto" w:after="120" w:before="0"/>
        <w:ind w:firstLine="706"/>
        <w:jc w:val="both"/>
      </w:pPr>
      <w:r/>
      <w:r>
        <w:t>9.5. Qualidade de dados — currículos vazios.</w:t>
      </w:r>
      <w:r>
        <w:t xml:space="preserve"> Seis cursos vinham </w:t>
      </w:r>
      <w:r>
        <w:t>sem disciplinas</w:t>
      </w:r>
      <w:r>
        <w:t xml:space="preserve">: o scraper pegava a </w:t>
      </w:r>
      <w:r>
        <w:t>vigência mais nova</w:t>
      </w:r>
      <w:r>
        <w:t xml:space="preserve">, que em alguns casos é um </w:t>
      </w:r>
      <w:r>
        <w:t>placeholder de 2027 ainda em branco</w:t>
      </w:r>
      <w:r>
        <w:t xml:space="preserve"> no CAGR. Detectamos os casos por consulta SQL, criamos um script (</w:t>
      </w:r>
      <w:r>
        <w:rPr>
          <w:rFonts w:ascii="Courier New" w:hAnsi="Courier New"/>
          <w:sz w:val="20"/>
        </w:rPr>
        <w:t>fix_empty_curriculos.py</w:t>
      </w:r>
      <w:r>
        <w:t xml:space="preserve">) que </w:t>
      </w:r>
      <w:r>
        <w:t>baixa a vigência mais recente com conteúdo</w:t>
      </w:r>
      <w:r>
        <w:t xml:space="preserve"> e corrigimos 5 de 6 (o sexto não existe na fonte). Como blindagem permanente, a interface passou a </w:t>
      </w:r>
      <w:r>
        <w:t>ocultar currículos vazios</w:t>
      </w:r>
      <w:r>
        <w:t>.</w:t>
      </w:r>
    </w:p>
    <w:p>
      <w:pPr>
        <w:pStyle w:val="Ttulo1"/>
      </w:pPr>
      <w:r>
        <w:t>10. Resultados</w:t>
      </w:r>
    </w:p>
    <w:p>
      <w:pPr>
        <w:spacing w:line="360" w:lineRule="auto" w:after="120" w:before="0"/>
        <w:ind w:firstLine="706"/>
        <w:jc w:val="both"/>
      </w:pPr>
      <w:r>
        <w:t xml:space="preserve">A base final cobre </w:t>
      </w:r>
      <w:r>
        <w:t>~109 cursos</w:t>
      </w:r>
      <w:r>
        <w:t xml:space="preserve"> do Campus Florianópolis, </w:t>
      </w:r>
      <w:r>
        <w:t>~6.200 disciplinas</w:t>
      </w:r>
      <w:r>
        <w:t xml:space="preserve"> canônicas, </w:t>
      </w:r>
      <w:r>
        <w:t>~4.600 embeddings</w:t>
      </w:r>
      <w:r>
        <w:t xml:space="preserve"> de ementas e </w:t>
      </w:r>
      <w:r>
        <w:t>3.794 equivalências oficiais</w:t>
      </w:r>
      <w:r>
        <w:t xml:space="preserve">. As comparações são respondidas em ~1 segundo (instantâneas). Como exemplo de validação ponta a ponta, a comparação </w:t>
      </w:r>
      <w:r>
        <w:t>Ciências da Computação → Sistemas de Informação</w:t>
      </w:r>
      <w:r>
        <w:t xml:space="preserve"> atinge </w:t>
      </w:r>
      <w:r>
        <w:t>82,6% de cobertura</w:t>
      </w:r>
      <w:r>
        <w:t xml:space="preserve"> (disciplinas de destino com ao menos uma candidata), com 23 aproveitamentos diretos e 15 boas chances — coerente com a forte sobreposição entre os dois cursos. O motor é coberto por </w:t>
      </w:r>
      <w:r>
        <w:t>18 testes</w:t>
      </w:r>
      <w:r>
        <w:t xml:space="preserve"> automatizados.</w:t>
      </w:r>
    </w:p>
    <w:p>
      <w:pPr>
        <w:spacing w:line="360" w:lineRule="auto" w:after="120" w:before="0"/>
        <w:ind w:firstLine="706"/>
        <w:jc w:val="both"/>
      </w:pPr>
      <w:r>
        <w:t xml:space="preserve">Na camada de produto, além da triagem em duas faixas, a aplicação entrega o </w:t>
      </w:r>
      <w:r>
        <w:t>formulário oficial de validação pré-preenchido</w:t>
      </w:r>
      <w:r>
        <w:t xml:space="preserve"> (preenche o PDF da PROGRAD/DAE com os dados do aluno e os códigos sugeridos), </w:t>
      </w:r>
      <w:r>
        <w:t>modo escuro</w:t>
      </w:r>
      <w:r>
        <w:t xml:space="preserve"> e </w:t>
      </w:r>
      <w:r>
        <w:t>link direto ao currículo em PDF</w:t>
      </w:r>
      <w:r>
        <w:t xml:space="preserve"> do CAGR.</w:t>
      </w:r>
    </w:p>
    <w:p>
      <w:pPr>
        <w:pStyle w:val="Ttulo1"/>
      </w:pPr>
      <w:r>
        <w:t>11. Trabalhos futuros</w:t>
      </w:r>
    </w:p>
    <w:p>
      <w:pPr>
        <w:spacing w:line="360" w:lineRule="auto" w:after="120" w:before="0"/>
        <w:ind w:left="360"/>
        <w:jc w:val="both"/>
      </w:pPr>
      <w:r>
        <w:t xml:space="preserve">• </w:t>
      </w:r>
      <w:r>
        <w:t>Deploy público</w:t>
      </w:r>
      <w:r>
        <w:t xml:space="preserve"> (aplicação + banco com </w:t>
      </w:r>
      <w:r>
        <w:rPr>
          <w:i/>
        </w:rPr>
        <w:t>seed</w:t>
      </w:r>
      <w:r>
        <w:t xml:space="preserve"> hospedados), para uso fora do ambiente local. - </w:t>
      </w:r>
      <w:r>
        <w:t>Cobertura além das obrigatórias</w:t>
      </w:r>
      <w:r>
        <w:t xml:space="preserve"> — incluir optativas e atividades de extensão na análise. - </w:t>
      </w:r>
      <w:r>
        <w:t>Outros campi</w:t>
      </w:r>
      <w:r>
        <w:t xml:space="preserve"> da UFSC (hoje o escopo é o Campus Florianópolis).</w:t>
      </w:r>
    </w:p>
    <w:p>
      <w:pPr>
        <w:pStyle w:val="Ttulo1"/>
      </w:pPr>
      <w:r>
        <w:t>12. Conclusão</w:t>
      </w:r>
    </w:p>
    <w:p>
      <w:pPr>
        <w:spacing w:line="360" w:lineRule="auto" w:after="120" w:before="0"/>
        <w:ind w:firstLine="706"/>
        <w:jc w:val="both"/>
      </w:pPr>
      <w:r>
        <w:t xml:space="preserve">O Valida UFSC demonstra, de ponta a ponta, os três pilares da disciplina: um </w:t>
      </w:r>
      <w:r>
        <w:t>pipeline de dados</w:t>
      </w:r>
      <w:r>
        <w:t xml:space="preserve"> real (raspagem, extração de PDF por coordenadas, carga canônica e vetorização), um </w:t>
      </w:r>
      <w:r>
        <w:t>modelo de matching</w:t>
      </w:r>
      <w:r>
        <w:t xml:space="preserve"> que combina regras determinísticas e NLP com limiar </w:t>
      </w:r>
      <w:r>
        <w:t>calibrado por dados</w:t>
      </w:r>
      <w:r>
        <w:t xml:space="preserve">, e um </w:t>
      </w:r>
      <w:r>
        <w:t>produto</w:t>
      </w:r>
      <w:r>
        <w:t xml:space="preserve"> funcional e honesto, que respeita o papel do colegiado. As decisões mais valiosas vieram de </w:t>
      </w:r>
      <w:r>
        <w:t>medir a realidade</w:t>
      </w:r>
      <w:r>
        <w:t xml:space="preserve"> (a lentidão do LLM, a compressão dos </w:t>
      </w:r>
      <w:r>
        <w:rPr>
          <w:i/>
        </w:rPr>
        <w:t>embeddings</w:t>
      </w:r>
      <w:r>
        <w:t xml:space="preserve">, os currículos vazios) e </w:t>
      </w:r>
      <w:r>
        <w:t>ajustar o projeto a ela</w:t>
      </w:r>
      <w:r>
        <w:t>, em vez de insistir em um desenho idealizado. O resultado é uma ferramenta instantânea, explicável e reproduzível.</w:t>
      </w:r>
    </w:p>
    <w:p>
      <w:pPr>
        <w:pStyle w:val="Ttulo2"/>
      </w:pPr>
      <w:r>
        <w:t>Referências</w:t>
      </w:r>
    </w:p>
    <w:p>
      <w:pPr>
        <w:spacing w:line="360" w:lineRule="auto" w:after="120" w:before="0"/>
        <w:ind w:firstLine="706"/>
        <w:jc w:val="both"/>
      </w:pPr>
      <w:r>
        <w:t xml:space="preserve">PGVECTOR. </w:t>
      </w:r>
      <w:r>
        <w:t>pgvector: open-source vector similarity search for Postgres</w:t>
      </w:r>
      <w:r>
        <w:t>. Disponível em: https://github.com/pgvector/pgvector.</w:t>
      </w:r>
    </w:p>
    <w:p>
      <w:pPr>
        <w:spacing w:line="360" w:lineRule="auto" w:after="120" w:before="0"/>
        <w:ind w:firstLine="706"/>
        <w:jc w:val="both"/>
      </w:pPr>
      <w:r>
        <w:t xml:space="preserve">OLLAMA. </w:t>
      </w:r>
      <w:r>
        <w:t>Ollama — run large language models locally</w:t>
      </w:r>
      <w:r>
        <w:t>. Disponível em: https://ollama.com.</w:t>
      </w:r>
    </w:p>
    <w:p>
      <w:pPr>
        <w:spacing w:line="360" w:lineRule="auto" w:after="120" w:before="0"/>
        <w:ind w:firstLine="706"/>
        <w:jc w:val="both"/>
      </w:pPr>
      <w:r>
        <w:t xml:space="preserve">BAAI. </w:t>
      </w:r>
      <w:r>
        <w:t>BGE-M3: multilingual embedding model</w:t>
      </w:r>
      <w:r>
        <w:t>. Disponível em: https://huggingface.co/BAAI/bge-m3.</w:t>
      </w:r>
    </w:p>
    <w:p>
      <w:pPr>
        <w:spacing w:line="360" w:lineRule="auto" w:after="120" w:before="0"/>
        <w:ind w:firstLine="706"/>
        <w:jc w:val="both"/>
      </w:pPr>
      <w:r>
        <w:t xml:space="preserve">FASTAPI. </w:t>
      </w:r>
      <w:r>
        <w:t>FastAPI framework</w:t>
      </w:r>
      <w:r>
        <w:t>. Disponível em: https://fastapi.tiangolo.com.</w:t>
      </w:r>
    </w:p>
    <w:p>
      <w:pPr>
        <w:spacing w:line="360" w:lineRule="auto" w:after="120" w:before="0"/>
        <w:ind w:firstLine="706"/>
        <w:jc w:val="both"/>
      </w:pPr>
      <w:r>
        <w:t xml:space="preserve">PDFPLUMBER. </w:t>
      </w:r>
      <w:r>
        <w:t>pdfplumber: plumb a PDF for detailed information</w:t>
      </w:r>
      <w:r>
        <w:t>. Disponível em: https://github.com/jsvine/pdfplumber.</w:t>
      </w:r>
    </w:p>
    <w:sectPr w:rsidR="002940CF">
      <w:headerReference w:type="default" r:id="rId15"/>
      <w:pgSz w:w="11906" w:h="16838"/>
      <w:pgMar w:top="1701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25A85" w14:textId="77777777" w:rsidR="007D6364" w:rsidRDefault="007D6364">
      <w:pPr>
        <w:spacing w:line="240" w:lineRule="auto"/>
      </w:pPr>
      <w:r>
        <w:separator/>
      </w:r>
    </w:p>
  </w:endnote>
  <w:endnote w:type="continuationSeparator" w:id="0">
    <w:p w14:paraId="7FEC435D" w14:textId="77777777" w:rsidR="007D6364" w:rsidRDefault="007D63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6E7EEF-1E76-445B-96DA-E8BE8717759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C9175C3-176E-46EE-A057-636FFEFD551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EB838" w14:textId="77777777" w:rsidR="007D6364" w:rsidRDefault="007D6364">
      <w:pPr>
        <w:spacing w:line="240" w:lineRule="auto"/>
      </w:pPr>
      <w:r>
        <w:separator/>
      </w:r>
    </w:p>
  </w:footnote>
  <w:footnote w:type="continuationSeparator" w:id="0">
    <w:p w14:paraId="6FA90B7C" w14:textId="77777777" w:rsidR="007D6364" w:rsidRDefault="007D63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1E408" w14:textId="77777777" w:rsidR="002B037C" w:rsidRDefault="002B037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37C"/>
    <w:rsid w:val="000F15E8"/>
    <w:rsid w:val="002940CF"/>
    <w:rsid w:val="002B037C"/>
    <w:rsid w:val="00460A05"/>
    <w:rsid w:val="005E1C7E"/>
    <w:rsid w:val="00705C27"/>
    <w:rsid w:val="007D6364"/>
    <w:rsid w:val="007D7708"/>
    <w:rsid w:val="00806A90"/>
    <w:rsid w:val="008250E1"/>
    <w:rsid w:val="00932926"/>
    <w:rsid w:val="0097207C"/>
    <w:rsid w:val="009F6457"/>
    <w:rsid w:val="00CC1863"/>
    <w:rsid w:val="00D67A0D"/>
    <w:rsid w:val="00DD34B8"/>
    <w:rsid w:val="00EC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AFD6E"/>
  <w15:docId w15:val="{D6842C99-1C3A-4284-8584-EF45AE3A3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color w:val="000000"/>
      <w:sz w:val="24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120"/>
      <w:jc w:val="left"/>
      <w:outlineLvl w:val="0"/>
    </w:pPr>
    <w:rPr>
      <w:rFonts w:ascii="Arial" w:hAnsi="Arial"/>
      <w:b/>
      <w:bCs/>
      <w:smallCaps/>
      <w:color w:val="000000"/>
      <w:sz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120"/>
      <w:jc w:val="left"/>
      <w:outlineLvl w:val="1"/>
    </w:pPr>
    <w:rPr>
      <w:rFonts w:ascii="Arial" w:hAnsi="Arial"/>
      <w:b/>
      <w:smallCaps/>
      <w:color w:val="000000"/>
      <w:sz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40" w:after="120"/>
      <w:outlineLvl w:val="2"/>
    </w:pPr>
    <w:rPr>
      <w:rFonts w:ascii="Arial" w:hAnsi="Arial"/>
      <w:b/>
      <w:bCs/>
      <w:color w:val="000000"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ind w:left="260" w:hanging="170"/>
      <w:outlineLvl w:val="3"/>
    </w:pPr>
    <w:rPr>
      <w:i/>
      <w:i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ind w:left="170" w:hanging="170"/>
      <w:outlineLvl w:val="4"/>
    </w:p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ind w:left="170" w:hanging="170"/>
      <w:outlineLvl w:val="5"/>
    </w:pPr>
    <w:rPr>
      <w:rFonts w:ascii="Calibri" w:eastAsia="Calibri" w:hAnsi="Calibri" w:cs="Calibri"/>
      <w:color w:val="1E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ind w:firstLine="0"/>
      <w:jc w:val="center"/>
    </w:pPr>
    <w:rPr>
      <w:b/>
      <w:bCs/>
      <w:smallCaps/>
    </w:rPr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b/>
      <w:bCs/>
      <w:small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7toGPOVFs53d98db5w9Yy7eJYg==">CgMxLjAyDmguaDZobWJ5eTN0bTM5Mg5oLnQ1dmZrZmdtMmV4NTIOaC5rdHRuNXBoZ3l2ZmsyDmguaGw2Yjk4aHV3eHVrOAByITF2dHA2aWFiOTNLWV9OcFZtMTY1QjdkU0xPYzZzSW9XRw==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2590</Words>
  <Characters>13987</Characters>
  <Application>Microsoft Office Word</Application>
  <DocSecurity>0</DocSecurity>
  <Lines>116</Lines>
  <Paragraphs>33</Paragraphs>
  <ScaleCrop>false</ScaleCrop>
  <Company/>
  <LinksUpToDate>false</LinksUpToDate>
  <CharactersWithSpaces>16544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Mateus Nunes</dc:creator>
  <cp:lastModifiedBy>JULLI JOHU BRUCKNER DIAS TOPPER</cp:lastModifiedBy>
  <cp:revision>5</cp:revision>
  <dcterms:created xsi:type="dcterms:W3CDTF">2026-06-28T00:45:00Z</dcterms:created>
  <dcterms:modified xsi:type="dcterms:W3CDTF">2026-06-28T01:12:00Z</dcterms:modified>
</cp:coreProperties>
</file>