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50BD" w14:textId="7ACA702A" w:rsidR="002C5C5F" w:rsidRPr="00A6636C" w:rsidRDefault="00F87957" w:rsidP="00253FD4">
      <w:pPr>
        <w:pStyle w:val="Heading1"/>
        <w:spacing w:before="0" w:after="0" w:line="276" w:lineRule="auto"/>
        <w:jc w:val="center"/>
      </w:pPr>
      <w:r>
        <w:t>Survey Data Analysis</w:t>
      </w:r>
    </w:p>
    <w:p w14:paraId="2C1BED0F" w14:textId="77777777" w:rsidR="00E117D8" w:rsidRDefault="00E117D8" w:rsidP="00253FD4">
      <w:pPr>
        <w:spacing w:after="0" w:line="276" w:lineRule="auto"/>
        <w:jc w:val="both"/>
      </w:pPr>
    </w:p>
    <w:p w14:paraId="0BFBE2ED" w14:textId="382604EE" w:rsidR="0081013D" w:rsidRPr="003377C0" w:rsidRDefault="008D0236" w:rsidP="00F76968">
      <w:pPr>
        <w:pStyle w:val="Heading2"/>
        <w:numPr>
          <w:ilvl w:val="0"/>
          <w:numId w:val="5"/>
        </w:numPr>
      </w:pPr>
      <w:r w:rsidRPr="003377C0">
        <w:t>Definition</w:t>
      </w:r>
    </w:p>
    <w:p w14:paraId="3CC639DF" w14:textId="77777777" w:rsidR="00E117D8" w:rsidRDefault="00E117D8" w:rsidP="00253FD4">
      <w:pPr>
        <w:spacing w:after="0" w:line="276" w:lineRule="auto"/>
        <w:jc w:val="both"/>
      </w:pPr>
    </w:p>
    <w:p w14:paraId="0412EABA" w14:textId="56A4817A" w:rsidR="00C44379" w:rsidRDefault="00706A78" w:rsidP="00253FD4">
      <w:pPr>
        <w:spacing w:after="0" w:line="276" w:lineRule="auto"/>
        <w:jc w:val="both"/>
      </w:pPr>
      <w:r>
        <w:t xml:space="preserve">Survey </w:t>
      </w:r>
      <w:r w:rsidR="00B06214">
        <w:t xml:space="preserve">data </w:t>
      </w:r>
      <w:r>
        <w:t xml:space="preserve">analysis </w:t>
      </w:r>
      <w:r w:rsidR="00055C7A" w:rsidRPr="00055C7A">
        <w:t>is the systematic process of interpreting data collected to draw meaningful conclusions about a population.</w:t>
      </w:r>
      <w:r w:rsidR="008001DE">
        <w:t xml:space="preserve"> </w:t>
      </w:r>
      <w:r w:rsidR="00512971">
        <w:t>It</w:t>
      </w:r>
      <w:r w:rsidR="009D4E2D">
        <w:t xml:space="preserve"> should be done in a way that ensures reproducibility</w:t>
      </w:r>
      <w:r w:rsidR="00BD7B86">
        <w:rPr>
          <w:rStyle w:val="FootnoteReference"/>
        </w:rPr>
        <w:footnoteReference w:id="1"/>
      </w:r>
      <w:r w:rsidR="009D4E2D">
        <w:t xml:space="preserve"> and replicability</w:t>
      </w:r>
      <w:r w:rsidR="00BD7B86">
        <w:rPr>
          <w:rStyle w:val="FootnoteReference"/>
        </w:rPr>
        <w:footnoteReference w:id="2"/>
      </w:r>
      <w:r w:rsidR="009D4E2D">
        <w:t xml:space="preserve">. </w:t>
      </w:r>
      <w:r w:rsidR="008F5F4F" w:rsidRPr="00B60FD2">
        <w:t>Reproducibility requires that all analytical steps</w:t>
      </w:r>
      <w:r w:rsidR="00B60FD2" w:rsidRPr="00B60FD2">
        <w:t xml:space="preserve">, </w:t>
      </w:r>
      <w:r w:rsidR="008F5F4F" w:rsidRPr="00B60FD2">
        <w:t>from data processing to final outputs</w:t>
      </w:r>
      <w:r w:rsidR="00B60FD2" w:rsidRPr="00B60FD2">
        <w:t xml:space="preserve">, </w:t>
      </w:r>
      <w:r w:rsidR="008F5F4F" w:rsidRPr="00B60FD2">
        <w:t>are fully documented, that code and data are accessible and versioned, and that an independent analyst could obtain identical results using the same inputs. Replicability goes further, demanding that the core findings hold when the analysis is applied to new or independently collected data. Both standards require deliberate planning, rigorous documentation, and transparent disclosure of methods and limitations.</w:t>
      </w:r>
      <w:r w:rsidR="00B60FD2">
        <w:rPr>
          <w:b/>
          <w:bCs/>
        </w:rPr>
        <w:t xml:space="preserve"> </w:t>
      </w:r>
      <w:r w:rsidR="008001DE">
        <w:t xml:space="preserve">Even though this activity </w:t>
      </w:r>
      <w:r w:rsidR="000D3AE7">
        <w:t xml:space="preserve">is mainly conducted </w:t>
      </w:r>
      <w:r w:rsidR="008001DE">
        <w:t xml:space="preserve">when the data has been </w:t>
      </w:r>
      <w:r w:rsidR="00ED1EB9">
        <w:t xml:space="preserve">collected and prepared, </w:t>
      </w:r>
      <w:r w:rsidR="00D72C91">
        <w:t xml:space="preserve">the development of a </w:t>
      </w:r>
      <w:r w:rsidR="000D3AE7">
        <w:t>data analysis</w:t>
      </w:r>
      <w:r w:rsidR="000D68EA">
        <w:t xml:space="preserve"> plan</w:t>
      </w:r>
      <w:r w:rsidR="000D3AE7">
        <w:t xml:space="preserve"> </w:t>
      </w:r>
      <w:r w:rsidR="000D68EA">
        <w:t>can</w:t>
      </w:r>
      <w:r w:rsidR="00FE59F4">
        <w:t xml:space="preserve"> </w:t>
      </w:r>
      <w:r w:rsidR="00D72C91">
        <w:t>start</w:t>
      </w:r>
      <w:r w:rsidR="00FE59F4">
        <w:t xml:space="preserve"> before </w:t>
      </w:r>
      <w:r w:rsidR="007B593D">
        <w:t>the data collection starts.</w:t>
      </w:r>
      <w:r w:rsidR="00BC6E21">
        <w:t xml:space="preserve"> </w:t>
      </w:r>
    </w:p>
    <w:p w14:paraId="3EDD97A9" w14:textId="77777777" w:rsidR="00C44379" w:rsidRDefault="00C44379" w:rsidP="00253FD4">
      <w:pPr>
        <w:spacing w:after="0" w:line="276" w:lineRule="auto"/>
        <w:jc w:val="both"/>
      </w:pPr>
    </w:p>
    <w:p w14:paraId="3D10C39A" w14:textId="6BBE98F7" w:rsidR="00D43955" w:rsidRDefault="00735686" w:rsidP="00D43955">
      <w:r>
        <w:t>T</w:t>
      </w:r>
      <w:r w:rsidR="00D43955" w:rsidRPr="00D43955">
        <w:t>he analysis should follow a series of structured steps:</w:t>
      </w:r>
    </w:p>
    <w:p w14:paraId="3D3150A8" w14:textId="3E603E3F" w:rsidR="00D43955" w:rsidRDefault="00D43955" w:rsidP="00D43955">
      <w:pPr>
        <w:pStyle w:val="ListParagraph"/>
        <w:numPr>
          <w:ilvl w:val="0"/>
          <w:numId w:val="8"/>
        </w:numPr>
      </w:pPr>
      <w:r w:rsidRPr="00D43955">
        <w:t xml:space="preserve">Develop a </w:t>
      </w:r>
      <w:r w:rsidR="005A02C2">
        <w:t>d</w:t>
      </w:r>
      <w:r w:rsidRPr="00D43955">
        <w:t xml:space="preserve">ata </w:t>
      </w:r>
      <w:r w:rsidR="005A02C2">
        <w:t>a</w:t>
      </w:r>
      <w:r w:rsidRPr="00D43955">
        <w:t xml:space="preserve">nalysis </w:t>
      </w:r>
      <w:r w:rsidR="005A02C2">
        <w:t>p</w:t>
      </w:r>
      <w:r w:rsidRPr="00D43955">
        <w:t xml:space="preserve">lan: Begin by creating a comprehensive plan for analyzing the survey data. </w:t>
      </w:r>
    </w:p>
    <w:p w14:paraId="4820F167" w14:textId="77777777" w:rsidR="00F91FD4" w:rsidRDefault="00F91FD4" w:rsidP="00F91FD4">
      <w:pPr>
        <w:pStyle w:val="ListParagraph"/>
        <w:numPr>
          <w:ilvl w:val="1"/>
          <w:numId w:val="8"/>
        </w:numPr>
      </w:pPr>
      <w:r w:rsidRPr="00C44379">
        <w:t>Defining objectives and formulating key questions: Establish the main goals for the analysis and identify the specific questions that the analysis is intended to answer.</w:t>
      </w:r>
    </w:p>
    <w:p w14:paraId="32D9DE20" w14:textId="77777777" w:rsidR="00F91FD4" w:rsidRDefault="00F91FD4" w:rsidP="00F91FD4">
      <w:pPr>
        <w:pStyle w:val="ListParagraph"/>
        <w:numPr>
          <w:ilvl w:val="1"/>
          <w:numId w:val="8"/>
        </w:numPr>
      </w:pPr>
      <w:r w:rsidRPr="00C44379">
        <w:t xml:space="preserve">Reviewing the sampling design: Understand the structure of the sample to ensure that inferences drawn from the data are valid and representative of the </w:t>
      </w:r>
      <w:r>
        <w:t>intended</w:t>
      </w:r>
      <w:r w:rsidRPr="00C44379">
        <w:t xml:space="preserve"> population.</w:t>
      </w:r>
    </w:p>
    <w:p w14:paraId="132B92DB" w14:textId="33B0262F" w:rsidR="00D43955" w:rsidRDefault="00D43955" w:rsidP="00D43955">
      <w:pPr>
        <w:pStyle w:val="ListParagraph"/>
        <w:numPr>
          <w:ilvl w:val="0"/>
          <w:numId w:val="8"/>
        </w:numPr>
      </w:pPr>
      <w:r w:rsidRPr="00D43955">
        <w:t xml:space="preserve">Conduct the </w:t>
      </w:r>
      <w:r w:rsidR="005A02C2">
        <w:t>a</w:t>
      </w:r>
      <w:r w:rsidRPr="00D43955">
        <w:t xml:space="preserve">nalysis: Implement the planned analysis to </w:t>
      </w:r>
      <w:r w:rsidR="00003E33">
        <w:t xml:space="preserve">draw </w:t>
      </w:r>
      <w:r w:rsidRPr="00D43955">
        <w:t xml:space="preserve">insights </w:t>
      </w:r>
      <w:proofErr w:type="gramStart"/>
      <w:r w:rsidRPr="00D43955">
        <w:t>from</w:t>
      </w:r>
      <w:proofErr w:type="gramEnd"/>
      <w:r w:rsidRPr="00D43955">
        <w:t xml:space="preserve"> the data.</w:t>
      </w:r>
    </w:p>
    <w:p w14:paraId="6426C107" w14:textId="1E4DE206" w:rsidR="00F102E5" w:rsidRPr="00D43955" w:rsidRDefault="00BD0E15" w:rsidP="00CD7278">
      <w:pPr>
        <w:pStyle w:val="ListParagraph"/>
        <w:numPr>
          <w:ilvl w:val="1"/>
          <w:numId w:val="8"/>
        </w:numPr>
      </w:pPr>
      <w:r>
        <w:lastRenderedPageBreak/>
        <w:t>Presenting results</w:t>
      </w:r>
      <w:r w:rsidR="00D43955" w:rsidRPr="00D43955">
        <w:t>: Share the results through outputs such as analytical reports, policy briefs, and academic publications.</w:t>
      </w:r>
    </w:p>
    <w:p w14:paraId="52BE8939" w14:textId="77777777" w:rsidR="00EA42B0" w:rsidRDefault="00EA42B0" w:rsidP="00253FD4">
      <w:pPr>
        <w:spacing w:after="0" w:line="276" w:lineRule="auto"/>
        <w:jc w:val="both"/>
      </w:pPr>
    </w:p>
    <w:p w14:paraId="11545681" w14:textId="77777777" w:rsidR="00FA7457" w:rsidRDefault="00FA7457" w:rsidP="00253FD4">
      <w:pPr>
        <w:spacing w:after="0" w:line="276" w:lineRule="auto"/>
        <w:jc w:val="both"/>
      </w:pPr>
    </w:p>
    <w:p w14:paraId="2D6C5215" w14:textId="470D4836" w:rsidR="00EA42B0" w:rsidRDefault="00EA42B0" w:rsidP="00F76968">
      <w:pPr>
        <w:pStyle w:val="Heading2"/>
        <w:numPr>
          <w:ilvl w:val="0"/>
          <w:numId w:val="5"/>
        </w:numPr>
      </w:pPr>
      <w:r w:rsidRPr="003377C0">
        <w:t xml:space="preserve">Guidance and </w:t>
      </w:r>
      <w:r w:rsidR="00CD504F">
        <w:t>R</w:t>
      </w:r>
      <w:r w:rsidRPr="003377C0">
        <w:t>ecommendations</w:t>
      </w:r>
    </w:p>
    <w:p w14:paraId="6793B52C" w14:textId="77777777" w:rsidR="00D66C7D" w:rsidRPr="00D66C7D" w:rsidRDefault="00D66C7D" w:rsidP="00FA7457">
      <w:pPr>
        <w:spacing w:after="0"/>
      </w:pPr>
    </w:p>
    <w:p w14:paraId="1D24B7B8" w14:textId="2B04E61E" w:rsidR="00EA42B0" w:rsidRPr="00B839E4" w:rsidRDefault="00EA42B0" w:rsidP="005C38F1">
      <w:pPr>
        <w:pStyle w:val="Heading3"/>
      </w:pPr>
      <w:r w:rsidRPr="00253FD4">
        <w:t xml:space="preserve">2.1. Preparing a </w:t>
      </w:r>
      <w:r w:rsidR="003377C0">
        <w:t>D</w:t>
      </w:r>
      <w:r w:rsidRPr="00253FD4">
        <w:t xml:space="preserve">ata </w:t>
      </w:r>
      <w:r w:rsidR="003377C0">
        <w:t>A</w:t>
      </w:r>
      <w:r w:rsidRPr="00253FD4">
        <w:t xml:space="preserve">nalysis </w:t>
      </w:r>
      <w:r w:rsidR="003377C0">
        <w:t>P</w:t>
      </w:r>
      <w:r w:rsidR="005E5DC6" w:rsidRPr="00253FD4">
        <w:t>lan</w:t>
      </w:r>
    </w:p>
    <w:p w14:paraId="18956EFC" w14:textId="77777777" w:rsidR="00C3560C" w:rsidRDefault="00C3560C" w:rsidP="00436E12">
      <w:pPr>
        <w:spacing w:after="0" w:line="276" w:lineRule="auto"/>
        <w:jc w:val="both"/>
      </w:pPr>
    </w:p>
    <w:p w14:paraId="2C01D057" w14:textId="6A3A7985" w:rsidR="00F32AA3" w:rsidRDefault="00F32AA3" w:rsidP="00EC669A">
      <w:r w:rsidRPr="00912A68">
        <w:t xml:space="preserve">Developing a </w:t>
      </w:r>
      <w:r w:rsidR="00BD31BB">
        <w:t xml:space="preserve">well-structured </w:t>
      </w:r>
      <w:r w:rsidRPr="00912A68">
        <w:t xml:space="preserve">data analysis plan is a crucial step in </w:t>
      </w:r>
      <w:r w:rsidR="007F3289">
        <w:t>drawing useful insights from</w:t>
      </w:r>
      <w:r w:rsidRPr="00912A68">
        <w:t xml:space="preserve"> survey data. The following steps provide a comprehensive framework for preparing a data analysis</w:t>
      </w:r>
      <w:r w:rsidR="00C3798A">
        <w:br/>
      </w:r>
      <w:r w:rsidR="00994718">
        <w:t xml:space="preserve"> plan</w:t>
      </w:r>
      <w:r w:rsidR="00DB409B">
        <w:t>.</w:t>
      </w:r>
    </w:p>
    <w:p w14:paraId="28E32B83" w14:textId="2346B3E9" w:rsidR="00021CED" w:rsidRDefault="00436E12" w:rsidP="003377C0">
      <w:pPr>
        <w:spacing w:after="0" w:line="276" w:lineRule="auto"/>
        <w:jc w:val="both"/>
      </w:pPr>
      <w:r w:rsidRPr="00253FD4">
        <w:rPr>
          <w:b/>
          <w:bCs/>
        </w:rPr>
        <w:t xml:space="preserve">Step 1: </w:t>
      </w:r>
      <w:r w:rsidR="00255C91">
        <w:rPr>
          <w:b/>
          <w:bCs/>
        </w:rPr>
        <w:t xml:space="preserve">Set </w:t>
      </w:r>
      <w:r w:rsidR="003054D4">
        <w:rPr>
          <w:b/>
          <w:bCs/>
        </w:rPr>
        <w:t>data analysis objectives and i</w:t>
      </w:r>
      <w:r w:rsidR="00560CBC">
        <w:rPr>
          <w:b/>
          <w:bCs/>
        </w:rPr>
        <w:t>dentify key</w:t>
      </w:r>
      <w:r w:rsidRPr="00253FD4">
        <w:rPr>
          <w:b/>
          <w:bCs/>
        </w:rPr>
        <w:t xml:space="preserve"> questions</w:t>
      </w:r>
    </w:p>
    <w:p w14:paraId="6AA46566" w14:textId="64DBBE03" w:rsidR="003477CE" w:rsidRDefault="003E0613" w:rsidP="004A79EA">
      <w:pPr>
        <w:spacing w:after="0" w:line="276" w:lineRule="auto"/>
        <w:jc w:val="both"/>
      </w:pPr>
      <w:r w:rsidRPr="003E0613">
        <w:t xml:space="preserve">To begin preparing a data analysis plan, it's essential to </w:t>
      </w:r>
      <w:r w:rsidR="003054D4">
        <w:t xml:space="preserve">set data analysis objectives and </w:t>
      </w:r>
      <w:r w:rsidR="00560CBC">
        <w:t>identify</w:t>
      </w:r>
      <w:r w:rsidRPr="003E0613">
        <w:t xml:space="preserve"> key questions the analysis aims to answer. </w:t>
      </w:r>
      <w:r w:rsidR="00DE1E7B" w:rsidRPr="00DE1E7B">
        <w:t xml:space="preserve">Objectives should also specify the intended audiences for the </w:t>
      </w:r>
      <w:proofErr w:type="gramStart"/>
      <w:r w:rsidR="00DE1E7B" w:rsidRPr="00DE1E7B">
        <w:t>outputs</w:t>
      </w:r>
      <w:r w:rsidR="00EF3B49">
        <w:t xml:space="preserve">, </w:t>
      </w:r>
      <w:r w:rsidR="00DE1E7B" w:rsidRPr="00DE1E7B">
        <w:t xml:space="preserve"> for</w:t>
      </w:r>
      <w:proofErr w:type="gramEnd"/>
      <w:r w:rsidR="00DE1E7B" w:rsidRPr="00DE1E7B">
        <w:t xml:space="preserve"> example, technical teams, policymakers, or </w:t>
      </w:r>
      <w:proofErr w:type="gramStart"/>
      <w:r w:rsidR="00DE1E7B" w:rsidRPr="00DE1E7B">
        <w:t>donors</w:t>
      </w:r>
      <w:r w:rsidR="00EF3B49">
        <w:t xml:space="preserve">, </w:t>
      </w:r>
      <w:r w:rsidR="00DE1E7B" w:rsidRPr="00DE1E7B">
        <w:t xml:space="preserve"> as</w:t>
      </w:r>
      <w:proofErr w:type="gramEnd"/>
      <w:r w:rsidR="00DE1E7B" w:rsidRPr="00DE1E7B">
        <w:t xml:space="preserve"> this will shape subsequent decisions about methods, level of detail, and communication formats (see Section 2.2, Step 3).</w:t>
      </w:r>
    </w:p>
    <w:p w14:paraId="611394FA" w14:textId="77777777" w:rsidR="00FA7457" w:rsidRDefault="00FA7457" w:rsidP="003377C0">
      <w:pPr>
        <w:spacing w:after="0" w:line="276" w:lineRule="auto"/>
        <w:jc w:val="both"/>
      </w:pPr>
    </w:p>
    <w:tbl>
      <w:tblPr>
        <w:tblStyle w:val="TableGrid"/>
        <w:tblW w:w="0" w:type="auto"/>
        <w:tblLook w:val="04A0" w:firstRow="1" w:lastRow="0" w:firstColumn="1" w:lastColumn="0" w:noHBand="0" w:noVBand="1"/>
      </w:tblPr>
      <w:tblGrid>
        <w:gridCol w:w="9350"/>
      </w:tblGrid>
      <w:tr w:rsidR="00563BEE" w14:paraId="19C6C294" w14:textId="77777777">
        <w:tc>
          <w:tcPr>
            <w:tcW w:w="9350" w:type="dxa"/>
          </w:tcPr>
          <w:p w14:paraId="382C34BF" w14:textId="2E0D8908" w:rsidR="00E117D8" w:rsidRPr="00E117D8" w:rsidRDefault="00E117D8" w:rsidP="00563BEE">
            <w:pPr>
              <w:spacing w:line="276" w:lineRule="auto"/>
              <w:jc w:val="both"/>
              <w:rPr>
                <w:b/>
                <w:bCs/>
              </w:rPr>
            </w:pPr>
            <w:r w:rsidRPr="00E117D8">
              <w:rPr>
                <w:b/>
                <w:bCs/>
              </w:rPr>
              <w:t>Box 1</w:t>
            </w:r>
          </w:p>
          <w:p w14:paraId="603C3BCD" w14:textId="36C039A3" w:rsidR="00E117D8" w:rsidRPr="00E117D8" w:rsidRDefault="00764816" w:rsidP="00563BEE">
            <w:pPr>
              <w:spacing w:line="276" w:lineRule="auto"/>
              <w:jc w:val="both"/>
              <w:rPr>
                <w:b/>
                <w:bCs/>
              </w:rPr>
            </w:pPr>
            <w:r>
              <w:rPr>
                <w:b/>
                <w:bCs/>
              </w:rPr>
              <w:t xml:space="preserve">Data Analysis </w:t>
            </w:r>
            <w:r w:rsidR="00E117D8" w:rsidRPr="00E117D8">
              <w:rPr>
                <w:b/>
                <w:bCs/>
              </w:rPr>
              <w:t xml:space="preserve">Objectives and </w:t>
            </w:r>
            <w:r w:rsidR="005D4DF5">
              <w:rPr>
                <w:b/>
                <w:bCs/>
              </w:rPr>
              <w:t xml:space="preserve">Key </w:t>
            </w:r>
            <w:r w:rsidR="00E117D8" w:rsidRPr="00E117D8">
              <w:rPr>
                <w:b/>
                <w:bCs/>
              </w:rPr>
              <w:t>Questions Example</w:t>
            </w:r>
          </w:p>
          <w:p w14:paraId="789B918E" w14:textId="77777777" w:rsidR="00E117D8" w:rsidRPr="00E117D8" w:rsidRDefault="00E117D8" w:rsidP="00563BEE">
            <w:pPr>
              <w:spacing w:line="276" w:lineRule="auto"/>
              <w:jc w:val="both"/>
            </w:pPr>
          </w:p>
          <w:p w14:paraId="187D60D6" w14:textId="2CD26526" w:rsidR="00563BEE" w:rsidRPr="00253FD4" w:rsidRDefault="00563BEE" w:rsidP="00563BEE">
            <w:pPr>
              <w:spacing w:line="276" w:lineRule="auto"/>
              <w:jc w:val="both"/>
              <w:rPr>
                <w:i/>
                <w:iCs/>
              </w:rPr>
            </w:pPr>
            <w:r w:rsidRPr="00253FD4">
              <w:rPr>
                <w:i/>
                <w:iCs/>
              </w:rPr>
              <w:t>Objectives</w:t>
            </w:r>
            <w:r w:rsidR="00764816">
              <w:rPr>
                <w:i/>
                <w:iCs/>
              </w:rPr>
              <w:t xml:space="preserve"> of data analysis</w:t>
            </w:r>
          </w:p>
          <w:p w14:paraId="61C7E142" w14:textId="1AE67140" w:rsidR="00563BEE" w:rsidRDefault="00CF30CA" w:rsidP="00F76968">
            <w:pPr>
              <w:pStyle w:val="ListParagraph"/>
              <w:numPr>
                <w:ilvl w:val="0"/>
                <w:numId w:val="3"/>
              </w:numPr>
              <w:spacing w:line="276" w:lineRule="auto"/>
              <w:jc w:val="both"/>
            </w:pPr>
            <w:r>
              <w:t>To u</w:t>
            </w:r>
            <w:r w:rsidR="00563BEE">
              <w:t xml:space="preserve">nderstand the </w:t>
            </w:r>
            <w:r w:rsidR="00052A9D">
              <w:t xml:space="preserve">childcare </w:t>
            </w:r>
            <w:r w:rsidR="00A60BCC">
              <w:t xml:space="preserve">arrangements of </w:t>
            </w:r>
            <w:r w:rsidR="002236FB">
              <w:t>pre</w:t>
            </w:r>
            <w:r w:rsidR="00A60BCC">
              <w:t>-primary age children</w:t>
            </w:r>
          </w:p>
          <w:p w14:paraId="736C16F0" w14:textId="3109BA73" w:rsidR="00CF30CA" w:rsidRDefault="00CF30CA" w:rsidP="00BF4557">
            <w:pPr>
              <w:spacing w:line="276" w:lineRule="auto"/>
              <w:ind w:left="360"/>
              <w:jc w:val="both"/>
            </w:pPr>
          </w:p>
          <w:p w14:paraId="4C19921E" w14:textId="2F29DD02" w:rsidR="00563BEE" w:rsidRPr="00253FD4" w:rsidRDefault="00764816" w:rsidP="00563BEE">
            <w:pPr>
              <w:spacing w:line="276" w:lineRule="auto"/>
              <w:jc w:val="both"/>
              <w:rPr>
                <w:i/>
                <w:iCs/>
              </w:rPr>
            </w:pPr>
            <w:r>
              <w:rPr>
                <w:i/>
                <w:iCs/>
              </w:rPr>
              <w:t>Key</w:t>
            </w:r>
            <w:r w:rsidR="00563BEE" w:rsidRPr="00253FD4">
              <w:rPr>
                <w:i/>
                <w:iCs/>
              </w:rPr>
              <w:t xml:space="preserve"> Questions</w:t>
            </w:r>
          </w:p>
          <w:p w14:paraId="0ACE556D" w14:textId="77777777" w:rsidR="00563BEE" w:rsidRDefault="001F2141" w:rsidP="00F76968">
            <w:pPr>
              <w:pStyle w:val="ListParagraph"/>
              <w:numPr>
                <w:ilvl w:val="0"/>
                <w:numId w:val="4"/>
              </w:numPr>
              <w:spacing w:line="276" w:lineRule="auto"/>
              <w:jc w:val="both"/>
            </w:pPr>
            <w:r w:rsidRPr="001F2141">
              <w:t>What types of childcare arrangements do households use?</w:t>
            </w:r>
          </w:p>
          <w:p w14:paraId="277B58D0" w14:textId="77777777" w:rsidR="001F2141" w:rsidRDefault="00A03518" w:rsidP="00F76968">
            <w:pPr>
              <w:pStyle w:val="ListParagraph"/>
              <w:numPr>
                <w:ilvl w:val="0"/>
                <w:numId w:val="4"/>
              </w:numPr>
              <w:spacing w:line="276" w:lineRule="auto"/>
              <w:jc w:val="both"/>
            </w:pPr>
            <w:r w:rsidRPr="00A03518">
              <w:t>What factors influence the choice of current childcare arrangements?</w:t>
            </w:r>
          </w:p>
          <w:p w14:paraId="7F347057" w14:textId="02FEE7D1" w:rsidR="00B447CA" w:rsidRDefault="00B447CA" w:rsidP="00F76968">
            <w:pPr>
              <w:pStyle w:val="ListParagraph"/>
              <w:numPr>
                <w:ilvl w:val="0"/>
                <w:numId w:val="4"/>
              </w:numPr>
              <w:spacing w:line="276" w:lineRule="auto"/>
              <w:jc w:val="both"/>
            </w:pPr>
            <w:r w:rsidRPr="00B447CA">
              <w:t>What challenges or disadvantages do household</w:t>
            </w:r>
            <w:r w:rsidR="00CF2568">
              <w:t>s</w:t>
            </w:r>
            <w:r w:rsidRPr="00B447CA">
              <w:t xml:space="preserve"> identify that are associated with different types of arrangements?</w:t>
            </w:r>
          </w:p>
        </w:tc>
      </w:tr>
    </w:tbl>
    <w:p w14:paraId="6B4A45F6" w14:textId="77777777" w:rsidR="0064433D" w:rsidRDefault="0064433D" w:rsidP="003377C0">
      <w:pPr>
        <w:spacing w:after="0" w:line="276" w:lineRule="auto"/>
        <w:jc w:val="both"/>
      </w:pPr>
    </w:p>
    <w:p w14:paraId="2D89BF21" w14:textId="77777777" w:rsidR="003377C0" w:rsidRDefault="003377C0" w:rsidP="003377C0">
      <w:pPr>
        <w:spacing w:after="0" w:line="276" w:lineRule="auto"/>
        <w:jc w:val="both"/>
      </w:pPr>
    </w:p>
    <w:p w14:paraId="660343B7" w14:textId="77777777" w:rsidR="00666432" w:rsidRDefault="00DA2056" w:rsidP="00F2405E">
      <w:pPr>
        <w:spacing w:after="0" w:line="276" w:lineRule="auto"/>
        <w:jc w:val="both"/>
        <w:rPr>
          <w:b/>
          <w:bCs/>
        </w:rPr>
      </w:pPr>
      <w:r w:rsidRPr="00253FD4">
        <w:rPr>
          <w:b/>
          <w:bCs/>
        </w:rPr>
        <w:t>Step 2: Identify</w:t>
      </w:r>
      <w:r w:rsidR="00FB265D">
        <w:rPr>
          <w:b/>
          <w:bCs/>
        </w:rPr>
        <w:t xml:space="preserve"> v</w:t>
      </w:r>
      <w:r w:rsidRPr="00253FD4">
        <w:rPr>
          <w:b/>
          <w:bCs/>
        </w:rPr>
        <w:t>ariables</w:t>
      </w:r>
    </w:p>
    <w:p w14:paraId="42464929" w14:textId="77777777" w:rsidR="006735B6" w:rsidRDefault="006735B6" w:rsidP="00F2405E">
      <w:pPr>
        <w:spacing w:after="0" w:line="276" w:lineRule="auto"/>
        <w:jc w:val="both"/>
        <w:rPr>
          <w:b/>
          <w:bCs/>
        </w:rPr>
      </w:pPr>
    </w:p>
    <w:p w14:paraId="000863FF" w14:textId="70152E79" w:rsidR="00053958" w:rsidRDefault="00053958" w:rsidP="00F2405E">
      <w:pPr>
        <w:spacing w:after="0" w:line="276" w:lineRule="auto"/>
        <w:jc w:val="both"/>
      </w:pPr>
      <w:r w:rsidRPr="00623D89">
        <w:lastRenderedPageBreak/>
        <w:t>Before starting, familiarize yourself with the datasets, which may be organized at various levels</w:t>
      </w:r>
      <w:r w:rsidR="008C076C">
        <w:t xml:space="preserve"> </w:t>
      </w:r>
      <w:r w:rsidR="002E44C5">
        <w:t>such as</w:t>
      </w:r>
      <w:r w:rsidR="008C076C">
        <w:t xml:space="preserve"> </w:t>
      </w:r>
      <w:r w:rsidRPr="00623D89">
        <w:t>household, individual, plot, asset, or food item</w:t>
      </w:r>
      <w:r w:rsidR="008C076C">
        <w:t xml:space="preserve">, </w:t>
      </w:r>
      <w:r w:rsidRPr="00623D89">
        <w:t>depending on the survey topic. Consider how these datasets are structured</w:t>
      </w:r>
      <w:r w:rsidR="009F3044">
        <w:t xml:space="preserve"> and </w:t>
      </w:r>
      <w:r w:rsidRPr="00623D89">
        <w:t>what key identifiers distinguish each observation</w:t>
      </w:r>
      <w:r w:rsidR="009F3044">
        <w:t>.</w:t>
      </w:r>
    </w:p>
    <w:p w14:paraId="11C95DAD" w14:textId="77777777" w:rsidR="00053958" w:rsidRDefault="00053958" w:rsidP="00F2405E">
      <w:pPr>
        <w:spacing w:after="0" w:line="276" w:lineRule="auto"/>
        <w:jc w:val="both"/>
        <w:rPr>
          <w:b/>
          <w:bCs/>
        </w:rPr>
      </w:pPr>
    </w:p>
    <w:p w14:paraId="22FDE4F5" w14:textId="0D8E139E" w:rsidR="00666432" w:rsidRDefault="00666432" w:rsidP="005215A7">
      <w:pPr>
        <w:jc w:val="both"/>
      </w:pPr>
      <w:r w:rsidRPr="00666432">
        <w:t xml:space="preserve">Identifying the right variables is a foundational step in the data analysis process. To effectively address the key questions outlined in the objectives, analysts must carefully consider which variables within the dataset will provide meaningful and relevant insights. </w:t>
      </w:r>
    </w:p>
    <w:p w14:paraId="6EDFB460" w14:textId="77777777" w:rsidR="00486356" w:rsidRDefault="00666432" w:rsidP="005215A7">
      <w:pPr>
        <w:jc w:val="both"/>
      </w:pPr>
      <w:r w:rsidRPr="00666432">
        <w:t xml:space="preserve">In some cases, variables of interest may not be directly represented in the dataset. Analysts may need to create new composite variables by combining information from several fields, such as calculating the total number of children in a household from individual age </w:t>
      </w:r>
      <w:proofErr w:type="gramStart"/>
      <w:r w:rsidRPr="00666432">
        <w:t>data, or</w:t>
      </w:r>
      <w:proofErr w:type="gramEnd"/>
      <w:r w:rsidRPr="00666432">
        <w:t xml:space="preserve"> generating indicators for specific childcare challenges by aggregating multiple survey responses</w:t>
      </w:r>
      <w:r w:rsidR="00927E37">
        <w:t xml:space="preserve">, following the </w:t>
      </w:r>
      <w:r w:rsidR="00B76663">
        <w:t>example in Box 1</w:t>
      </w:r>
      <w:r w:rsidRPr="00666432">
        <w:t>. Additionally, external data sources might be consulted to enrich the analysis, for example, by linking geographic codes to regional characteristics or socioeconomic indices.</w:t>
      </w:r>
    </w:p>
    <w:p w14:paraId="6384F6DC" w14:textId="77777777" w:rsidR="00247F1C" w:rsidRPr="00247F1C" w:rsidRDefault="00247F1C" w:rsidP="002E6A2A">
      <w:pPr>
        <w:jc w:val="both"/>
      </w:pPr>
      <w:r w:rsidRPr="00247F1C">
        <w:t>Where composite variables or derived indicators are constructed, all derivation logic must be documented in the analysis code and in accompanying metadata. This includes the source variables used, the transformation applied, and any assumptions made. See Section 2.2, Step 2 for documentation requirements.</w:t>
      </w:r>
    </w:p>
    <w:p w14:paraId="58813B4E" w14:textId="77777777" w:rsidR="00E53FB2" w:rsidRDefault="00E53FB2" w:rsidP="00F2405E">
      <w:pPr>
        <w:spacing w:after="0" w:line="276" w:lineRule="auto"/>
        <w:jc w:val="both"/>
        <w:rPr>
          <w:b/>
          <w:bCs/>
        </w:rPr>
      </w:pPr>
    </w:p>
    <w:p w14:paraId="39DDE16C" w14:textId="7317CD29" w:rsidR="00DA2056" w:rsidRPr="00253FD4" w:rsidRDefault="00F857EE" w:rsidP="00F2405E">
      <w:pPr>
        <w:spacing w:after="0" w:line="276" w:lineRule="auto"/>
        <w:jc w:val="both"/>
        <w:rPr>
          <w:b/>
          <w:bCs/>
        </w:rPr>
      </w:pPr>
      <w:r w:rsidRPr="00253FD4">
        <w:rPr>
          <w:b/>
          <w:bCs/>
        </w:rPr>
        <w:t xml:space="preserve">Step 3: </w:t>
      </w:r>
      <w:r w:rsidR="000D19C3" w:rsidRPr="00253FD4">
        <w:rPr>
          <w:b/>
          <w:bCs/>
        </w:rPr>
        <w:t>Review of</w:t>
      </w:r>
      <w:r w:rsidR="0067374A" w:rsidRPr="00253FD4">
        <w:rPr>
          <w:b/>
          <w:bCs/>
        </w:rPr>
        <w:t xml:space="preserve"> the </w:t>
      </w:r>
      <w:r w:rsidR="006E3380">
        <w:rPr>
          <w:b/>
          <w:bCs/>
        </w:rPr>
        <w:t>sampling</w:t>
      </w:r>
      <w:r w:rsidR="0067374A" w:rsidRPr="00253FD4">
        <w:rPr>
          <w:b/>
          <w:bCs/>
        </w:rPr>
        <w:t xml:space="preserve"> </w:t>
      </w:r>
      <w:r w:rsidR="00176BBF">
        <w:rPr>
          <w:b/>
          <w:bCs/>
        </w:rPr>
        <w:t>structure and weights</w:t>
      </w:r>
    </w:p>
    <w:p w14:paraId="0A136097" w14:textId="104523C8" w:rsidR="00407808" w:rsidRDefault="00753932" w:rsidP="00F2405E">
      <w:pPr>
        <w:spacing w:after="0" w:line="276" w:lineRule="auto"/>
        <w:jc w:val="both"/>
      </w:pPr>
      <w:r>
        <w:t>The</w:t>
      </w:r>
      <w:r w:rsidR="003E0613" w:rsidRPr="003E0613">
        <w:t xml:space="preserve"> sampling structure</w:t>
      </w:r>
      <w:r w:rsidR="00D00198">
        <w:t xml:space="preserve"> </w:t>
      </w:r>
      <w:r w:rsidR="003E0613" w:rsidRPr="003E0613">
        <w:t>and the use of weights</w:t>
      </w:r>
      <w:r w:rsidR="00E6755B">
        <w:t xml:space="preserve"> </w:t>
      </w:r>
      <w:r>
        <w:t xml:space="preserve">should be </w:t>
      </w:r>
      <w:r w:rsidR="00D007D7">
        <w:t>taken note of</w:t>
      </w:r>
      <w:r w:rsidR="004032E2">
        <w:rPr>
          <w:rStyle w:val="FootnoteReference"/>
        </w:rPr>
        <w:footnoteReference w:id="3"/>
      </w:r>
      <w:r w:rsidR="002C1AA5">
        <w:t xml:space="preserve"> to ensure</w:t>
      </w:r>
      <w:r w:rsidR="003E0613" w:rsidRPr="003E0613">
        <w:t xml:space="preserve"> that the</w:t>
      </w:r>
      <w:r w:rsidR="00BE11C6">
        <w:t xml:space="preserve"> analysis</w:t>
      </w:r>
      <w:r w:rsidR="003E0613" w:rsidRPr="003E0613">
        <w:t xml:space="preserve"> </w:t>
      </w:r>
      <w:r w:rsidR="00BE11C6" w:rsidRPr="00407808">
        <w:t>accurately reflects the population groups the survey was designed to represent</w:t>
      </w:r>
      <w:r w:rsidR="00AE4A2A">
        <w:t xml:space="preserve">. </w:t>
      </w:r>
      <w:r w:rsidR="0035619E" w:rsidRPr="0035619E">
        <w:t xml:space="preserve">Analysts should document how weights were applied, verify that weight variables are correctly specified in the statistical software, and flag any departures from the intended weighting approach. Incorrect application of survey weights is a common source of error that can lead to substantially biased estimates; formal peer review of </w:t>
      </w:r>
      <w:proofErr w:type="gramStart"/>
      <w:r w:rsidR="0035619E" w:rsidRPr="0035619E">
        <w:t>weighting</w:t>
      </w:r>
      <w:proofErr w:type="gramEnd"/>
      <w:r w:rsidR="0035619E" w:rsidRPr="0035619E">
        <w:t xml:space="preserve"> decisions is strongly encouraged (see Step 4 and Section 2.2, Step 2).</w:t>
      </w:r>
    </w:p>
    <w:p w14:paraId="36172F1A" w14:textId="77777777" w:rsidR="00BE11C6" w:rsidRDefault="00BE11C6" w:rsidP="00F2405E">
      <w:pPr>
        <w:spacing w:after="0" w:line="276" w:lineRule="auto"/>
        <w:jc w:val="both"/>
      </w:pPr>
    </w:p>
    <w:p w14:paraId="606C75B0" w14:textId="77777777" w:rsidR="00397C50" w:rsidRDefault="007478F6" w:rsidP="00253FD4">
      <w:pPr>
        <w:spacing w:after="0" w:line="276" w:lineRule="auto"/>
        <w:jc w:val="both"/>
        <w:rPr>
          <w:b/>
          <w:bCs/>
        </w:rPr>
      </w:pPr>
      <w:r w:rsidRPr="00A00D5A">
        <w:rPr>
          <w:b/>
          <w:bCs/>
        </w:rPr>
        <w:t xml:space="preserve">Step 4: Select </w:t>
      </w:r>
      <w:r w:rsidR="00A00D5A" w:rsidRPr="00A00D5A">
        <w:rPr>
          <w:b/>
          <w:bCs/>
        </w:rPr>
        <w:t xml:space="preserve">appropriate </w:t>
      </w:r>
      <w:r w:rsidR="000E79DE" w:rsidRPr="00A00D5A">
        <w:rPr>
          <w:b/>
          <w:bCs/>
        </w:rPr>
        <w:t>methods</w:t>
      </w:r>
      <w:r w:rsidR="00A00D5A" w:rsidRPr="00A00D5A">
        <w:rPr>
          <w:b/>
          <w:bCs/>
        </w:rPr>
        <w:t xml:space="preserve"> for </w:t>
      </w:r>
      <w:r w:rsidR="0032285E" w:rsidRPr="00A00D5A">
        <w:rPr>
          <w:b/>
          <w:bCs/>
        </w:rPr>
        <w:t>analysis</w:t>
      </w:r>
    </w:p>
    <w:p w14:paraId="41954A2D" w14:textId="6D5274D0" w:rsidR="00397C50" w:rsidRDefault="00397C50" w:rsidP="005215A7">
      <w:pPr>
        <w:jc w:val="both"/>
      </w:pPr>
      <w:r w:rsidRPr="00397C50">
        <w:t>Once the relevant variables have been identified, it is essential to determine the most suitable analytical methods that align with the objectives of the study. The choice of methods is influenced by the type of questions being asked</w:t>
      </w:r>
      <w:r w:rsidR="00CF26AD">
        <w:t>,</w:t>
      </w:r>
      <w:r w:rsidR="00501EF2">
        <w:t xml:space="preserve"> </w:t>
      </w:r>
      <w:r w:rsidRPr="00397C50">
        <w:t>whether the goal is to describe, compare, or explain patterns.</w:t>
      </w:r>
    </w:p>
    <w:p w14:paraId="49C3EB7C" w14:textId="0A07D034" w:rsidR="00397C50" w:rsidRDefault="009824BE" w:rsidP="005215A7">
      <w:pPr>
        <w:jc w:val="both"/>
      </w:pPr>
      <w:r>
        <w:lastRenderedPageBreak/>
        <w:t>Continuing</w:t>
      </w:r>
      <w:r w:rsidR="006833BC">
        <w:t xml:space="preserve"> </w:t>
      </w:r>
      <w:r w:rsidR="00FB5E40">
        <w:t>with</w:t>
      </w:r>
      <w:r w:rsidR="006833BC">
        <w:t xml:space="preserve"> the example on childcare arrangements analysis (in Box 1), a</w:t>
      </w:r>
      <w:r w:rsidR="00397C50" w:rsidRPr="00397C50">
        <w:t>nalysts may begin with descriptive statistics to summarize the prevalence and types of childcare arrangements used by households. This includes calculating frequencies, percentages, and measures of central tendency, such as means or medians, to provide an overview of the data. Visualization tools, such as bar charts or pie graphs, can be used to illustrate the distribution of childcare arrangements across different groups.</w:t>
      </w:r>
    </w:p>
    <w:p w14:paraId="5048FA51" w14:textId="77777777" w:rsidR="00397C50" w:rsidRDefault="00397C50" w:rsidP="005215A7">
      <w:pPr>
        <w:jc w:val="both"/>
      </w:pPr>
      <w:r w:rsidRPr="00397C50">
        <w:t xml:space="preserve">For more in-depth exploration, inferential statistical techniques can be employed to test hypotheses about factors that influence the choice of childcare arrangements. This might include cross-tabulations to examine associations between household characteristics (e.g., income, education level, number of children) and types of </w:t>
      </w:r>
      <w:proofErr w:type="gramStart"/>
      <w:r w:rsidRPr="00397C50">
        <w:t>childcare</w:t>
      </w:r>
      <w:proofErr w:type="gramEnd"/>
      <w:r w:rsidRPr="00397C50">
        <w:t xml:space="preserve"> used, or regression analysis to model the impact of specific variables on childcare decisions while controlling for others.</w:t>
      </w:r>
    </w:p>
    <w:p w14:paraId="5FE6DFB4" w14:textId="0A7773D7" w:rsidR="00397C50" w:rsidRDefault="00397C50" w:rsidP="005215A7">
      <w:pPr>
        <w:jc w:val="both"/>
      </w:pPr>
      <w:r w:rsidRPr="00397C50">
        <w:t>When the objective is to understand causality</w:t>
      </w:r>
      <w:r w:rsidR="0028361D">
        <w:t>,</w:t>
      </w:r>
      <w:r w:rsidR="00E61E36">
        <w:t xml:space="preserve"> </w:t>
      </w:r>
      <w:r w:rsidRPr="00397C50">
        <w:t>such as determining whether a particular challenge directly leads households to choose one arrangement over another</w:t>
      </w:r>
      <w:r w:rsidR="0028361D">
        <w:t>,</w:t>
      </w:r>
      <w:r w:rsidR="00E927C5">
        <w:t xml:space="preserve"> </w:t>
      </w:r>
      <w:r w:rsidRPr="00397C50">
        <w:t>advanced methods like logistic regression, propensity score matching, or even structural equation modeling may be appropriate.</w:t>
      </w:r>
    </w:p>
    <w:p w14:paraId="19C4894F" w14:textId="5727C77A" w:rsidR="00397C50" w:rsidRDefault="00397C50" w:rsidP="005215A7">
      <w:pPr>
        <w:jc w:val="both"/>
      </w:pPr>
      <w:r w:rsidRPr="00397C50">
        <w:t xml:space="preserve">Moreover, analysts </w:t>
      </w:r>
      <w:r w:rsidR="00083E2E">
        <w:t>could</w:t>
      </w:r>
      <w:r w:rsidRPr="00397C50">
        <w:t xml:space="preserve"> plan for disaggregation of results by </w:t>
      </w:r>
      <w:r w:rsidR="00083E2E" w:rsidRPr="003E0613">
        <w:t>key subgroups, such as gender, age, or geographic region</w:t>
      </w:r>
      <w:r w:rsidRPr="00397C50">
        <w:t xml:space="preserve">, to uncover meaningful </w:t>
      </w:r>
      <w:r w:rsidR="00C64854">
        <w:t>patterns</w:t>
      </w:r>
      <w:r w:rsidRPr="00397C50">
        <w:t xml:space="preserve"> that might be obscured in summary statistics. </w:t>
      </w:r>
      <w:r w:rsidR="00724620" w:rsidRPr="00724620">
        <w:t>Where results are disaggregated across time or geographies, analysts should apply consistent definitions and classifications to ensure comparability. Where available, standard institutional definitions should be used</w:t>
      </w:r>
      <w:r w:rsidR="00742CFE">
        <w:t xml:space="preserve">, </w:t>
      </w:r>
      <w:r w:rsidR="00724620" w:rsidRPr="00724620">
        <w:t>for example, welfare aggregates, or geographic codes consistent with standard classification systems such as ISIC, ISCED, or approved institutional geographic codes. For multi-year or cross-country analyses, analysts should document harmonization procedures explicitly, noting any definitional changes or breaks in series that may affect comparability.</w:t>
      </w:r>
    </w:p>
    <w:p w14:paraId="52E70115" w14:textId="5CC81788" w:rsidR="00397C50" w:rsidRDefault="00397C50" w:rsidP="005215A7">
      <w:pPr>
        <w:jc w:val="both"/>
      </w:pPr>
      <w:r w:rsidRPr="00397C50">
        <w:t>Throughout the process, it is important to consider the limitations of the data and the methods, including potential biases in sampling or measurement, and to apply appropriate statistical tests (e.g., tests of significance) to confirm that observed patterns are unlikely to be due to random variation.</w:t>
      </w:r>
      <w:r w:rsidR="00A27CAE">
        <w:t xml:space="preserve"> </w:t>
      </w:r>
      <w:r w:rsidR="00A27CAE" w:rsidRPr="00AC20F4">
        <w:t>Analysts should also identify and plan to disclose any material data quality issues known at the time of the analysis</w:t>
      </w:r>
      <w:r w:rsidR="005B0D5C">
        <w:t>,</w:t>
      </w:r>
      <w:r w:rsidR="00A27CAE" w:rsidRPr="00AC20F4">
        <w:t xml:space="preserve"> such as significant item non-response, unit non-response patterns, sampling frame coverage gaps, or measurement error concerns</w:t>
      </w:r>
      <w:r w:rsidR="005B0D5C">
        <w:t xml:space="preserve">, </w:t>
      </w:r>
      <w:r w:rsidR="00A27CAE" w:rsidRPr="00AC20F4">
        <w:t>as these must be transparently reported in all analytical outputs (see Section 2.2, Step 3).</w:t>
      </w:r>
    </w:p>
    <w:p w14:paraId="6ECFFC0F" w14:textId="77777777" w:rsidR="00C203A2" w:rsidRDefault="00C203A2" w:rsidP="00253FD4">
      <w:pPr>
        <w:spacing w:after="0" w:line="276" w:lineRule="auto"/>
        <w:jc w:val="both"/>
      </w:pPr>
    </w:p>
    <w:p w14:paraId="7740BDFC" w14:textId="77777777" w:rsidR="001711E4" w:rsidRDefault="005B2E3C" w:rsidP="00253FD4">
      <w:pPr>
        <w:spacing w:after="0" w:line="276" w:lineRule="auto"/>
        <w:jc w:val="both"/>
        <w:rPr>
          <w:b/>
          <w:bCs/>
        </w:rPr>
      </w:pPr>
      <w:r w:rsidRPr="00563BEE">
        <w:rPr>
          <w:b/>
          <w:bCs/>
        </w:rPr>
        <w:t xml:space="preserve">Step 5: Prepare </w:t>
      </w:r>
      <w:r w:rsidR="00D91D6F">
        <w:rPr>
          <w:b/>
          <w:bCs/>
        </w:rPr>
        <w:t>tabulation and visualization plans</w:t>
      </w:r>
      <w:r w:rsidRPr="00563BEE">
        <w:rPr>
          <w:b/>
          <w:bCs/>
        </w:rPr>
        <w:t xml:space="preserve"> </w:t>
      </w:r>
    </w:p>
    <w:p w14:paraId="72E804A1" w14:textId="1FC48BD4" w:rsidR="001711E4" w:rsidRDefault="001711E4" w:rsidP="001711E4"/>
    <w:p w14:paraId="23AF6B94" w14:textId="51FDBB85" w:rsidR="001711E4" w:rsidRDefault="001711E4" w:rsidP="002E6A2A">
      <w:pPr>
        <w:jc w:val="both"/>
      </w:pPr>
      <w:r w:rsidRPr="001711E4">
        <w:t xml:space="preserve">To ensure the findings are communicated effectively, it is essential to develop a comprehensive plan for how the data will be </w:t>
      </w:r>
      <w:r w:rsidR="00947FF2">
        <w:t>presented</w:t>
      </w:r>
      <w:r w:rsidRPr="001711E4">
        <w:t xml:space="preserve">. </w:t>
      </w:r>
      <w:r w:rsidR="003650BC">
        <w:t xml:space="preserve">This may include </w:t>
      </w:r>
      <w:r w:rsidR="000D0686">
        <w:t xml:space="preserve">a detailed tabulation plan and visualization plan. </w:t>
      </w:r>
    </w:p>
    <w:p w14:paraId="2B56549A" w14:textId="31EC3508" w:rsidR="001711E4" w:rsidRDefault="001711E4" w:rsidP="002E6A2A">
      <w:pPr>
        <w:jc w:val="both"/>
      </w:pPr>
      <w:r w:rsidRPr="001711E4">
        <w:t xml:space="preserve">A detailed tabulation plan will specify the layout of each table, including column and row headings, categories for analysis, and any derived variables or composite indicators. For example, in a survey examining childcare arrangements, tables could be organized to show the frequency of different arrangement types by household income, parental education, or region. </w:t>
      </w:r>
    </w:p>
    <w:tbl>
      <w:tblPr>
        <w:tblW w:w="9265" w:type="dxa"/>
        <w:tblLook w:val="04A0" w:firstRow="1" w:lastRow="0" w:firstColumn="1" w:lastColumn="0" w:noHBand="0" w:noVBand="1"/>
      </w:tblPr>
      <w:tblGrid>
        <w:gridCol w:w="2440"/>
        <w:gridCol w:w="1320"/>
        <w:gridCol w:w="1455"/>
        <w:gridCol w:w="1350"/>
        <w:gridCol w:w="1350"/>
        <w:gridCol w:w="1350"/>
      </w:tblGrid>
      <w:tr w:rsidR="00CD785E" w:rsidRPr="00CD785E" w14:paraId="5B5B642A" w14:textId="77777777" w:rsidTr="00CD785E">
        <w:trPr>
          <w:trHeight w:val="315"/>
        </w:trPr>
        <w:tc>
          <w:tcPr>
            <w:tcW w:w="9265" w:type="dxa"/>
            <w:gridSpan w:val="6"/>
            <w:tcBorders>
              <w:top w:val="nil"/>
              <w:left w:val="single" w:sz="4" w:space="0" w:color="auto"/>
              <w:bottom w:val="nil"/>
              <w:right w:val="nil"/>
            </w:tcBorders>
            <w:shd w:val="clear" w:color="000000" w:fill="548235"/>
            <w:vAlign w:val="center"/>
            <w:hideMark/>
          </w:tcPr>
          <w:p w14:paraId="73428E56" w14:textId="77777777" w:rsidR="00CD785E" w:rsidRPr="00CD785E" w:rsidRDefault="00CD785E" w:rsidP="00CD785E">
            <w:pPr>
              <w:spacing w:after="0" w:line="240" w:lineRule="auto"/>
              <w:jc w:val="center"/>
              <w:rPr>
                <w:rFonts w:ascii="Calibri" w:eastAsia="Times New Roman" w:hAnsi="Calibri" w:cs="Calibri"/>
                <w:b/>
                <w:bCs/>
                <w:color w:val="FFFFFF"/>
                <w:kern w:val="0"/>
                <w:sz w:val="22"/>
                <w:szCs w:val="22"/>
                <w:lang w:eastAsia="ja-JP"/>
                <w14:ligatures w14:val="none"/>
              </w:rPr>
            </w:pPr>
            <w:r w:rsidRPr="00CD785E">
              <w:rPr>
                <w:rFonts w:ascii="Calibri" w:eastAsia="Times New Roman" w:hAnsi="Calibri" w:cs="Calibri"/>
                <w:b/>
                <w:bCs/>
                <w:color w:val="FFFFFF"/>
                <w:kern w:val="0"/>
                <w:sz w:val="22"/>
                <w:szCs w:val="22"/>
                <w:lang w:eastAsia="ja-JP"/>
                <w14:ligatures w14:val="none"/>
              </w:rPr>
              <w:t>Primary caregiver for children in the last 7 days</w:t>
            </w:r>
          </w:p>
        </w:tc>
      </w:tr>
      <w:tr w:rsidR="00CD785E" w:rsidRPr="00CD785E" w14:paraId="4C6B1B22" w14:textId="77777777" w:rsidTr="00CD785E">
        <w:trPr>
          <w:trHeight w:val="315"/>
        </w:trPr>
        <w:tc>
          <w:tcPr>
            <w:tcW w:w="2440" w:type="dxa"/>
            <w:vMerge w:val="restart"/>
            <w:tcBorders>
              <w:top w:val="nil"/>
              <w:left w:val="single" w:sz="4" w:space="0" w:color="auto"/>
              <w:bottom w:val="single" w:sz="4" w:space="0" w:color="000000"/>
              <w:right w:val="single" w:sz="4" w:space="0" w:color="auto"/>
            </w:tcBorders>
            <w:shd w:val="clear" w:color="000000" w:fill="E2EFDA"/>
            <w:noWrap/>
            <w:vAlign w:val="center"/>
            <w:hideMark/>
          </w:tcPr>
          <w:p w14:paraId="5C1E80E3" w14:textId="77777777" w:rsidR="00CD785E" w:rsidRPr="00CD785E" w:rsidRDefault="00CD785E" w:rsidP="00CD785E">
            <w:pPr>
              <w:spacing w:after="0" w:line="240" w:lineRule="auto"/>
              <w:jc w:val="center"/>
              <w:rPr>
                <w:rFonts w:ascii="Calibri" w:eastAsia="Times New Roman" w:hAnsi="Calibri" w:cs="Calibri"/>
                <w:b/>
                <w:bCs/>
                <w:kern w:val="0"/>
                <w:sz w:val="22"/>
                <w:szCs w:val="22"/>
                <w:lang w:eastAsia="ja-JP"/>
                <w14:ligatures w14:val="none"/>
              </w:rPr>
            </w:pPr>
            <w:r w:rsidRPr="00CD785E">
              <w:rPr>
                <w:rFonts w:ascii="Calibri" w:eastAsia="Times New Roman" w:hAnsi="Calibri" w:cs="Calibri"/>
                <w:b/>
                <w:bCs/>
                <w:kern w:val="0"/>
                <w:sz w:val="22"/>
                <w:szCs w:val="22"/>
                <w:lang w:eastAsia="ja-JP"/>
                <w14:ligatures w14:val="none"/>
              </w:rPr>
              <w:t> </w:t>
            </w:r>
          </w:p>
        </w:tc>
        <w:tc>
          <w:tcPr>
            <w:tcW w:w="6825" w:type="dxa"/>
            <w:gridSpan w:val="5"/>
            <w:tcBorders>
              <w:top w:val="nil"/>
              <w:left w:val="nil"/>
              <w:bottom w:val="single" w:sz="4" w:space="0" w:color="auto"/>
              <w:right w:val="nil"/>
            </w:tcBorders>
            <w:shd w:val="clear" w:color="000000" w:fill="E2EFDA"/>
            <w:vAlign w:val="center"/>
            <w:hideMark/>
          </w:tcPr>
          <w:p w14:paraId="1943784F" w14:textId="77777777" w:rsidR="00CD785E" w:rsidRPr="00CD785E" w:rsidRDefault="00CD785E" w:rsidP="00CD785E">
            <w:pPr>
              <w:spacing w:after="0" w:line="240" w:lineRule="auto"/>
              <w:jc w:val="center"/>
              <w:rPr>
                <w:rFonts w:ascii="Calibri" w:eastAsia="Times New Roman" w:hAnsi="Calibri" w:cs="Calibri"/>
                <w:b/>
                <w:bCs/>
                <w:kern w:val="0"/>
                <w:sz w:val="22"/>
                <w:szCs w:val="22"/>
                <w:lang w:eastAsia="ja-JP"/>
                <w14:ligatures w14:val="none"/>
              </w:rPr>
            </w:pPr>
            <w:r w:rsidRPr="00CD785E">
              <w:rPr>
                <w:rFonts w:ascii="Calibri" w:eastAsia="Times New Roman" w:hAnsi="Calibri" w:cs="Calibri"/>
                <w:b/>
                <w:bCs/>
                <w:kern w:val="0"/>
                <w:sz w:val="22"/>
                <w:szCs w:val="22"/>
                <w:lang w:eastAsia="ja-JP"/>
                <w14:ligatures w14:val="none"/>
              </w:rPr>
              <w:t>Household Income (wealth index)</w:t>
            </w:r>
          </w:p>
        </w:tc>
      </w:tr>
      <w:tr w:rsidR="00CD785E" w:rsidRPr="00CD785E" w14:paraId="6A045F53" w14:textId="77777777" w:rsidTr="00CD785E">
        <w:trPr>
          <w:trHeight w:val="315"/>
        </w:trPr>
        <w:tc>
          <w:tcPr>
            <w:tcW w:w="2440" w:type="dxa"/>
            <w:vMerge/>
            <w:tcBorders>
              <w:top w:val="nil"/>
              <w:left w:val="single" w:sz="4" w:space="0" w:color="auto"/>
              <w:bottom w:val="single" w:sz="4" w:space="0" w:color="000000"/>
              <w:right w:val="single" w:sz="4" w:space="0" w:color="auto"/>
            </w:tcBorders>
            <w:vAlign w:val="center"/>
            <w:hideMark/>
          </w:tcPr>
          <w:p w14:paraId="43FCB62D" w14:textId="77777777" w:rsidR="00CD785E" w:rsidRPr="00CD785E" w:rsidRDefault="00CD785E" w:rsidP="00CD785E">
            <w:pPr>
              <w:spacing w:after="0" w:line="240" w:lineRule="auto"/>
              <w:rPr>
                <w:rFonts w:ascii="Calibri" w:eastAsia="Times New Roman" w:hAnsi="Calibri" w:cs="Calibri"/>
                <w:b/>
                <w:bCs/>
                <w:kern w:val="0"/>
                <w:sz w:val="22"/>
                <w:szCs w:val="22"/>
                <w:lang w:eastAsia="ja-JP"/>
                <w14:ligatures w14:val="none"/>
              </w:rPr>
            </w:pPr>
          </w:p>
        </w:tc>
        <w:tc>
          <w:tcPr>
            <w:tcW w:w="1320" w:type="dxa"/>
            <w:tcBorders>
              <w:top w:val="nil"/>
              <w:left w:val="nil"/>
              <w:bottom w:val="single" w:sz="4" w:space="0" w:color="auto"/>
              <w:right w:val="single" w:sz="4" w:space="0" w:color="auto"/>
            </w:tcBorders>
            <w:shd w:val="clear" w:color="000000" w:fill="E2EFDA"/>
            <w:vAlign w:val="center"/>
            <w:hideMark/>
          </w:tcPr>
          <w:p w14:paraId="50E5B97C" w14:textId="77777777" w:rsidR="00CD785E" w:rsidRPr="00CD785E" w:rsidRDefault="00CD785E" w:rsidP="00CD785E">
            <w:pPr>
              <w:spacing w:after="0" w:line="240" w:lineRule="auto"/>
              <w:jc w:val="center"/>
              <w:rPr>
                <w:rFonts w:ascii="Calibri" w:eastAsia="Times New Roman" w:hAnsi="Calibri" w:cs="Calibri"/>
                <w:kern w:val="0"/>
                <w:sz w:val="22"/>
                <w:szCs w:val="22"/>
                <w:lang w:eastAsia="ja-JP"/>
                <w14:ligatures w14:val="none"/>
              </w:rPr>
            </w:pPr>
            <w:r w:rsidRPr="00CD785E">
              <w:rPr>
                <w:rFonts w:ascii="Calibri" w:eastAsia="Times New Roman" w:hAnsi="Calibri" w:cs="Calibri"/>
                <w:kern w:val="0"/>
                <w:sz w:val="22"/>
                <w:szCs w:val="22"/>
                <w:lang w:eastAsia="ja-JP"/>
                <w14:ligatures w14:val="none"/>
              </w:rPr>
              <w:t>1st Quintile</w:t>
            </w:r>
          </w:p>
        </w:tc>
        <w:tc>
          <w:tcPr>
            <w:tcW w:w="1455" w:type="dxa"/>
            <w:tcBorders>
              <w:top w:val="nil"/>
              <w:left w:val="nil"/>
              <w:bottom w:val="single" w:sz="4" w:space="0" w:color="auto"/>
              <w:right w:val="single" w:sz="4" w:space="0" w:color="auto"/>
            </w:tcBorders>
            <w:shd w:val="clear" w:color="000000" w:fill="E2EFDA"/>
            <w:vAlign w:val="center"/>
            <w:hideMark/>
          </w:tcPr>
          <w:p w14:paraId="18099B6C" w14:textId="77777777" w:rsidR="00CD785E" w:rsidRPr="00CD785E" w:rsidRDefault="00CD785E" w:rsidP="00CD785E">
            <w:pPr>
              <w:spacing w:after="0" w:line="240" w:lineRule="auto"/>
              <w:jc w:val="center"/>
              <w:rPr>
                <w:rFonts w:ascii="Calibri" w:eastAsia="Times New Roman" w:hAnsi="Calibri" w:cs="Calibri"/>
                <w:kern w:val="0"/>
                <w:sz w:val="22"/>
                <w:szCs w:val="22"/>
                <w:lang w:eastAsia="ja-JP"/>
                <w14:ligatures w14:val="none"/>
              </w:rPr>
            </w:pPr>
            <w:r w:rsidRPr="00CD785E">
              <w:rPr>
                <w:rFonts w:ascii="Calibri" w:eastAsia="Times New Roman" w:hAnsi="Calibri" w:cs="Calibri"/>
                <w:kern w:val="0"/>
                <w:sz w:val="22"/>
                <w:szCs w:val="22"/>
                <w:lang w:eastAsia="ja-JP"/>
                <w14:ligatures w14:val="none"/>
              </w:rPr>
              <w:t>2nd Quintile</w:t>
            </w:r>
          </w:p>
        </w:tc>
        <w:tc>
          <w:tcPr>
            <w:tcW w:w="1350" w:type="dxa"/>
            <w:tcBorders>
              <w:top w:val="nil"/>
              <w:left w:val="nil"/>
              <w:bottom w:val="single" w:sz="4" w:space="0" w:color="auto"/>
              <w:right w:val="single" w:sz="4" w:space="0" w:color="auto"/>
            </w:tcBorders>
            <w:shd w:val="clear" w:color="000000" w:fill="E2EFDA"/>
            <w:vAlign w:val="center"/>
            <w:hideMark/>
          </w:tcPr>
          <w:p w14:paraId="439C3BC0" w14:textId="77777777" w:rsidR="00CD785E" w:rsidRPr="00CD785E" w:rsidRDefault="00CD785E" w:rsidP="00CD785E">
            <w:pPr>
              <w:spacing w:after="0" w:line="240" w:lineRule="auto"/>
              <w:jc w:val="center"/>
              <w:rPr>
                <w:rFonts w:ascii="Calibri" w:eastAsia="Times New Roman" w:hAnsi="Calibri" w:cs="Calibri"/>
                <w:kern w:val="0"/>
                <w:sz w:val="22"/>
                <w:szCs w:val="22"/>
                <w:lang w:eastAsia="ja-JP"/>
                <w14:ligatures w14:val="none"/>
              </w:rPr>
            </w:pPr>
            <w:r w:rsidRPr="00CD785E">
              <w:rPr>
                <w:rFonts w:ascii="Calibri" w:eastAsia="Times New Roman" w:hAnsi="Calibri" w:cs="Calibri"/>
                <w:kern w:val="0"/>
                <w:sz w:val="22"/>
                <w:szCs w:val="22"/>
                <w:lang w:eastAsia="ja-JP"/>
                <w14:ligatures w14:val="none"/>
              </w:rPr>
              <w:t>3rd Quintile</w:t>
            </w:r>
          </w:p>
        </w:tc>
        <w:tc>
          <w:tcPr>
            <w:tcW w:w="1350" w:type="dxa"/>
            <w:tcBorders>
              <w:top w:val="nil"/>
              <w:left w:val="nil"/>
              <w:bottom w:val="single" w:sz="4" w:space="0" w:color="auto"/>
              <w:right w:val="single" w:sz="4" w:space="0" w:color="auto"/>
            </w:tcBorders>
            <w:shd w:val="clear" w:color="000000" w:fill="E2EFDA"/>
            <w:vAlign w:val="center"/>
            <w:hideMark/>
          </w:tcPr>
          <w:p w14:paraId="5BAD1375" w14:textId="77777777" w:rsidR="00CD785E" w:rsidRPr="00CD785E" w:rsidRDefault="00CD785E" w:rsidP="00CD785E">
            <w:pPr>
              <w:spacing w:after="0" w:line="240" w:lineRule="auto"/>
              <w:jc w:val="center"/>
              <w:rPr>
                <w:rFonts w:ascii="Calibri" w:eastAsia="Times New Roman" w:hAnsi="Calibri" w:cs="Calibri"/>
                <w:kern w:val="0"/>
                <w:sz w:val="22"/>
                <w:szCs w:val="22"/>
                <w:lang w:eastAsia="ja-JP"/>
                <w14:ligatures w14:val="none"/>
              </w:rPr>
            </w:pPr>
            <w:r w:rsidRPr="00CD785E">
              <w:rPr>
                <w:rFonts w:ascii="Calibri" w:eastAsia="Times New Roman" w:hAnsi="Calibri" w:cs="Calibri"/>
                <w:kern w:val="0"/>
                <w:sz w:val="22"/>
                <w:szCs w:val="22"/>
                <w:lang w:eastAsia="ja-JP"/>
                <w14:ligatures w14:val="none"/>
              </w:rPr>
              <w:t>4th Quintile</w:t>
            </w:r>
          </w:p>
        </w:tc>
        <w:tc>
          <w:tcPr>
            <w:tcW w:w="1350" w:type="dxa"/>
            <w:tcBorders>
              <w:top w:val="nil"/>
              <w:left w:val="nil"/>
              <w:bottom w:val="single" w:sz="4" w:space="0" w:color="auto"/>
              <w:right w:val="single" w:sz="4" w:space="0" w:color="auto"/>
            </w:tcBorders>
            <w:shd w:val="clear" w:color="000000" w:fill="E2EFDA"/>
            <w:vAlign w:val="center"/>
            <w:hideMark/>
          </w:tcPr>
          <w:p w14:paraId="19D06020" w14:textId="77777777" w:rsidR="00CD785E" w:rsidRPr="00CD785E" w:rsidRDefault="00CD785E" w:rsidP="00CD785E">
            <w:pPr>
              <w:spacing w:after="0" w:line="240" w:lineRule="auto"/>
              <w:jc w:val="center"/>
              <w:rPr>
                <w:rFonts w:ascii="Calibri" w:eastAsia="Times New Roman" w:hAnsi="Calibri" w:cs="Calibri"/>
                <w:kern w:val="0"/>
                <w:sz w:val="22"/>
                <w:szCs w:val="22"/>
                <w:lang w:eastAsia="ja-JP"/>
                <w14:ligatures w14:val="none"/>
              </w:rPr>
            </w:pPr>
            <w:r w:rsidRPr="00CD785E">
              <w:rPr>
                <w:rFonts w:ascii="Calibri" w:eastAsia="Times New Roman" w:hAnsi="Calibri" w:cs="Calibri"/>
                <w:kern w:val="0"/>
                <w:sz w:val="22"/>
                <w:szCs w:val="22"/>
                <w:lang w:eastAsia="ja-JP"/>
                <w14:ligatures w14:val="none"/>
              </w:rPr>
              <w:t>5th Quintile</w:t>
            </w:r>
          </w:p>
        </w:tc>
      </w:tr>
      <w:tr w:rsidR="00CD785E" w:rsidRPr="00CD785E" w14:paraId="5A60DB17" w14:textId="77777777" w:rsidTr="00CD785E">
        <w:trPr>
          <w:trHeight w:val="315"/>
        </w:trPr>
        <w:tc>
          <w:tcPr>
            <w:tcW w:w="2440" w:type="dxa"/>
            <w:tcBorders>
              <w:top w:val="nil"/>
              <w:left w:val="single" w:sz="4" w:space="0" w:color="auto"/>
              <w:bottom w:val="single" w:sz="4" w:space="0" w:color="auto"/>
              <w:right w:val="single" w:sz="4" w:space="0" w:color="auto"/>
            </w:tcBorders>
            <w:vAlign w:val="bottom"/>
            <w:hideMark/>
          </w:tcPr>
          <w:p w14:paraId="44C9D9BB" w14:textId="77777777" w:rsidR="00CD785E" w:rsidRPr="00CD785E" w:rsidRDefault="00CD785E" w:rsidP="00CD785E">
            <w:pPr>
              <w:spacing w:after="0" w:line="240" w:lineRule="auto"/>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Household Member</w:t>
            </w:r>
          </w:p>
        </w:tc>
        <w:tc>
          <w:tcPr>
            <w:tcW w:w="1320" w:type="dxa"/>
            <w:tcBorders>
              <w:top w:val="nil"/>
              <w:left w:val="nil"/>
              <w:bottom w:val="single" w:sz="4" w:space="0" w:color="auto"/>
              <w:right w:val="single" w:sz="4" w:space="0" w:color="auto"/>
            </w:tcBorders>
            <w:noWrap/>
            <w:vAlign w:val="bottom"/>
            <w:hideMark/>
          </w:tcPr>
          <w:p w14:paraId="0EB2A7F7"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455" w:type="dxa"/>
            <w:tcBorders>
              <w:top w:val="nil"/>
              <w:left w:val="nil"/>
              <w:bottom w:val="single" w:sz="4" w:space="0" w:color="auto"/>
              <w:right w:val="single" w:sz="4" w:space="0" w:color="auto"/>
            </w:tcBorders>
            <w:noWrap/>
            <w:vAlign w:val="bottom"/>
            <w:hideMark/>
          </w:tcPr>
          <w:p w14:paraId="76E257B7"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644BEF08"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501DE0F2"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254B71FE"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r>
      <w:tr w:rsidR="00CD785E" w:rsidRPr="00CD785E" w14:paraId="3ABFC48B" w14:textId="77777777" w:rsidTr="00CD785E">
        <w:trPr>
          <w:trHeight w:val="315"/>
        </w:trPr>
        <w:tc>
          <w:tcPr>
            <w:tcW w:w="2440" w:type="dxa"/>
            <w:tcBorders>
              <w:top w:val="nil"/>
              <w:left w:val="single" w:sz="4" w:space="0" w:color="auto"/>
              <w:bottom w:val="single" w:sz="4" w:space="0" w:color="auto"/>
              <w:right w:val="single" w:sz="4" w:space="0" w:color="auto"/>
            </w:tcBorders>
            <w:vAlign w:val="bottom"/>
            <w:hideMark/>
          </w:tcPr>
          <w:p w14:paraId="50C1D593" w14:textId="77777777" w:rsidR="00CD785E" w:rsidRPr="00CD785E" w:rsidRDefault="00CD785E" w:rsidP="00CD785E">
            <w:pPr>
              <w:spacing w:after="0" w:line="240" w:lineRule="auto"/>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Non-household Member</w:t>
            </w:r>
          </w:p>
        </w:tc>
        <w:tc>
          <w:tcPr>
            <w:tcW w:w="1320" w:type="dxa"/>
            <w:tcBorders>
              <w:top w:val="nil"/>
              <w:left w:val="nil"/>
              <w:bottom w:val="single" w:sz="4" w:space="0" w:color="auto"/>
              <w:right w:val="single" w:sz="4" w:space="0" w:color="auto"/>
            </w:tcBorders>
            <w:noWrap/>
            <w:vAlign w:val="bottom"/>
            <w:hideMark/>
          </w:tcPr>
          <w:p w14:paraId="372B4889"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455" w:type="dxa"/>
            <w:tcBorders>
              <w:top w:val="nil"/>
              <w:left w:val="nil"/>
              <w:bottom w:val="single" w:sz="4" w:space="0" w:color="auto"/>
              <w:right w:val="single" w:sz="4" w:space="0" w:color="auto"/>
            </w:tcBorders>
            <w:noWrap/>
            <w:vAlign w:val="bottom"/>
            <w:hideMark/>
          </w:tcPr>
          <w:p w14:paraId="128A8B56"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6810145E"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4BEA47D8"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75D3004F"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r>
      <w:tr w:rsidR="00CD785E" w:rsidRPr="00CD785E" w14:paraId="71A9F95F" w14:textId="77777777" w:rsidTr="00CD785E">
        <w:trPr>
          <w:trHeight w:val="315"/>
        </w:trPr>
        <w:tc>
          <w:tcPr>
            <w:tcW w:w="2440" w:type="dxa"/>
            <w:tcBorders>
              <w:top w:val="nil"/>
              <w:left w:val="single" w:sz="4" w:space="0" w:color="auto"/>
              <w:bottom w:val="single" w:sz="4" w:space="0" w:color="auto"/>
              <w:right w:val="single" w:sz="4" w:space="0" w:color="auto"/>
            </w:tcBorders>
            <w:vAlign w:val="bottom"/>
            <w:hideMark/>
          </w:tcPr>
          <w:p w14:paraId="69E3ED6C" w14:textId="77777777" w:rsidR="00CD785E" w:rsidRPr="00CD785E" w:rsidRDefault="00CD785E" w:rsidP="00CD785E">
            <w:pPr>
              <w:spacing w:after="0" w:line="240" w:lineRule="auto"/>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Childcare Setting</w:t>
            </w:r>
          </w:p>
        </w:tc>
        <w:tc>
          <w:tcPr>
            <w:tcW w:w="1320" w:type="dxa"/>
            <w:tcBorders>
              <w:top w:val="nil"/>
              <w:left w:val="nil"/>
              <w:bottom w:val="single" w:sz="4" w:space="0" w:color="auto"/>
              <w:right w:val="single" w:sz="4" w:space="0" w:color="auto"/>
            </w:tcBorders>
            <w:noWrap/>
            <w:vAlign w:val="bottom"/>
            <w:hideMark/>
          </w:tcPr>
          <w:p w14:paraId="68183BC6"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455" w:type="dxa"/>
            <w:tcBorders>
              <w:top w:val="nil"/>
              <w:left w:val="nil"/>
              <w:bottom w:val="single" w:sz="4" w:space="0" w:color="auto"/>
              <w:right w:val="single" w:sz="4" w:space="0" w:color="auto"/>
            </w:tcBorders>
            <w:noWrap/>
            <w:vAlign w:val="bottom"/>
            <w:hideMark/>
          </w:tcPr>
          <w:p w14:paraId="04B9F838"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6D743549"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1E2D3386"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c>
          <w:tcPr>
            <w:tcW w:w="1350" w:type="dxa"/>
            <w:tcBorders>
              <w:top w:val="nil"/>
              <w:left w:val="nil"/>
              <w:bottom w:val="single" w:sz="4" w:space="0" w:color="auto"/>
              <w:right w:val="single" w:sz="4" w:space="0" w:color="auto"/>
            </w:tcBorders>
            <w:noWrap/>
            <w:vAlign w:val="bottom"/>
            <w:hideMark/>
          </w:tcPr>
          <w:p w14:paraId="471E54DA" w14:textId="77777777" w:rsidR="00CD785E" w:rsidRPr="00CD785E" w:rsidRDefault="00CD785E" w:rsidP="00CD785E">
            <w:pPr>
              <w:spacing w:after="0" w:line="240" w:lineRule="auto"/>
              <w:ind w:firstLineChars="100" w:firstLine="220"/>
              <w:rPr>
                <w:rFonts w:ascii="Calibri" w:eastAsia="Times New Roman" w:hAnsi="Calibri" w:cs="Calibri"/>
                <w:color w:val="000000"/>
                <w:kern w:val="0"/>
                <w:sz w:val="22"/>
                <w:szCs w:val="22"/>
                <w:lang w:eastAsia="ja-JP"/>
                <w14:ligatures w14:val="none"/>
              </w:rPr>
            </w:pPr>
            <w:r w:rsidRPr="00CD785E">
              <w:rPr>
                <w:rFonts w:ascii="Calibri" w:eastAsia="Times New Roman" w:hAnsi="Calibri" w:cs="Calibri"/>
                <w:color w:val="000000"/>
                <w:kern w:val="0"/>
                <w:sz w:val="22"/>
                <w:szCs w:val="22"/>
                <w:lang w:eastAsia="ja-JP"/>
                <w14:ligatures w14:val="none"/>
              </w:rPr>
              <w:t> </w:t>
            </w:r>
          </w:p>
        </w:tc>
      </w:tr>
    </w:tbl>
    <w:p w14:paraId="6B21EAA5" w14:textId="77777777" w:rsidR="00641D59" w:rsidRDefault="00641D59" w:rsidP="001711E4"/>
    <w:p w14:paraId="769CD73F" w14:textId="454AE515" w:rsidR="0016731D" w:rsidRDefault="00E4123B" w:rsidP="0046672E">
      <w:pPr>
        <w:jc w:val="both"/>
      </w:pPr>
      <w:r w:rsidRPr="00E4123B">
        <w:t>Equally important is the visualization plan. Choosing appropriate visual formats</w:t>
      </w:r>
      <w:r w:rsidR="00D02F16">
        <w:t xml:space="preserve">, </w:t>
      </w:r>
      <w:r w:rsidRPr="00E4123B">
        <w:t xml:space="preserve">such as bar charts for categorical comparisons, pie charts for proportions, line graphs to depict trends, or </w:t>
      </w:r>
      <w:proofErr w:type="gramStart"/>
      <w:r w:rsidRPr="00E4123B">
        <w:t>heatmaps</w:t>
      </w:r>
      <w:proofErr w:type="gramEnd"/>
      <w:r w:rsidRPr="00E4123B">
        <w:t xml:space="preserve"> for geographic patterns</w:t>
      </w:r>
      <w:r w:rsidR="00D02F16">
        <w:t xml:space="preserve">, </w:t>
      </w:r>
      <w:r w:rsidRPr="00E4123B">
        <w:t>helps communicate findings effectively to both technical and non-technical audiences.</w:t>
      </w:r>
    </w:p>
    <w:p w14:paraId="21BD714C" w14:textId="4E7E7ED5" w:rsidR="00C43AF2" w:rsidRDefault="003E5E42" w:rsidP="003E5E42">
      <w:pPr>
        <w:pStyle w:val="Heading3"/>
      </w:pPr>
      <w:r>
        <w:t>2.2</w:t>
      </w:r>
      <w:r w:rsidR="000A4DAD">
        <w:t xml:space="preserve"> </w:t>
      </w:r>
      <w:r w:rsidR="005D4413">
        <w:t>Conducting</w:t>
      </w:r>
      <w:r w:rsidR="002757E5" w:rsidRPr="00FA7457">
        <w:t xml:space="preserve"> </w:t>
      </w:r>
      <w:proofErr w:type="gramStart"/>
      <w:r w:rsidR="002757E5" w:rsidRPr="00FA7457">
        <w:t>the data</w:t>
      </w:r>
      <w:proofErr w:type="gramEnd"/>
      <w:r w:rsidR="002757E5" w:rsidRPr="00FA7457">
        <w:t xml:space="preserve"> analysis</w:t>
      </w:r>
    </w:p>
    <w:p w14:paraId="6FBB537C" w14:textId="77777777" w:rsidR="00FA7457" w:rsidRDefault="00FA7457" w:rsidP="00FA7457">
      <w:pPr>
        <w:pStyle w:val="ListParagraph"/>
        <w:spacing w:after="0"/>
        <w:ind w:left="1080"/>
      </w:pPr>
    </w:p>
    <w:p w14:paraId="54A0013B" w14:textId="0D04E873" w:rsidR="00A42C41" w:rsidRPr="00486BDB" w:rsidRDefault="005D4413" w:rsidP="0046672E">
      <w:pPr>
        <w:jc w:val="both"/>
      </w:pPr>
      <w:r>
        <w:t>Conducting</w:t>
      </w:r>
      <w:r w:rsidR="00766F04">
        <w:t xml:space="preserve"> </w:t>
      </w:r>
      <w:r w:rsidR="0040766A">
        <w:t xml:space="preserve">effective </w:t>
      </w:r>
      <w:r w:rsidR="00A42C41" w:rsidRPr="002E62A5">
        <w:t xml:space="preserve">data analysis </w:t>
      </w:r>
      <w:r w:rsidR="00766F04">
        <w:t>should involve</w:t>
      </w:r>
      <w:r w:rsidR="00A42C41" w:rsidRPr="002E62A5">
        <w:t xml:space="preserve"> maintaining a well-structured file </w:t>
      </w:r>
      <w:r w:rsidR="00735D86">
        <w:t>management</w:t>
      </w:r>
      <w:r w:rsidR="00D658C7">
        <w:t xml:space="preserve"> system</w:t>
      </w:r>
      <w:r w:rsidR="00A42C41" w:rsidRPr="002E62A5">
        <w:t>, carefully documenting each step, and presenting findings in a way that ensures transparency, reproducibility, and relevance to the intended audience.</w:t>
      </w:r>
      <w:r w:rsidR="00486BDB">
        <w:t xml:space="preserve"> </w:t>
      </w:r>
      <w:r w:rsidR="00486BDB" w:rsidRPr="00486BDB">
        <w:t>It also requires responsible handling of data throughout the analytical process, including adherence to applicable data protection, confidentiality, and ethical handling requirements.</w:t>
      </w:r>
    </w:p>
    <w:p w14:paraId="0946F1B4" w14:textId="77777777" w:rsidR="00A42C41" w:rsidRPr="00FA7457" w:rsidRDefault="00A42C41" w:rsidP="00FA7457">
      <w:pPr>
        <w:pStyle w:val="ListParagraph"/>
        <w:spacing w:after="0"/>
        <w:ind w:left="1080"/>
      </w:pPr>
    </w:p>
    <w:p w14:paraId="0AD4F8E4" w14:textId="77777777" w:rsidR="004B712C" w:rsidRDefault="00D96781" w:rsidP="00253FD4">
      <w:pPr>
        <w:spacing w:after="0" w:line="276" w:lineRule="auto"/>
        <w:jc w:val="both"/>
        <w:rPr>
          <w:b/>
          <w:bCs/>
        </w:rPr>
      </w:pPr>
      <w:r w:rsidRPr="00D96781">
        <w:rPr>
          <w:b/>
          <w:bCs/>
        </w:rPr>
        <w:t>Step 1:</w:t>
      </w:r>
      <w:r w:rsidR="00671D57">
        <w:rPr>
          <w:b/>
          <w:bCs/>
        </w:rPr>
        <w:t xml:space="preserve"> Organizing your folders</w:t>
      </w:r>
    </w:p>
    <w:p w14:paraId="0F935C7E" w14:textId="77777777" w:rsidR="0020604D" w:rsidRDefault="0020604D" w:rsidP="00253FD4">
      <w:pPr>
        <w:spacing w:after="0" w:line="276" w:lineRule="auto"/>
        <w:jc w:val="both"/>
        <w:rPr>
          <w:b/>
          <w:bCs/>
        </w:rPr>
      </w:pPr>
    </w:p>
    <w:p w14:paraId="47F1C7D8" w14:textId="51DC2317" w:rsidR="0007121E" w:rsidRPr="009D51E9" w:rsidRDefault="008F572F" w:rsidP="005B0EC7">
      <w:pPr>
        <w:spacing w:after="0" w:line="276" w:lineRule="auto"/>
        <w:jc w:val="both"/>
      </w:pPr>
      <w:r>
        <w:t>Start</w:t>
      </w:r>
      <w:r w:rsidR="00D96781" w:rsidRPr="00D96781">
        <w:t xml:space="preserve"> by organizing your project with a clear folder and file structure. </w:t>
      </w:r>
      <w:r w:rsidR="00200263">
        <w:t xml:space="preserve">To ensure reproducibility, </w:t>
      </w:r>
      <w:r w:rsidR="00232C38">
        <w:t>the processed dataset</w:t>
      </w:r>
      <w:r w:rsidR="00200263">
        <w:t xml:space="preserve"> must be kept</w:t>
      </w:r>
      <w:r w:rsidR="00232C38">
        <w:t xml:space="preserve"> separate</w:t>
      </w:r>
      <w:r w:rsidR="00200263">
        <w:t>ly</w:t>
      </w:r>
      <w:r w:rsidR="00232C38">
        <w:t xml:space="preserve"> from the original dataset. </w:t>
      </w:r>
      <w:r w:rsidR="00E93BD3">
        <w:t xml:space="preserve"> C</w:t>
      </w:r>
      <w:r w:rsidR="0007121E" w:rsidRPr="009D51E9">
        <w:t>onsider these questions</w:t>
      </w:r>
      <w:r w:rsidR="0007121E">
        <w:t xml:space="preserve"> when organizing the folders</w:t>
      </w:r>
      <w:r w:rsidR="0007121E" w:rsidRPr="009D51E9">
        <w:t xml:space="preserve">: </w:t>
      </w:r>
      <w:r w:rsidR="0007121E">
        <w:t>Where will you save</w:t>
      </w:r>
      <w:r w:rsidR="0007121E" w:rsidRPr="009D51E9">
        <w:t xml:space="preserve"> your </w:t>
      </w:r>
      <w:r w:rsidR="0007121E">
        <w:t xml:space="preserve">original and processed </w:t>
      </w:r>
      <w:r w:rsidR="0007121E" w:rsidRPr="009D51E9">
        <w:t xml:space="preserve">datasets? Where will you store </w:t>
      </w:r>
      <w:r w:rsidR="002C4851">
        <w:t xml:space="preserve">the file containing your </w:t>
      </w:r>
      <w:r w:rsidR="00D66C09">
        <w:t>analytical codes</w:t>
      </w:r>
      <w:r w:rsidR="0007121E" w:rsidRPr="009D51E9">
        <w:t xml:space="preserve"> for easy </w:t>
      </w:r>
      <w:r w:rsidR="0007121E" w:rsidRPr="009D51E9">
        <w:lastRenderedPageBreak/>
        <w:t>access? Where will you save your output tables?</w:t>
      </w:r>
      <w:r w:rsidR="00AF74A3">
        <w:t xml:space="preserve"> Continuing with the example of the</w:t>
      </w:r>
      <w:r w:rsidR="00AF74A3" w:rsidRPr="00AF74A3">
        <w:t xml:space="preserve"> </w:t>
      </w:r>
      <w:r w:rsidR="00AF74A3">
        <w:t xml:space="preserve">childcare arrangements analysis, below is an </w:t>
      </w:r>
      <w:r w:rsidR="0010546E">
        <w:t xml:space="preserve">example folder structure for the study. </w:t>
      </w:r>
    </w:p>
    <w:p w14:paraId="19CF1C69" w14:textId="77777777" w:rsidR="00776BA6" w:rsidRDefault="00776BA6" w:rsidP="00253FD4">
      <w:pPr>
        <w:spacing w:after="0" w:line="276" w:lineRule="auto"/>
        <w:jc w:val="both"/>
      </w:pPr>
    </w:p>
    <w:p w14:paraId="7137256D" w14:textId="087FD89E" w:rsidR="00776BA6" w:rsidRPr="00776BA6" w:rsidRDefault="00776BA6" w:rsidP="00253FD4">
      <w:pPr>
        <w:spacing w:after="0" w:line="276" w:lineRule="auto"/>
        <w:jc w:val="both"/>
        <w:rPr>
          <w:b/>
          <w:bCs/>
        </w:rPr>
      </w:pPr>
      <w:r w:rsidRPr="00776BA6">
        <w:rPr>
          <w:b/>
          <w:bCs/>
        </w:rPr>
        <w:t xml:space="preserve">Figure </w:t>
      </w:r>
      <w:r w:rsidR="00DB45B7">
        <w:rPr>
          <w:b/>
          <w:bCs/>
        </w:rPr>
        <w:t>2</w:t>
      </w:r>
    </w:p>
    <w:p w14:paraId="5FA7226E" w14:textId="39FE4395" w:rsidR="00776BA6" w:rsidRPr="00776BA6" w:rsidRDefault="00776BA6" w:rsidP="00253FD4">
      <w:pPr>
        <w:spacing w:after="0" w:line="276" w:lineRule="auto"/>
        <w:jc w:val="both"/>
        <w:rPr>
          <w:b/>
          <w:bCs/>
        </w:rPr>
      </w:pPr>
      <w:r w:rsidRPr="00776BA6">
        <w:rPr>
          <w:b/>
          <w:bCs/>
        </w:rPr>
        <w:t>Folder structure</w:t>
      </w:r>
    </w:p>
    <w:p w14:paraId="425D6C78" w14:textId="6FAA3D1F" w:rsidR="00A503A5" w:rsidRDefault="00A427B7" w:rsidP="00253FD4">
      <w:pPr>
        <w:spacing w:after="0" w:line="276" w:lineRule="auto"/>
        <w:jc w:val="both"/>
      </w:pPr>
      <w:r w:rsidRPr="00B57718">
        <w:rPr>
          <w:rFonts w:cstheme="minorHAnsi"/>
          <w:noProof/>
        </w:rPr>
        <w:drawing>
          <wp:inline distT="0" distB="0" distL="0" distR="0" wp14:anchorId="70F7D235" wp14:editId="25DB10B1">
            <wp:extent cx="5175250" cy="3136900"/>
            <wp:effectExtent l="38100" t="0" r="1016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5041134" w14:textId="77777777" w:rsidR="00A503A5" w:rsidRPr="00D96781" w:rsidRDefault="00A503A5" w:rsidP="00253FD4">
      <w:pPr>
        <w:spacing w:after="0" w:line="276" w:lineRule="auto"/>
        <w:jc w:val="both"/>
      </w:pPr>
    </w:p>
    <w:p w14:paraId="2D051EF4" w14:textId="77777777" w:rsidR="00162951" w:rsidRPr="00D96781" w:rsidRDefault="00162951" w:rsidP="00253FD4">
      <w:pPr>
        <w:spacing w:after="0" w:line="276" w:lineRule="auto"/>
        <w:jc w:val="both"/>
      </w:pPr>
    </w:p>
    <w:p w14:paraId="2D7A7E75" w14:textId="55B29B37" w:rsidR="00C70697" w:rsidRDefault="00D96781" w:rsidP="00253FD4">
      <w:pPr>
        <w:spacing w:after="0" w:line="276" w:lineRule="auto"/>
        <w:jc w:val="both"/>
        <w:rPr>
          <w:b/>
          <w:bCs/>
        </w:rPr>
      </w:pPr>
      <w:r w:rsidRPr="00D96781">
        <w:rPr>
          <w:b/>
          <w:bCs/>
        </w:rPr>
        <w:t xml:space="preserve">Step </w:t>
      </w:r>
      <w:r w:rsidR="00225359">
        <w:rPr>
          <w:b/>
          <w:bCs/>
        </w:rPr>
        <w:t>2</w:t>
      </w:r>
      <w:r w:rsidRPr="00D96781">
        <w:rPr>
          <w:b/>
          <w:bCs/>
        </w:rPr>
        <w:t>: Analysis</w:t>
      </w:r>
      <w:r w:rsidR="0066269A">
        <w:rPr>
          <w:b/>
          <w:bCs/>
        </w:rPr>
        <w:t xml:space="preserve"> and Documentation</w:t>
      </w:r>
    </w:p>
    <w:p w14:paraId="3B656FE4" w14:textId="03DF6F0F" w:rsidR="00834908" w:rsidRPr="00834908" w:rsidRDefault="00834908" w:rsidP="00834908">
      <w:r w:rsidRPr="00834908">
        <w:t xml:space="preserve">The analysis plan should be followed, and all variable transformations and calculations must be documented to ensure transparency and reproducibility. Regardless of the statistical software </w:t>
      </w:r>
      <w:r w:rsidR="00290E6E">
        <w:t>used</w:t>
      </w:r>
      <w:r w:rsidRPr="00834908">
        <w:t xml:space="preserve"> for data analysis, detailed records of the analytical steps taken are essential. For instance, in Stata, analytical codes are saved in do-files.</w:t>
      </w:r>
    </w:p>
    <w:p w14:paraId="1F89C711" w14:textId="77777777" w:rsidR="00881231" w:rsidRPr="00881231" w:rsidRDefault="00881231" w:rsidP="00881231">
      <w:r w:rsidRPr="0075015D">
        <w:t>Documentation should meet minimum standards to support verifiability. At a minimum, analytical scripts and associated metadata should capture:</w:t>
      </w:r>
    </w:p>
    <w:p w14:paraId="03A6A9E7" w14:textId="77777777" w:rsidR="00881231" w:rsidRPr="00881231" w:rsidRDefault="00881231" w:rsidP="00881231">
      <w:pPr>
        <w:numPr>
          <w:ilvl w:val="0"/>
          <w:numId w:val="11"/>
        </w:numPr>
      </w:pPr>
      <w:r w:rsidRPr="00881231">
        <w:t>A description of each variable derivation, including the source variables, the transformation logic, and any assumptions applied.</w:t>
      </w:r>
    </w:p>
    <w:p w14:paraId="2BD0A46A" w14:textId="77777777" w:rsidR="00881231" w:rsidRPr="00881231" w:rsidRDefault="00881231" w:rsidP="00881231">
      <w:pPr>
        <w:numPr>
          <w:ilvl w:val="0"/>
          <w:numId w:val="11"/>
        </w:numPr>
      </w:pPr>
      <w:r w:rsidRPr="00881231">
        <w:t>The weighting algorithm used, including the name of the weight variable, the survey design specification (e.g., strata and cluster identifiers), and any adjustments made.</w:t>
      </w:r>
    </w:p>
    <w:p w14:paraId="7E403166" w14:textId="77777777" w:rsidR="00881231" w:rsidRPr="00881231" w:rsidRDefault="00881231" w:rsidP="00881231">
      <w:pPr>
        <w:numPr>
          <w:ilvl w:val="0"/>
          <w:numId w:val="11"/>
        </w:numPr>
      </w:pPr>
      <w:r w:rsidRPr="00881231">
        <w:t>Any sampling corrections or post-stratification adjustments.</w:t>
      </w:r>
    </w:p>
    <w:p w14:paraId="7FB40D69" w14:textId="77777777" w:rsidR="00881231" w:rsidRPr="00881231" w:rsidRDefault="00881231" w:rsidP="00881231">
      <w:pPr>
        <w:numPr>
          <w:ilvl w:val="0"/>
          <w:numId w:val="11"/>
        </w:numPr>
      </w:pPr>
      <w:r w:rsidRPr="00881231">
        <w:t>The software version and key package or ado-file versions used.</w:t>
      </w:r>
    </w:p>
    <w:p w14:paraId="397382FC" w14:textId="77777777" w:rsidR="00881231" w:rsidRPr="00881231" w:rsidRDefault="00881231" w:rsidP="00881231">
      <w:pPr>
        <w:numPr>
          <w:ilvl w:val="0"/>
          <w:numId w:val="11"/>
        </w:numPr>
      </w:pPr>
      <w:r w:rsidRPr="00881231">
        <w:lastRenderedPageBreak/>
        <w:t>Dates of data extraction or data version identifiers, so that results can be traced back to a specific data vintage.</w:t>
      </w:r>
    </w:p>
    <w:p w14:paraId="1F74D18B" w14:textId="75B3021E" w:rsidR="00881231" w:rsidRPr="00881231" w:rsidRDefault="00881231" w:rsidP="00AB56F0">
      <w:pPr>
        <w:jc w:val="both"/>
      </w:pPr>
      <w:r w:rsidRPr="00881231">
        <w:t>Version control should be used throughout the analytical process. Maintaining an audit trail of script revisions</w:t>
      </w:r>
      <w:r w:rsidR="00181833">
        <w:t>,</w:t>
      </w:r>
      <w:r w:rsidRPr="00881231">
        <w:t xml:space="preserve"> for example through Git or a comparable version control system</w:t>
      </w:r>
      <w:r w:rsidR="00181833">
        <w:t>,</w:t>
      </w:r>
      <w:r w:rsidRPr="00881231">
        <w:t xml:space="preserve"> enables analysts and reviewers to track changes, understand when and why decisions were made, and support verification by others. Any corrections or material revisions to a </w:t>
      </w:r>
      <w:proofErr w:type="gramStart"/>
      <w:r w:rsidRPr="00881231">
        <w:t>completed</w:t>
      </w:r>
      <w:proofErr w:type="gramEnd"/>
      <w:r w:rsidRPr="00881231">
        <w:t xml:space="preserve"> analysis should also be documented, with a clear record of what changed and why.</w:t>
      </w:r>
    </w:p>
    <w:p w14:paraId="5F978CB9" w14:textId="77777777" w:rsidR="00881231" w:rsidRPr="00881231" w:rsidRDefault="00881231" w:rsidP="00AB56F0">
      <w:pPr>
        <w:jc w:val="both"/>
      </w:pPr>
      <w:r w:rsidRPr="00881231">
        <w:t>The World Bank maintains institutional resources to support reproducibility, including a repository for reproducible research scripts and associated metadata standards for documentation. Analysts are encouraged to consult these resources when preparing their analytical packages.</w:t>
      </w:r>
    </w:p>
    <w:p w14:paraId="53FE7D22" w14:textId="1C3473CD" w:rsidR="00881231" w:rsidRPr="00881231" w:rsidRDefault="00881231" w:rsidP="00AB56F0">
      <w:pPr>
        <w:jc w:val="both"/>
      </w:pPr>
      <w:r w:rsidRPr="00881231">
        <w:t xml:space="preserve">Analytical </w:t>
      </w:r>
      <w:proofErr w:type="gramStart"/>
      <w:r w:rsidRPr="00881231">
        <w:t>outputs</w:t>
      </w:r>
      <w:proofErr w:type="gramEnd"/>
      <w:r w:rsidRPr="00881231">
        <w:t xml:space="preserve"> should be subject to formal review before dissemination. This includes peer review of key methodological choices</w:t>
      </w:r>
      <w:r w:rsidR="0020094B">
        <w:t xml:space="preserve">, </w:t>
      </w:r>
      <w:r w:rsidRPr="00881231">
        <w:t>including weighting, variable construction, and analytical method selection</w:t>
      </w:r>
      <w:r w:rsidR="0020094B">
        <w:t xml:space="preserve">, </w:t>
      </w:r>
      <w:r w:rsidRPr="00881231">
        <w:t>to reduce the risk of erroneous estimates, misapplication of weights, or use of inappropriate methods.</w:t>
      </w:r>
    </w:p>
    <w:p w14:paraId="003BB3AE" w14:textId="2146257E" w:rsidR="00C70697" w:rsidRDefault="00C70697" w:rsidP="00253FD4">
      <w:pPr>
        <w:spacing w:after="0" w:line="276" w:lineRule="auto"/>
        <w:jc w:val="both"/>
      </w:pPr>
    </w:p>
    <w:p w14:paraId="6DC0B06F" w14:textId="03A5AA44" w:rsidR="009219DD" w:rsidRDefault="004B712C" w:rsidP="00253FD4">
      <w:pPr>
        <w:spacing w:after="0" w:line="276" w:lineRule="auto"/>
        <w:jc w:val="both"/>
        <w:rPr>
          <w:b/>
          <w:bCs/>
        </w:rPr>
      </w:pPr>
      <w:r w:rsidRPr="00F83689">
        <w:rPr>
          <w:b/>
          <w:bCs/>
        </w:rPr>
        <w:t>Step 3:</w:t>
      </w:r>
      <w:r w:rsidR="007353A2" w:rsidRPr="00F83689">
        <w:rPr>
          <w:b/>
          <w:bCs/>
        </w:rPr>
        <w:t xml:space="preserve"> </w:t>
      </w:r>
      <w:r w:rsidR="00C70EB3">
        <w:rPr>
          <w:b/>
          <w:bCs/>
        </w:rPr>
        <w:t>Presenting results</w:t>
      </w:r>
    </w:p>
    <w:p w14:paraId="0AFA6A55" w14:textId="61AD6AA5" w:rsidR="00206FB4" w:rsidRDefault="00206FB4" w:rsidP="00206FB4">
      <w:r w:rsidRPr="00206FB4">
        <w:t xml:space="preserve">When the analysis is completed, it is crucial to present the results in a format that aligns with the needs and expectations of the intended audience. This may involve preparing comprehensive documents such as detailed technical reports, concise policy briefs, or scholarly academic papers. The choice of format should be guided by the tabulation and visualization plans developed during the analysis </w:t>
      </w:r>
      <w:r w:rsidR="003F367C">
        <w:t xml:space="preserve">planning </w:t>
      </w:r>
      <w:r w:rsidRPr="00206FB4">
        <w:t>phase, ensuring that the presentation of findings is both clear and impactful.</w:t>
      </w:r>
    </w:p>
    <w:p w14:paraId="5EDFBFEF" w14:textId="77777777" w:rsidR="00206FB4" w:rsidRDefault="00206FB4" w:rsidP="00206FB4">
      <w:r w:rsidRPr="00206FB4">
        <w:t>For example, a detailed report might include in-depth tables, charts, and narrative explanations suitable for technical readers or stakeholders who require a thorough understanding of the data and methods. Policy briefs, on the other hand, should distill key findings and recommendations into an accessible summary, using straightforward language and prominent visuals to facilitate quick decision-making by policymakers. Academic papers typically require rigorous methodological detail, comprehensive literature references, and precise data presentation, following the conventions of scholarly publishing.</w:t>
      </w:r>
    </w:p>
    <w:p w14:paraId="22859932" w14:textId="77777777" w:rsidR="003018CC" w:rsidRDefault="00206FB4" w:rsidP="00206FB4">
      <w:r w:rsidRPr="00206FB4">
        <w:t xml:space="preserve">Regardless of the format, it is important to tailor the content, level of detail, and style of visualizations to the audience’s familiarity with the data and the questions they are likely to have. Clear documentation </w:t>
      </w:r>
      <w:proofErr w:type="gramStart"/>
      <w:r w:rsidRPr="00206FB4">
        <w:t>of</w:t>
      </w:r>
      <w:proofErr w:type="gramEnd"/>
      <w:r w:rsidRPr="00206FB4">
        <w:t xml:space="preserve"> analytical steps and transparent presentation of results will help ensure that the findings are both credible and useful. Engaging visuals</w:t>
      </w:r>
      <w:r w:rsidR="00930BBC">
        <w:t xml:space="preserve">, </w:t>
      </w:r>
      <w:r w:rsidRPr="00206FB4">
        <w:t xml:space="preserve">such as </w:t>
      </w:r>
      <w:r w:rsidRPr="00206FB4">
        <w:lastRenderedPageBreak/>
        <w:t>graphs, infographics, and summary tables</w:t>
      </w:r>
      <w:r w:rsidR="00930BBC">
        <w:t xml:space="preserve">, </w:t>
      </w:r>
      <w:r w:rsidRPr="00206FB4">
        <w:t>should be used to highlight patterns, trends, and key takeaways.</w:t>
      </w:r>
    </w:p>
    <w:p w14:paraId="553C82F6" w14:textId="70731A37" w:rsidR="00D63E5D" w:rsidRPr="00D63E5D" w:rsidRDefault="00D63E5D" w:rsidP="00D63E5D">
      <w:r w:rsidRPr="00D63E5D">
        <w:t>All analytical outputs</w:t>
      </w:r>
      <w:r>
        <w:t xml:space="preserve">, </w:t>
      </w:r>
      <w:r w:rsidRPr="00D63E5D">
        <w:t>regardless of format or audience</w:t>
      </w:r>
      <w:r>
        <w:t xml:space="preserve">, </w:t>
      </w:r>
      <w:r w:rsidRPr="00D63E5D">
        <w:t>should include a dedicated section on data quality, limitations, and caveats. This section should:</w:t>
      </w:r>
    </w:p>
    <w:p w14:paraId="0D790B6F" w14:textId="77777777" w:rsidR="00D63E5D" w:rsidRPr="00D63E5D" w:rsidRDefault="00D63E5D" w:rsidP="00D63E5D">
      <w:pPr>
        <w:numPr>
          <w:ilvl w:val="0"/>
          <w:numId w:val="12"/>
        </w:numPr>
      </w:pPr>
      <w:r w:rsidRPr="00D63E5D">
        <w:t>Disclose any material data quality issues identified during the analysis, such as high rates of item non-response, unit non-response, known sampling frame gaps, or measurement concerns.</w:t>
      </w:r>
    </w:p>
    <w:p w14:paraId="77B862A9" w14:textId="77777777" w:rsidR="00D63E5D" w:rsidRPr="00D63E5D" w:rsidRDefault="00D63E5D" w:rsidP="00D63E5D">
      <w:pPr>
        <w:numPr>
          <w:ilvl w:val="0"/>
          <w:numId w:val="12"/>
        </w:numPr>
      </w:pPr>
      <w:r w:rsidRPr="00D63E5D">
        <w:t>Describe the known limitations of the analytical methods chosen, including any assumptions required and conditions under which findings may not generalize.</w:t>
      </w:r>
    </w:p>
    <w:p w14:paraId="77ADD637" w14:textId="77777777" w:rsidR="00D63E5D" w:rsidRPr="00D63E5D" w:rsidRDefault="00D63E5D" w:rsidP="00D63E5D">
      <w:pPr>
        <w:numPr>
          <w:ilvl w:val="0"/>
          <w:numId w:val="12"/>
        </w:numPr>
      </w:pPr>
      <w:r w:rsidRPr="00D63E5D">
        <w:t xml:space="preserve">Note any known or potential sources of </w:t>
      </w:r>
      <w:proofErr w:type="gramStart"/>
      <w:r w:rsidRPr="00D63E5D">
        <w:t>bias, and</w:t>
      </w:r>
      <w:proofErr w:type="gramEnd"/>
      <w:r w:rsidRPr="00D63E5D">
        <w:t xml:space="preserve"> explain how they were addressed or mitigated.</w:t>
      </w:r>
    </w:p>
    <w:p w14:paraId="630000AD" w14:textId="49FE8492" w:rsidR="00D63E5D" w:rsidRPr="00D63E5D" w:rsidRDefault="00D63E5D" w:rsidP="00D63E5D">
      <w:pPr>
        <w:numPr>
          <w:ilvl w:val="0"/>
          <w:numId w:val="12"/>
        </w:numPr>
      </w:pPr>
      <w:r w:rsidRPr="00D63E5D">
        <w:t>Reference any revisions or corrections made to previously published versions of the analysis, with a brief explanation of what changed.</w:t>
      </w:r>
    </w:p>
    <w:p w14:paraId="1226E111" w14:textId="4C50CF14" w:rsidR="00D63E5D" w:rsidRPr="00D63E5D" w:rsidRDefault="00D63E5D" w:rsidP="00D63E5D">
      <w:r w:rsidRPr="00D63E5D">
        <w:t>Analysts should also note that the institution's Access to Information Policy</w:t>
      </w:r>
      <w:r w:rsidR="00352AB8">
        <w:t xml:space="preserve">, </w:t>
      </w:r>
      <w:r w:rsidRPr="00D63E5D">
        <w:t>and equivalent policies in other organizations</w:t>
      </w:r>
      <w:r w:rsidR="00352AB8">
        <w:t xml:space="preserve">, </w:t>
      </w:r>
      <w:r w:rsidRPr="00D63E5D">
        <w:t>may govern what analytical outputs can be shared publicly, with whom, and under what conditions. Outputs should be prepared with awareness of these obligations.</w:t>
      </w:r>
    </w:p>
    <w:p w14:paraId="1E99555F" w14:textId="77777777" w:rsidR="0086409A" w:rsidRPr="00BF5117" w:rsidRDefault="0086409A" w:rsidP="0086409A">
      <w:pPr>
        <w:rPr>
          <w:b/>
          <w:bCs/>
        </w:rPr>
      </w:pPr>
      <w:r w:rsidRPr="00BF5117">
        <w:rPr>
          <w:b/>
          <w:bCs/>
        </w:rPr>
        <w:t>Step 4: Data archiving and dissemination</w:t>
      </w:r>
    </w:p>
    <w:p w14:paraId="7B6CE8F6" w14:textId="77777777" w:rsidR="0086409A" w:rsidRPr="0086409A" w:rsidRDefault="0086409A" w:rsidP="00BF5117">
      <w:pPr>
        <w:jc w:val="both"/>
      </w:pPr>
      <w:r w:rsidRPr="0086409A">
        <w:t>Following the completion of analysis and dissemination of outputs, the underlying data and analytical materials should be deposited in an appropriate institutional repository in accordance with the institution's Development Data Archiving and Dissemination Procedure. Key requirements under this procedure include:</w:t>
      </w:r>
    </w:p>
    <w:p w14:paraId="1C322233" w14:textId="77777777" w:rsidR="0086409A" w:rsidRPr="0086409A" w:rsidRDefault="0086409A" w:rsidP="00BF5117">
      <w:pPr>
        <w:numPr>
          <w:ilvl w:val="0"/>
          <w:numId w:val="13"/>
        </w:numPr>
        <w:jc w:val="both"/>
      </w:pPr>
      <w:r w:rsidRPr="0086409A">
        <w:t>Depositing data within the timelines specified by the applicable procedure.</w:t>
      </w:r>
    </w:p>
    <w:p w14:paraId="4A56C9AE" w14:textId="77777777" w:rsidR="0086409A" w:rsidRPr="0086409A" w:rsidRDefault="0086409A" w:rsidP="00BF5117">
      <w:pPr>
        <w:numPr>
          <w:ilvl w:val="0"/>
          <w:numId w:val="13"/>
        </w:numPr>
        <w:jc w:val="both"/>
      </w:pPr>
      <w:r w:rsidRPr="0086409A">
        <w:t>Including complete metadata, covering the survey instrument, sampling design, weighting approach, variable definitions, and analytical code.</w:t>
      </w:r>
    </w:p>
    <w:p w14:paraId="7E83F92A" w14:textId="77777777" w:rsidR="0086409A" w:rsidRPr="0086409A" w:rsidRDefault="0086409A" w:rsidP="00BF5117">
      <w:pPr>
        <w:numPr>
          <w:ilvl w:val="0"/>
          <w:numId w:val="13"/>
        </w:numPr>
        <w:jc w:val="both"/>
      </w:pPr>
      <w:r w:rsidRPr="0086409A">
        <w:t xml:space="preserve">Ensuring that data </w:t>
      </w:r>
      <w:proofErr w:type="gramStart"/>
      <w:r w:rsidRPr="0086409A">
        <w:t>are</w:t>
      </w:r>
      <w:proofErr w:type="gramEnd"/>
      <w:r w:rsidRPr="0086409A">
        <w:t xml:space="preserve"> managed for long-term preservation and future dissemination, including appropriate access controls where confidential data are involved.</w:t>
      </w:r>
    </w:p>
    <w:p w14:paraId="7A5BA3EE" w14:textId="27FAC21C" w:rsidR="00D63E5D" w:rsidRDefault="0086409A" w:rsidP="00BF5117">
      <w:pPr>
        <w:jc w:val="both"/>
      </w:pPr>
      <w:r w:rsidRPr="0086409A">
        <w:t>Timely archiving supports future replication, enables others to build on completed work, and fulfills institutional accountability obligations. Analysts should familiarize themselves with the applicable archiving requirements early in the project cycle.</w:t>
      </w:r>
    </w:p>
    <w:p w14:paraId="0C776C11" w14:textId="77777777" w:rsidR="00F72CEF" w:rsidRDefault="00F72CEF" w:rsidP="00BF5117">
      <w:pPr>
        <w:jc w:val="both"/>
      </w:pPr>
    </w:p>
    <w:p w14:paraId="0765BCA8" w14:textId="1FC95390" w:rsidR="00CB7B64" w:rsidRDefault="009F21B9" w:rsidP="00BF5117">
      <w:pPr>
        <w:jc w:val="both"/>
      </w:pPr>
      <w:r w:rsidRPr="009F21B9">
        <w:lastRenderedPageBreak/>
        <w:t>Implementing data analysis in a research project involves a systematic approach to organizing files, documenting analytical steps, and presenting results effectively. By establishing a clear folder structure and maintaining detailed records of data transformations, researchers can ensure transparency and reproducibility throughout the process. Careful planning and tailored presentation of findings are essential for producing credible and actionable insights that meet the needs of diverse audiences.</w:t>
      </w:r>
      <w:r w:rsidR="00CE73EE">
        <w:t xml:space="preserve"> </w:t>
      </w:r>
      <w:r w:rsidR="00CE73EE" w:rsidRPr="00CE73EE">
        <w:t>Adherence to institutional standards for documentation, data quality disclosure, responsible data management, and archiving further ensures that analytical work contributes to a verifiable, coherent, and comparable body of evidence over time.</w:t>
      </w:r>
    </w:p>
    <w:p w14:paraId="591A8A33" w14:textId="77777777" w:rsidR="0054617A" w:rsidRDefault="0054617A" w:rsidP="002400A8">
      <w:pPr>
        <w:spacing w:after="0" w:line="276" w:lineRule="auto"/>
        <w:jc w:val="both"/>
      </w:pPr>
    </w:p>
    <w:p w14:paraId="16A8BCB2" w14:textId="77777777" w:rsidR="009408FB" w:rsidRDefault="009408FB" w:rsidP="00253FD4">
      <w:pPr>
        <w:spacing w:after="0" w:line="276" w:lineRule="auto"/>
      </w:pPr>
    </w:p>
    <w:p w14:paraId="5712FAD8" w14:textId="3FD2CCAC" w:rsidR="00201F4A" w:rsidRDefault="00201F4A" w:rsidP="00CD785E">
      <w:pPr>
        <w:pStyle w:val="Heading2"/>
        <w:numPr>
          <w:ilvl w:val="0"/>
          <w:numId w:val="5"/>
        </w:numPr>
        <w:spacing w:before="0" w:after="0" w:line="276" w:lineRule="auto"/>
      </w:pPr>
      <w:r>
        <w:t>References</w:t>
      </w:r>
    </w:p>
    <w:p w14:paraId="312692E9" w14:textId="3F9FEDB0" w:rsidR="00186120" w:rsidRPr="00CF3042" w:rsidRDefault="009D5F5A" w:rsidP="00253FD4">
      <w:pPr>
        <w:spacing w:after="0" w:line="276" w:lineRule="auto"/>
        <w:ind w:left="720" w:hanging="720"/>
        <w:rPr>
          <w:lang w:val="es-SV"/>
        </w:rPr>
      </w:pPr>
      <w:r w:rsidRPr="000374E2">
        <w:t>Bennett</w:t>
      </w:r>
      <w:r>
        <w:t>,</w:t>
      </w:r>
      <w:r w:rsidRPr="000374E2">
        <w:t xml:space="preserve"> C</w:t>
      </w:r>
      <w:r>
        <w:t>.</w:t>
      </w:r>
      <w:r w:rsidRPr="000374E2">
        <w:t>, Khangura</w:t>
      </w:r>
      <w:r>
        <w:t>,</w:t>
      </w:r>
      <w:r w:rsidRPr="000374E2">
        <w:t xml:space="preserve"> S</w:t>
      </w:r>
      <w:r>
        <w:t>.</w:t>
      </w:r>
      <w:r w:rsidRPr="000374E2">
        <w:t>, Brehaut</w:t>
      </w:r>
      <w:r>
        <w:t>,</w:t>
      </w:r>
      <w:r w:rsidRPr="000374E2">
        <w:t xml:space="preserve"> J</w:t>
      </w:r>
      <w:r>
        <w:t xml:space="preserve">. </w:t>
      </w:r>
      <w:r w:rsidRPr="000374E2">
        <w:t>C</w:t>
      </w:r>
      <w:r>
        <w:t>.</w:t>
      </w:r>
      <w:r w:rsidRPr="000374E2">
        <w:t>, Graham</w:t>
      </w:r>
      <w:r>
        <w:t>,</w:t>
      </w:r>
      <w:r w:rsidRPr="000374E2">
        <w:t xml:space="preserve"> I</w:t>
      </w:r>
      <w:r>
        <w:t xml:space="preserve">. </w:t>
      </w:r>
      <w:r w:rsidRPr="000374E2">
        <w:t>D</w:t>
      </w:r>
      <w:r>
        <w:t>.</w:t>
      </w:r>
      <w:r w:rsidRPr="000374E2">
        <w:t>, Moher</w:t>
      </w:r>
      <w:r>
        <w:t>,</w:t>
      </w:r>
      <w:r w:rsidRPr="000374E2">
        <w:t xml:space="preserve"> D</w:t>
      </w:r>
      <w:r>
        <w:t>.</w:t>
      </w:r>
      <w:r w:rsidRPr="000374E2">
        <w:t>, Potter</w:t>
      </w:r>
      <w:r>
        <w:t>,</w:t>
      </w:r>
      <w:r w:rsidRPr="000374E2">
        <w:t xml:space="preserve"> B</w:t>
      </w:r>
      <w:r>
        <w:t xml:space="preserve">. </w:t>
      </w:r>
      <w:r w:rsidRPr="000374E2">
        <w:t xml:space="preserve">K, et al. (2011) Reporting Guidelines for Survey Research: An Analysis of Published Guidance and Reporting Practices. </w:t>
      </w:r>
      <w:proofErr w:type="spellStart"/>
      <w:r w:rsidRPr="00CF3042">
        <w:rPr>
          <w:lang w:val="es-SV"/>
        </w:rPr>
        <w:t>PLoS</w:t>
      </w:r>
      <w:proofErr w:type="spellEnd"/>
      <w:r w:rsidRPr="00CF3042">
        <w:rPr>
          <w:lang w:val="es-SV"/>
        </w:rPr>
        <w:t xml:space="preserve"> Med 8(8): e1001069. </w:t>
      </w:r>
      <w:hyperlink r:id="rId13" w:history="1">
        <w:r w:rsidRPr="00CF3042">
          <w:rPr>
            <w:rStyle w:val="Hyperlink"/>
            <w:lang w:val="es-SV"/>
          </w:rPr>
          <w:t>https://doi.org/10.1371/journal.pmed.1001069</w:t>
        </w:r>
      </w:hyperlink>
    </w:p>
    <w:p w14:paraId="37BEBE46" w14:textId="64329E61" w:rsidR="00143460" w:rsidRPr="00143460" w:rsidRDefault="00143460" w:rsidP="00253FD4">
      <w:pPr>
        <w:spacing w:after="0" w:line="276" w:lineRule="auto"/>
        <w:ind w:left="720" w:hanging="720"/>
      </w:pPr>
      <w:r w:rsidRPr="00CF3042">
        <w:rPr>
          <w:lang w:val="es-SV"/>
        </w:rPr>
        <w:t>Deaton, A. (2018). </w:t>
      </w:r>
      <w:r w:rsidRPr="00143460">
        <w:rPr>
          <w:i/>
          <w:iCs/>
        </w:rPr>
        <w:t xml:space="preserve">The </w:t>
      </w:r>
      <w:r>
        <w:rPr>
          <w:i/>
          <w:iCs/>
        </w:rPr>
        <w:t>A</w:t>
      </w:r>
      <w:r w:rsidRPr="00143460">
        <w:rPr>
          <w:i/>
          <w:iCs/>
        </w:rPr>
        <w:t>nalysis of</w:t>
      </w:r>
      <w:r>
        <w:rPr>
          <w:i/>
          <w:iCs/>
        </w:rPr>
        <w:t xml:space="preserve"> H</w:t>
      </w:r>
      <w:r w:rsidRPr="00143460">
        <w:rPr>
          <w:i/>
          <w:iCs/>
        </w:rPr>
        <w:t xml:space="preserve">ousehold </w:t>
      </w:r>
      <w:r>
        <w:rPr>
          <w:i/>
          <w:iCs/>
        </w:rPr>
        <w:t>S</w:t>
      </w:r>
      <w:r w:rsidRPr="00143460">
        <w:rPr>
          <w:i/>
          <w:iCs/>
        </w:rPr>
        <w:t xml:space="preserve">urveys: A </w:t>
      </w:r>
      <w:proofErr w:type="spellStart"/>
      <w:r>
        <w:rPr>
          <w:i/>
          <w:iCs/>
        </w:rPr>
        <w:t>M</w:t>
      </w:r>
      <w:r w:rsidRPr="00143460">
        <w:rPr>
          <w:i/>
          <w:iCs/>
        </w:rPr>
        <w:t>icroeconometric</w:t>
      </w:r>
      <w:proofErr w:type="spellEnd"/>
      <w:r w:rsidRPr="00143460">
        <w:rPr>
          <w:i/>
          <w:iCs/>
        </w:rPr>
        <w:t xml:space="preserve"> </w:t>
      </w:r>
      <w:r>
        <w:rPr>
          <w:i/>
          <w:iCs/>
        </w:rPr>
        <w:t>A</w:t>
      </w:r>
      <w:r w:rsidRPr="00143460">
        <w:rPr>
          <w:i/>
          <w:iCs/>
        </w:rPr>
        <w:t xml:space="preserve">pproach to </w:t>
      </w:r>
      <w:r>
        <w:rPr>
          <w:i/>
          <w:iCs/>
        </w:rPr>
        <w:t>D</w:t>
      </w:r>
      <w:r w:rsidRPr="00143460">
        <w:rPr>
          <w:i/>
          <w:iCs/>
        </w:rPr>
        <w:t xml:space="preserve">evelopment </w:t>
      </w:r>
      <w:r>
        <w:rPr>
          <w:i/>
          <w:iCs/>
        </w:rPr>
        <w:t>P</w:t>
      </w:r>
      <w:r w:rsidRPr="00143460">
        <w:rPr>
          <w:i/>
          <w:iCs/>
        </w:rPr>
        <w:t>olicy</w:t>
      </w:r>
      <w:r w:rsidRPr="00143460">
        <w:t> (Reissue ed.). Washington, DC: World Bank. https://doi.org/10.1596/978-1-4648-1331-3</w:t>
      </w:r>
    </w:p>
    <w:p w14:paraId="7D70D745" w14:textId="103F3A82" w:rsidR="00CD5A67" w:rsidRPr="00CD5A67" w:rsidRDefault="00CD5A67" w:rsidP="00253FD4">
      <w:pPr>
        <w:spacing w:after="0" w:line="276" w:lineRule="auto"/>
        <w:ind w:left="720" w:hanging="720"/>
      </w:pPr>
      <w:proofErr w:type="spellStart"/>
      <w:r w:rsidRPr="00CF3042">
        <w:t>Draugalis</w:t>
      </w:r>
      <w:proofErr w:type="spellEnd"/>
      <w:r w:rsidRPr="00CF3042">
        <w:t xml:space="preserve">, J. R., Coons, S. J., &amp; Plaza, C. M. (2008). </w:t>
      </w:r>
      <w:r w:rsidRPr="000A4BAE">
        <w:t>Best practices for survey research reports: a synopsis for authors and reviewers. </w:t>
      </w:r>
      <w:r w:rsidRPr="000A4BAE">
        <w:rPr>
          <w:i/>
          <w:iCs/>
        </w:rPr>
        <w:t>American journal of pharmaceutical education</w:t>
      </w:r>
      <w:r w:rsidRPr="000A4BAE">
        <w:t>, </w:t>
      </w:r>
      <w:r w:rsidRPr="000A4BAE">
        <w:rPr>
          <w:i/>
          <w:iCs/>
        </w:rPr>
        <w:t>72</w:t>
      </w:r>
      <w:r w:rsidRPr="000A4BAE">
        <w:t>(1).</w:t>
      </w:r>
      <w:r>
        <w:t xml:space="preserve"> </w:t>
      </w:r>
      <w:hyperlink r:id="rId14" w:tgtFrame="_blank" w:tooltip="Persistent link using digital object identifier" w:history="1">
        <w:r w:rsidRPr="002B19D7">
          <w:rPr>
            <w:rStyle w:val="Hyperlink"/>
          </w:rPr>
          <w:t>https://doi.org/10.5688/aj720111</w:t>
        </w:r>
      </w:hyperlink>
    </w:p>
    <w:p w14:paraId="7A8E3DFE" w14:textId="77777777" w:rsidR="00CD45A4" w:rsidRPr="00F3317E" w:rsidRDefault="00CD45A4" w:rsidP="00CD45A4">
      <w:r w:rsidRPr="00F3317E">
        <w:t>Groves, R. M., Fowler, F. J., Couper, M. P., Lepkowski, J. M., Singer, E., &amp; Tourangeau, R. (2009). Survey Methodology (2nd Edition). Wiley.</w:t>
      </w:r>
    </w:p>
    <w:p w14:paraId="52EE0263" w14:textId="6A0B4456" w:rsidR="001B6E42" w:rsidRPr="001B6E42" w:rsidRDefault="00072C32" w:rsidP="00253FD4">
      <w:pPr>
        <w:spacing w:after="0" w:line="276" w:lineRule="auto"/>
        <w:ind w:left="720" w:hanging="720"/>
      </w:pPr>
      <w:r w:rsidRPr="00072C32">
        <w:t xml:space="preserve">Hill, J., </w:t>
      </w:r>
      <w:proofErr w:type="spellStart"/>
      <w:r w:rsidRPr="00072C32">
        <w:t>Chuko</w:t>
      </w:r>
      <w:proofErr w:type="spellEnd"/>
      <w:r w:rsidRPr="00072C32">
        <w:t>, J., Ogle, K., Gottlieb, M., Santen, S. A., &amp; Artino, A. R., Jr (2024). Best practices for reporting survey-based research. </w:t>
      </w:r>
      <w:r w:rsidRPr="006A5926">
        <w:t>AEM education and training</w:t>
      </w:r>
      <w:r w:rsidRPr="00072C32">
        <w:t>, </w:t>
      </w:r>
      <w:r w:rsidRPr="006A5926">
        <w:t>8</w:t>
      </w:r>
      <w:r w:rsidRPr="00072C32">
        <w:t xml:space="preserve">(1), e10929. </w:t>
      </w:r>
      <w:r w:rsidRPr="006A5926">
        <w:rPr>
          <w:rStyle w:val="Hyperlink"/>
        </w:rPr>
        <w:t>https://doi.org/10.1002/aet2.10929</w:t>
      </w:r>
    </w:p>
    <w:p w14:paraId="48FC3FF7" w14:textId="77777777" w:rsidR="00CD45A4" w:rsidRDefault="00CD45A4" w:rsidP="00CD45A4">
      <w:r w:rsidRPr="00F3317E">
        <w:t>Lohr, S. L. (2019). Sampling: Design and Analysis (2nd Edition). Chapman &amp; Hall/CRC.</w:t>
      </w:r>
    </w:p>
    <w:p w14:paraId="39C2B969" w14:textId="6D2FDA20" w:rsidR="00267BBE" w:rsidRDefault="001A665F" w:rsidP="00253FD4">
      <w:pPr>
        <w:spacing w:after="0" w:line="276" w:lineRule="auto"/>
        <w:ind w:left="720" w:hanging="720"/>
        <w:rPr>
          <w:rStyle w:val="Hyperlink"/>
        </w:rPr>
      </w:pPr>
      <w:r w:rsidRPr="001A665F">
        <w:t>Sharma, A., Minh Duc, N., Luu Lam Thang, T. </w:t>
      </w:r>
      <w:r w:rsidRPr="006A5926">
        <w:t>et al.</w:t>
      </w:r>
      <w:r w:rsidRPr="001A665F">
        <w:t> </w:t>
      </w:r>
      <w:r>
        <w:t xml:space="preserve">(2021). </w:t>
      </w:r>
      <w:r w:rsidRPr="001A665F">
        <w:t>A Consensus-Based Checklist for Reporting of Survey Studies (CROSS). </w:t>
      </w:r>
      <w:r w:rsidRPr="006A5926">
        <w:t>J GEN INTERN MED</w:t>
      </w:r>
      <w:r w:rsidRPr="001A665F">
        <w:t> </w:t>
      </w:r>
      <w:r w:rsidRPr="006A5926">
        <w:t>36</w:t>
      </w:r>
      <w:r w:rsidRPr="001A665F">
        <w:t xml:space="preserve">, 3179–3187. </w:t>
      </w:r>
      <w:hyperlink r:id="rId15" w:history="1">
        <w:r w:rsidR="004F2FF1" w:rsidRPr="00637C73">
          <w:rPr>
            <w:rStyle w:val="Hyperlink"/>
          </w:rPr>
          <w:t>https://doi.org/10.1007/s11606-021-06737-1</w:t>
        </w:r>
      </w:hyperlink>
    </w:p>
    <w:p w14:paraId="4338D585" w14:textId="77777777" w:rsidR="00267BBE" w:rsidRDefault="00267BBE" w:rsidP="00253FD4">
      <w:pPr>
        <w:spacing w:after="0" w:line="276" w:lineRule="auto"/>
        <w:ind w:left="720" w:hanging="720"/>
      </w:pPr>
    </w:p>
    <w:p w14:paraId="12F92714" w14:textId="77777777" w:rsidR="00D72165" w:rsidRDefault="00D72165" w:rsidP="00253FD4">
      <w:pPr>
        <w:spacing w:after="0" w:line="276" w:lineRule="auto"/>
        <w:ind w:left="720" w:hanging="720"/>
      </w:pPr>
    </w:p>
    <w:p w14:paraId="334F23BC" w14:textId="77777777" w:rsidR="00D72165" w:rsidRDefault="00D72165" w:rsidP="00253FD4">
      <w:pPr>
        <w:spacing w:after="0" w:line="276" w:lineRule="auto"/>
        <w:ind w:left="720" w:hanging="720"/>
      </w:pPr>
    </w:p>
    <w:p w14:paraId="46475265" w14:textId="77777777" w:rsidR="000A4CED" w:rsidRDefault="000A4CED" w:rsidP="0090356F">
      <w:pPr>
        <w:spacing w:after="0" w:line="276" w:lineRule="auto"/>
      </w:pPr>
    </w:p>
    <w:sectPr w:rsidR="000A4CED">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E8650" w14:textId="77777777" w:rsidR="009771FA" w:rsidRDefault="009771FA" w:rsidP="00F87957">
      <w:pPr>
        <w:spacing w:after="0" w:line="240" w:lineRule="auto"/>
      </w:pPr>
      <w:r>
        <w:separator/>
      </w:r>
    </w:p>
  </w:endnote>
  <w:endnote w:type="continuationSeparator" w:id="0">
    <w:p w14:paraId="67D631B3" w14:textId="77777777" w:rsidR="009771FA" w:rsidRDefault="009771FA" w:rsidP="00F87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510D" w14:textId="49F36273" w:rsidR="00F87957" w:rsidRDefault="00F87957">
    <w:pPr>
      <w:pStyle w:val="Footer"/>
    </w:pPr>
    <w:r>
      <w:rPr>
        <w:noProof/>
      </w:rPr>
      <mc:AlternateContent>
        <mc:Choice Requires="wps">
          <w:drawing>
            <wp:anchor distT="0" distB="0" distL="0" distR="0" simplePos="0" relativeHeight="251658241" behindDoc="0" locked="0" layoutInCell="1" allowOverlap="1" wp14:anchorId="1914C234" wp14:editId="07A234E8">
              <wp:simplePos x="635" y="635"/>
              <wp:positionH relativeFrom="page">
                <wp:align>right</wp:align>
              </wp:positionH>
              <wp:positionV relativeFrom="page">
                <wp:align>bottom</wp:align>
              </wp:positionV>
              <wp:extent cx="1102995" cy="370205"/>
              <wp:effectExtent l="0" t="0" r="0" b="0"/>
              <wp:wrapNone/>
              <wp:docPr id="169895368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55EFCBF9" w14:textId="6B70E433" w:rsidR="00F87957" w:rsidRPr="00F87957" w:rsidRDefault="00F87957" w:rsidP="00F87957">
                          <w:pPr>
                            <w:spacing w:after="0"/>
                            <w:rPr>
                              <w:rFonts w:ascii="Calibri" w:eastAsia="Calibri" w:hAnsi="Calibri" w:cs="Calibri"/>
                              <w:noProof/>
                              <w:color w:val="000000"/>
                              <w:sz w:val="20"/>
                              <w:szCs w:val="20"/>
                            </w:rPr>
                          </w:pPr>
                          <w:r w:rsidRPr="00F87957">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914C234" id="_x0000_t202" coordsize="21600,21600" o:spt="202" path="m,l,21600r21600,l21600,xe">
              <v:stroke joinstyle="miter"/>
              <v:path gradientshapeok="t" o:connecttype="rect"/>
            </v:shapetype>
            <v:shape id="Text Box 2" o:spid="_x0000_s1026" type="#_x0000_t202" alt="Official Use Only" style="position:absolute;margin-left:35.65pt;margin-top:0;width:86.8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55EFCBF9" w14:textId="6B70E433" w:rsidR="00F87957" w:rsidRPr="00F87957" w:rsidRDefault="00F87957" w:rsidP="00F87957">
                    <w:pPr>
                      <w:spacing w:after="0"/>
                      <w:rPr>
                        <w:rFonts w:ascii="Calibri" w:eastAsia="Calibri" w:hAnsi="Calibri" w:cs="Calibri"/>
                        <w:noProof/>
                        <w:color w:val="000000"/>
                        <w:sz w:val="20"/>
                        <w:szCs w:val="20"/>
                      </w:rPr>
                    </w:pPr>
                    <w:r w:rsidRPr="00F87957">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283634"/>
      <w:docPartObj>
        <w:docPartGallery w:val="Page Numbers (Bottom of Page)"/>
        <w:docPartUnique/>
      </w:docPartObj>
    </w:sdtPr>
    <w:sdtEndPr>
      <w:rPr>
        <w:noProof/>
      </w:rPr>
    </w:sdtEndPr>
    <w:sdtContent>
      <w:p w14:paraId="406A7266" w14:textId="204CB844" w:rsidR="00E77847" w:rsidRDefault="00E77847" w:rsidP="00253FD4">
        <w:pPr>
          <w:pStyle w:val="Footer"/>
          <w:jc w:val="right"/>
        </w:pPr>
        <w:r w:rsidRPr="00253FD4">
          <w:rPr>
            <w:rFonts w:ascii="Calibri" w:hAnsi="Calibri" w:cs="Calibri"/>
            <w:sz w:val="22"/>
            <w:szCs w:val="22"/>
          </w:rPr>
          <w:fldChar w:fldCharType="begin"/>
        </w:r>
        <w:r w:rsidRPr="00253FD4">
          <w:rPr>
            <w:rFonts w:ascii="Calibri" w:hAnsi="Calibri" w:cs="Calibri"/>
            <w:sz w:val="22"/>
            <w:szCs w:val="22"/>
          </w:rPr>
          <w:instrText xml:space="preserve"> PAGE   \* MERGEFORMAT </w:instrText>
        </w:r>
        <w:r w:rsidRPr="00253FD4">
          <w:rPr>
            <w:rFonts w:ascii="Calibri" w:hAnsi="Calibri" w:cs="Calibri"/>
            <w:sz w:val="22"/>
            <w:szCs w:val="22"/>
          </w:rPr>
          <w:fldChar w:fldCharType="separate"/>
        </w:r>
        <w:r w:rsidRPr="00253FD4">
          <w:rPr>
            <w:rFonts w:ascii="Calibri" w:hAnsi="Calibri" w:cs="Calibri"/>
            <w:noProof/>
            <w:sz w:val="22"/>
            <w:szCs w:val="22"/>
          </w:rPr>
          <w:t>2</w:t>
        </w:r>
        <w:r w:rsidRPr="00253FD4">
          <w:rPr>
            <w:rFonts w:ascii="Calibri" w:hAnsi="Calibri" w:cs="Calibri"/>
            <w:noProof/>
            <w:sz w:val="22"/>
            <w:szCs w:val="22"/>
          </w:rPr>
          <w:fldChar w:fldCharType="end"/>
        </w:r>
      </w:p>
    </w:sdtContent>
  </w:sdt>
  <w:p w14:paraId="73205E67" w14:textId="410D906D" w:rsidR="00F87957" w:rsidRDefault="00F879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FAEF" w14:textId="2B63E98D" w:rsidR="00F87957" w:rsidRDefault="00F87957">
    <w:pPr>
      <w:pStyle w:val="Footer"/>
    </w:pPr>
    <w:r>
      <w:rPr>
        <w:noProof/>
      </w:rPr>
      <mc:AlternateContent>
        <mc:Choice Requires="wps">
          <w:drawing>
            <wp:anchor distT="0" distB="0" distL="0" distR="0" simplePos="0" relativeHeight="251658240" behindDoc="0" locked="0" layoutInCell="1" allowOverlap="1" wp14:anchorId="3303956C" wp14:editId="6E8EA936">
              <wp:simplePos x="635" y="635"/>
              <wp:positionH relativeFrom="page">
                <wp:align>right</wp:align>
              </wp:positionH>
              <wp:positionV relativeFrom="page">
                <wp:align>bottom</wp:align>
              </wp:positionV>
              <wp:extent cx="1102995" cy="370205"/>
              <wp:effectExtent l="0" t="0" r="0" b="0"/>
              <wp:wrapNone/>
              <wp:docPr id="109453024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03275F20" w14:textId="1878F55E" w:rsidR="00F87957" w:rsidRPr="00F87957" w:rsidRDefault="00F87957" w:rsidP="00F87957">
                          <w:pPr>
                            <w:spacing w:after="0"/>
                            <w:rPr>
                              <w:rFonts w:ascii="Calibri" w:eastAsia="Calibri" w:hAnsi="Calibri" w:cs="Calibri"/>
                              <w:noProof/>
                              <w:color w:val="000000"/>
                              <w:sz w:val="20"/>
                              <w:szCs w:val="20"/>
                            </w:rPr>
                          </w:pPr>
                          <w:r w:rsidRPr="00F87957">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03956C" id="_x0000_t202" coordsize="21600,21600" o:spt="202" path="m,l,21600r21600,l21600,xe">
              <v:stroke joinstyle="miter"/>
              <v:path gradientshapeok="t" o:connecttype="rect"/>
            </v:shapetype>
            <v:shape id="Text Box 1" o:spid="_x0000_s1027"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03275F20" w14:textId="1878F55E" w:rsidR="00F87957" w:rsidRPr="00F87957" w:rsidRDefault="00F87957" w:rsidP="00F87957">
                    <w:pPr>
                      <w:spacing w:after="0"/>
                      <w:rPr>
                        <w:rFonts w:ascii="Calibri" w:eastAsia="Calibri" w:hAnsi="Calibri" w:cs="Calibri"/>
                        <w:noProof/>
                        <w:color w:val="000000"/>
                        <w:sz w:val="20"/>
                        <w:szCs w:val="20"/>
                      </w:rPr>
                    </w:pPr>
                    <w:r w:rsidRPr="00F87957">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1B1B" w14:textId="77777777" w:rsidR="009771FA" w:rsidRDefault="009771FA" w:rsidP="00F87957">
      <w:pPr>
        <w:spacing w:after="0" w:line="240" w:lineRule="auto"/>
      </w:pPr>
      <w:r>
        <w:separator/>
      </w:r>
    </w:p>
  </w:footnote>
  <w:footnote w:type="continuationSeparator" w:id="0">
    <w:p w14:paraId="626F098F" w14:textId="77777777" w:rsidR="009771FA" w:rsidRDefault="009771FA" w:rsidP="00F87957">
      <w:pPr>
        <w:spacing w:after="0" w:line="240" w:lineRule="auto"/>
      </w:pPr>
      <w:r>
        <w:continuationSeparator/>
      </w:r>
    </w:p>
  </w:footnote>
  <w:footnote w:id="1">
    <w:p w14:paraId="63EC437F" w14:textId="43253466" w:rsidR="00BD7B86" w:rsidRPr="00BD7B86" w:rsidRDefault="00BD7B86" w:rsidP="00BD7B86">
      <w:pPr>
        <w:rPr>
          <w:sz w:val="18"/>
          <w:szCs w:val="18"/>
        </w:rPr>
      </w:pPr>
      <w:r w:rsidRPr="00BD7B86">
        <w:rPr>
          <w:rStyle w:val="FootnoteReference"/>
          <w:sz w:val="18"/>
          <w:szCs w:val="18"/>
        </w:rPr>
        <w:footnoteRef/>
      </w:r>
      <w:r w:rsidRPr="00BD7B86">
        <w:rPr>
          <w:sz w:val="18"/>
          <w:szCs w:val="18"/>
        </w:rPr>
        <w:t xml:space="preserve"> Reproducibility refers to the ability of an independent researcher or analyst to obtain the same results using the same data and analysis procedures as those originally employed. It requires that all steps—from data processing to statistical analysis—are documented and accessible so that the results can be duplicated exactly. Reproducibility is fundamental in scientific research and data analysis, as it helps ensure transparency and trust in the findings.</w:t>
      </w:r>
      <w:r w:rsidR="004F2FF1">
        <w:rPr>
          <w:sz w:val="18"/>
          <w:szCs w:val="18"/>
        </w:rPr>
        <w:t xml:space="preserve"> (</w:t>
      </w:r>
      <w:r w:rsidR="004F2FF1" w:rsidRPr="004F2FF1">
        <w:rPr>
          <w:sz w:val="18"/>
          <w:szCs w:val="18"/>
        </w:rPr>
        <w:t>Lohr, S. L.</w:t>
      </w:r>
      <w:r w:rsidR="004F2FF1">
        <w:rPr>
          <w:sz w:val="18"/>
          <w:szCs w:val="18"/>
        </w:rPr>
        <w:t xml:space="preserve">, </w:t>
      </w:r>
      <w:r w:rsidR="004F2FF1" w:rsidRPr="004F2FF1">
        <w:rPr>
          <w:sz w:val="18"/>
          <w:szCs w:val="18"/>
        </w:rPr>
        <w:t>2019)</w:t>
      </w:r>
    </w:p>
    <w:p w14:paraId="3E7871DB" w14:textId="79E649AE" w:rsidR="00BD7B86" w:rsidRPr="00BD7B86" w:rsidRDefault="00BD7B86">
      <w:pPr>
        <w:pStyle w:val="FootnoteText"/>
        <w:rPr>
          <w:sz w:val="12"/>
          <w:szCs w:val="12"/>
        </w:rPr>
      </w:pPr>
    </w:p>
  </w:footnote>
  <w:footnote w:id="2">
    <w:p w14:paraId="3E22A123" w14:textId="1BDD7A15" w:rsidR="00BD7B86" w:rsidRPr="00BD7B86" w:rsidRDefault="00BD7B86" w:rsidP="00BD7B86">
      <w:pPr>
        <w:rPr>
          <w:sz w:val="18"/>
          <w:szCs w:val="18"/>
        </w:rPr>
      </w:pPr>
      <w:r w:rsidRPr="00BD7B86">
        <w:rPr>
          <w:rStyle w:val="FootnoteReference"/>
          <w:sz w:val="18"/>
          <w:szCs w:val="18"/>
        </w:rPr>
        <w:footnoteRef/>
      </w:r>
      <w:r w:rsidRPr="00BD7B86">
        <w:rPr>
          <w:sz w:val="18"/>
          <w:szCs w:val="18"/>
        </w:rPr>
        <w:t xml:space="preserve"> Replicability is the degree to which consistent results are achieved when a study or analysis is repeated under similar conditions, but often with new data or different samples. Unlike reproducibility, which focuses on duplicating the same findings with the same dataset, replicability tests the broader validity of the conclusions by applying the research methods elsewhere. High replicability demonstrates that the findings are not specific to one </w:t>
      </w:r>
      <w:proofErr w:type="gramStart"/>
      <w:r w:rsidRPr="00BD7B86">
        <w:rPr>
          <w:sz w:val="18"/>
          <w:szCs w:val="18"/>
        </w:rPr>
        <w:t>particular dataset</w:t>
      </w:r>
      <w:proofErr w:type="gramEnd"/>
      <w:r w:rsidRPr="00BD7B86">
        <w:rPr>
          <w:sz w:val="18"/>
          <w:szCs w:val="18"/>
        </w:rPr>
        <w:t xml:space="preserve"> and can be generalized </w:t>
      </w:r>
      <w:proofErr w:type="gramStart"/>
      <w:r w:rsidRPr="00BD7B86">
        <w:rPr>
          <w:sz w:val="18"/>
          <w:szCs w:val="18"/>
        </w:rPr>
        <w:t>to</w:t>
      </w:r>
      <w:proofErr w:type="gramEnd"/>
      <w:r w:rsidRPr="00BD7B86">
        <w:rPr>
          <w:sz w:val="18"/>
          <w:szCs w:val="18"/>
        </w:rPr>
        <w:t xml:space="preserve"> a wider context.</w:t>
      </w:r>
      <w:r w:rsidR="004F2FF1">
        <w:rPr>
          <w:sz w:val="18"/>
          <w:szCs w:val="18"/>
        </w:rPr>
        <w:t xml:space="preserve"> (</w:t>
      </w:r>
      <w:r w:rsidR="004F2FF1" w:rsidRPr="004F2FF1">
        <w:rPr>
          <w:sz w:val="18"/>
          <w:szCs w:val="18"/>
        </w:rPr>
        <w:t xml:space="preserve">Groves, R. M., </w:t>
      </w:r>
      <w:r w:rsidR="004F2FF1">
        <w:rPr>
          <w:sz w:val="18"/>
          <w:szCs w:val="18"/>
        </w:rPr>
        <w:t>et al</w:t>
      </w:r>
      <w:r w:rsidR="002C4DAD">
        <w:rPr>
          <w:sz w:val="18"/>
          <w:szCs w:val="18"/>
        </w:rPr>
        <w:t xml:space="preserve">, </w:t>
      </w:r>
      <w:r w:rsidR="004F2FF1" w:rsidRPr="004F2FF1">
        <w:rPr>
          <w:sz w:val="18"/>
          <w:szCs w:val="18"/>
        </w:rPr>
        <w:t>2009)</w:t>
      </w:r>
    </w:p>
    <w:p w14:paraId="311F643C" w14:textId="518C8BAA" w:rsidR="00BD7B86" w:rsidRDefault="00BD7B86">
      <w:pPr>
        <w:pStyle w:val="FootnoteText"/>
      </w:pPr>
    </w:p>
  </w:footnote>
  <w:footnote w:id="3">
    <w:p w14:paraId="7739E761" w14:textId="43AD36A4" w:rsidR="004032E2" w:rsidRDefault="004032E2">
      <w:pPr>
        <w:pStyle w:val="FootnoteText"/>
      </w:pPr>
      <w:r>
        <w:rPr>
          <w:rStyle w:val="FootnoteReference"/>
        </w:rPr>
        <w:footnoteRef/>
      </w:r>
      <w:r>
        <w:t xml:space="preserve"> </w:t>
      </w:r>
      <w:r w:rsidR="00AE4A2A">
        <w:t xml:space="preserve">This may not be applicable in a small-scale non-representative study.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FFB"/>
    <w:multiLevelType w:val="hybridMultilevel"/>
    <w:tmpl w:val="648E0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A24D7"/>
    <w:multiLevelType w:val="hybridMultilevel"/>
    <w:tmpl w:val="FD2AD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D6F57"/>
    <w:multiLevelType w:val="multilevel"/>
    <w:tmpl w:val="4992F5F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435581A"/>
    <w:multiLevelType w:val="hybridMultilevel"/>
    <w:tmpl w:val="649AE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602BD"/>
    <w:multiLevelType w:val="multilevel"/>
    <w:tmpl w:val="95F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534FB"/>
    <w:multiLevelType w:val="hybridMultilevel"/>
    <w:tmpl w:val="7530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BF27AE"/>
    <w:multiLevelType w:val="hybridMultilevel"/>
    <w:tmpl w:val="E50A6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9F183A"/>
    <w:multiLevelType w:val="hybridMultilevel"/>
    <w:tmpl w:val="B7B672DC"/>
    <w:lvl w:ilvl="0" w:tplc="8EFE25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E166CD"/>
    <w:multiLevelType w:val="multilevel"/>
    <w:tmpl w:val="48C8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716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CBB676D"/>
    <w:multiLevelType w:val="hybridMultilevel"/>
    <w:tmpl w:val="3488A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028CB"/>
    <w:multiLevelType w:val="multilevel"/>
    <w:tmpl w:val="81A2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C35B5"/>
    <w:multiLevelType w:val="multilevel"/>
    <w:tmpl w:val="33F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593926">
    <w:abstractNumId w:val="7"/>
  </w:num>
  <w:num w:numId="2" w16cid:durableId="70546059">
    <w:abstractNumId w:val="0"/>
  </w:num>
  <w:num w:numId="3" w16cid:durableId="590625102">
    <w:abstractNumId w:val="1"/>
  </w:num>
  <w:num w:numId="4" w16cid:durableId="1298337596">
    <w:abstractNumId w:val="3"/>
  </w:num>
  <w:num w:numId="5" w16cid:durableId="1408839702">
    <w:abstractNumId w:val="9"/>
  </w:num>
  <w:num w:numId="6" w16cid:durableId="503790329">
    <w:abstractNumId w:val="5"/>
  </w:num>
  <w:num w:numId="7" w16cid:durableId="194931340">
    <w:abstractNumId w:val="6"/>
  </w:num>
  <w:num w:numId="8" w16cid:durableId="1560557004">
    <w:abstractNumId w:val="2"/>
  </w:num>
  <w:num w:numId="9" w16cid:durableId="365524729">
    <w:abstractNumId w:val="10"/>
  </w:num>
  <w:num w:numId="10" w16cid:durableId="1243949932">
    <w:abstractNumId w:val="12"/>
  </w:num>
  <w:num w:numId="11" w16cid:durableId="1615942827">
    <w:abstractNumId w:val="4"/>
  </w:num>
  <w:num w:numId="12" w16cid:durableId="601841976">
    <w:abstractNumId w:val="8"/>
  </w:num>
  <w:num w:numId="13" w16cid:durableId="61390074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57"/>
    <w:rsid w:val="00001953"/>
    <w:rsid w:val="00001EC3"/>
    <w:rsid w:val="00003E33"/>
    <w:rsid w:val="00006EBE"/>
    <w:rsid w:val="00007816"/>
    <w:rsid w:val="00007CD5"/>
    <w:rsid w:val="00010300"/>
    <w:rsid w:val="00012CCA"/>
    <w:rsid w:val="00013092"/>
    <w:rsid w:val="0001577D"/>
    <w:rsid w:val="000161E8"/>
    <w:rsid w:val="00016272"/>
    <w:rsid w:val="000169D7"/>
    <w:rsid w:val="00017D7F"/>
    <w:rsid w:val="0002038F"/>
    <w:rsid w:val="00020C26"/>
    <w:rsid w:val="00021097"/>
    <w:rsid w:val="00021607"/>
    <w:rsid w:val="00021CED"/>
    <w:rsid w:val="00022E84"/>
    <w:rsid w:val="00022EAF"/>
    <w:rsid w:val="000300D0"/>
    <w:rsid w:val="00030421"/>
    <w:rsid w:val="000306E4"/>
    <w:rsid w:val="00031076"/>
    <w:rsid w:val="00032395"/>
    <w:rsid w:val="00034CA5"/>
    <w:rsid w:val="00036F1D"/>
    <w:rsid w:val="000372D0"/>
    <w:rsid w:val="00037549"/>
    <w:rsid w:val="00040005"/>
    <w:rsid w:val="00041A57"/>
    <w:rsid w:val="00042740"/>
    <w:rsid w:val="000431B9"/>
    <w:rsid w:val="00043CBB"/>
    <w:rsid w:val="00046E89"/>
    <w:rsid w:val="00047B2F"/>
    <w:rsid w:val="000507B0"/>
    <w:rsid w:val="00052A9D"/>
    <w:rsid w:val="0005303F"/>
    <w:rsid w:val="0005374C"/>
    <w:rsid w:val="00053958"/>
    <w:rsid w:val="00054BA8"/>
    <w:rsid w:val="00055530"/>
    <w:rsid w:val="00055B27"/>
    <w:rsid w:val="00055C7A"/>
    <w:rsid w:val="00056794"/>
    <w:rsid w:val="000569B4"/>
    <w:rsid w:val="00056C6D"/>
    <w:rsid w:val="00060E84"/>
    <w:rsid w:val="00060F5E"/>
    <w:rsid w:val="00062B78"/>
    <w:rsid w:val="00063676"/>
    <w:rsid w:val="0006493D"/>
    <w:rsid w:val="00065382"/>
    <w:rsid w:val="000661C8"/>
    <w:rsid w:val="00067F13"/>
    <w:rsid w:val="0007121E"/>
    <w:rsid w:val="00071608"/>
    <w:rsid w:val="00072C32"/>
    <w:rsid w:val="00073FC4"/>
    <w:rsid w:val="00074EE7"/>
    <w:rsid w:val="00080F93"/>
    <w:rsid w:val="000818CA"/>
    <w:rsid w:val="000833CE"/>
    <w:rsid w:val="00083848"/>
    <w:rsid w:val="00083E2E"/>
    <w:rsid w:val="0008595F"/>
    <w:rsid w:val="0008617A"/>
    <w:rsid w:val="00086385"/>
    <w:rsid w:val="00086490"/>
    <w:rsid w:val="000865AC"/>
    <w:rsid w:val="000920E9"/>
    <w:rsid w:val="00093DA2"/>
    <w:rsid w:val="00095694"/>
    <w:rsid w:val="000A04F0"/>
    <w:rsid w:val="000A096E"/>
    <w:rsid w:val="000A1C87"/>
    <w:rsid w:val="000A2102"/>
    <w:rsid w:val="000A33AF"/>
    <w:rsid w:val="000A46B4"/>
    <w:rsid w:val="000A4CED"/>
    <w:rsid w:val="000A4DAD"/>
    <w:rsid w:val="000A6581"/>
    <w:rsid w:val="000A66C2"/>
    <w:rsid w:val="000A6BB0"/>
    <w:rsid w:val="000A6F2D"/>
    <w:rsid w:val="000B138B"/>
    <w:rsid w:val="000B2CC7"/>
    <w:rsid w:val="000B31A9"/>
    <w:rsid w:val="000B6140"/>
    <w:rsid w:val="000B7DFD"/>
    <w:rsid w:val="000C0391"/>
    <w:rsid w:val="000C0A09"/>
    <w:rsid w:val="000C16E1"/>
    <w:rsid w:val="000C27EF"/>
    <w:rsid w:val="000C3D7D"/>
    <w:rsid w:val="000C40CE"/>
    <w:rsid w:val="000C43C4"/>
    <w:rsid w:val="000C4599"/>
    <w:rsid w:val="000C53AB"/>
    <w:rsid w:val="000C5B9B"/>
    <w:rsid w:val="000C6D0E"/>
    <w:rsid w:val="000C7DEE"/>
    <w:rsid w:val="000D0686"/>
    <w:rsid w:val="000D07E3"/>
    <w:rsid w:val="000D0A4B"/>
    <w:rsid w:val="000D1596"/>
    <w:rsid w:val="000D19C3"/>
    <w:rsid w:val="000D24F7"/>
    <w:rsid w:val="000D3AE7"/>
    <w:rsid w:val="000D3F57"/>
    <w:rsid w:val="000D54F4"/>
    <w:rsid w:val="000D56D9"/>
    <w:rsid w:val="000D68EA"/>
    <w:rsid w:val="000E05F2"/>
    <w:rsid w:val="000E1BA6"/>
    <w:rsid w:val="000E1F15"/>
    <w:rsid w:val="000E2762"/>
    <w:rsid w:val="000E3230"/>
    <w:rsid w:val="000E3BAD"/>
    <w:rsid w:val="000E4634"/>
    <w:rsid w:val="000E5A3F"/>
    <w:rsid w:val="000E79DE"/>
    <w:rsid w:val="000F1D6D"/>
    <w:rsid w:val="000F2CFC"/>
    <w:rsid w:val="000F3E3C"/>
    <w:rsid w:val="000F47F6"/>
    <w:rsid w:val="000F6E7E"/>
    <w:rsid w:val="001006EB"/>
    <w:rsid w:val="0010314B"/>
    <w:rsid w:val="001046E0"/>
    <w:rsid w:val="0010546E"/>
    <w:rsid w:val="00106162"/>
    <w:rsid w:val="001078B2"/>
    <w:rsid w:val="0011641F"/>
    <w:rsid w:val="00117976"/>
    <w:rsid w:val="00117CE3"/>
    <w:rsid w:val="00120546"/>
    <w:rsid w:val="001215B7"/>
    <w:rsid w:val="001227F7"/>
    <w:rsid w:val="00124F21"/>
    <w:rsid w:val="001254F6"/>
    <w:rsid w:val="00125749"/>
    <w:rsid w:val="00125D00"/>
    <w:rsid w:val="0012748E"/>
    <w:rsid w:val="00130F2B"/>
    <w:rsid w:val="00133513"/>
    <w:rsid w:val="001348E6"/>
    <w:rsid w:val="0013599B"/>
    <w:rsid w:val="00137C0A"/>
    <w:rsid w:val="001428AC"/>
    <w:rsid w:val="0014330B"/>
    <w:rsid w:val="00143460"/>
    <w:rsid w:val="001444BB"/>
    <w:rsid w:val="00146117"/>
    <w:rsid w:val="00146463"/>
    <w:rsid w:val="0015107E"/>
    <w:rsid w:val="00151A8B"/>
    <w:rsid w:val="00151B6F"/>
    <w:rsid w:val="00152C26"/>
    <w:rsid w:val="00154B0A"/>
    <w:rsid w:val="00154E34"/>
    <w:rsid w:val="00154EF7"/>
    <w:rsid w:val="0016043C"/>
    <w:rsid w:val="0016124E"/>
    <w:rsid w:val="00162951"/>
    <w:rsid w:val="0016590C"/>
    <w:rsid w:val="00166767"/>
    <w:rsid w:val="00166B89"/>
    <w:rsid w:val="0016731D"/>
    <w:rsid w:val="001673F2"/>
    <w:rsid w:val="001711E4"/>
    <w:rsid w:val="00171721"/>
    <w:rsid w:val="00172C38"/>
    <w:rsid w:val="00175EB0"/>
    <w:rsid w:val="001768BE"/>
    <w:rsid w:val="00176BBF"/>
    <w:rsid w:val="00180305"/>
    <w:rsid w:val="0018131D"/>
    <w:rsid w:val="00181833"/>
    <w:rsid w:val="00182510"/>
    <w:rsid w:val="00184410"/>
    <w:rsid w:val="00186120"/>
    <w:rsid w:val="00191758"/>
    <w:rsid w:val="00192324"/>
    <w:rsid w:val="00192357"/>
    <w:rsid w:val="00194618"/>
    <w:rsid w:val="00194FB7"/>
    <w:rsid w:val="0019697B"/>
    <w:rsid w:val="001A075C"/>
    <w:rsid w:val="001A287B"/>
    <w:rsid w:val="001A2EE0"/>
    <w:rsid w:val="001A3CF1"/>
    <w:rsid w:val="001A4E29"/>
    <w:rsid w:val="001A665F"/>
    <w:rsid w:val="001A6823"/>
    <w:rsid w:val="001B1CE1"/>
    <w:rsid w:val="001B4CB9"/>
    <w:rsid w:val="001B6E42"/>
    <w:rsid w:val="001B72C1"/>
    <w:rsid w:val="001B7F28"/>
    <w:rsid w:val="001C0F8B"/>
    <w:rsid w:val="001C2494"/>
    <w:rsid w:val="001C28F2"/>
    <w:rsid w:val="001C312C"/>
    <w:rsid w:val="001C4153"/>
    <w:rsid w:val="001C423D"/>
    <w:rsid w:val="001C60DC"/>
    <w:rsid w:val="001D0058"/>
    <w:rsid w:val="001D3D1F"/>
    <w:rsid w:val="001D52EE"/>
    <w:rsid w:val="001D5989"/>
    <w:rsid w:val="001D62AA"/>
    <w:rsid w:val="001E2612"/>
    <w:rsid w:val="001E2F82"/>
    <w:rsid w:val="001E56AA"/>
    <w:rsid w:val="001E5DA9"/>
    <w:rsid w:val="001E6A0A"/>
    <w:rsid w:val="001E6E4E"/>
    <w:rsid w:val="001F1EF8"/>
    <w:rsid w:val="001F2141"/>
    <w:rsid w:val="001F4D50"/>
    <w:rsid w:val="001F53CD"/>
    <w:rsid w:val="001F6884"/>
    <w:rsid w:val="00200263"/>
    <w:rsid w:val="0020094B"/>
    <w:rsid w:val="002010F9"/>
    <w:rsid w:val="00201F4A"/>
    <w:rsid w:val="00204F33"/>
    <w:rsid w:val="002050C2"/>
    <w:rsid w:val="002054D6"/>
    <w:rsid w:val="0020604D"/>
    <w:rsid w:val="00206FB4"/>
    <w:rsid w:val="00207D46"/>
    <w:rsid w:val="00211766"/>
    <w:rsid w:val="00213C43"/>
    <w:rsid w:val="00214D79"/>
    <w:rsid w:val="00222470"/>
    <w:rsid w:val="00222611"/>
    <w:rsid w:val="002236FB"/>
    <w:rsid w:val="00223B38"/>
    <w:rsid w:val="00223EC0"/>
    <w:rsid w:val="002250B8"/>
    <w:rsid w:val="00225190"/>
    <w:rsid w:val="002252DB"/>
    <w:rsid w:val="00225359"/>
    <w:rsid w:val="002278B2"/>
    <w:rsid w:val="00230E8C"/>
    <w:rsid w:val="00232C38"/>
    <w:rsid w:val="00234F46"/>
    <w:rsid w:val="002362EE"/>
    <w:rsid w:val="00237DAA"/>
    <w:rsid w:val="002400A8"/>
    <w:rsid w:val="00244E27"/>
    <w:rsid w:val="00245182"/>
    <w:rsid w:val="0024615B"/>
    <w:rsid w:val="00247695"/>
    <w:rsid w:val="00247F1C"/>
    <w:rsid w:val="0025010F"/>
    <w:rsid w:val="002525F0"/>
    <w:rsid w:val="00253947"/>
    <w:rsid w:val="00253FD4"/>
    <w:rsid w:val="0025456B"/>
    <w:rsid w:val="0025577A"/>
    <w:rsid w:val="00255C91"/>
    <w:rsid w:val="00257366"/>
    <w:rsid w:val="00257BE5"/>
    <w:rsid w:val="00257DF4"/>
    <w:rsid w:val="00260EB6"/>
    <w:rsid w:val="00261A7F"/>
    <w:rsid w:val="00262DC7"/>
    <w:rsid w:val="002637C5"/>
    <w:rsid w:val="00267474"/>
    <w:rsid w:val="002676AC"/>
    <w:rsid w:val="002677B6"/>
    <w:rsid w:val="00267BBE"/>
    <w:rsid w:val="00267D13"/>
    <w:rsid w:val="002730FD"/>
    <w:rsid w:val="002732E6"/>
    <w:rsid w:val="00273706"/>
    <w:rsid w:val="002753EE"/>
    <w:rsid w:val="002757E5"/>
    <w:rsid w:val="00280AD2"/>
    <w:rsid w:val="002816EA"/>
    <w:rsid w:val="0028361D"/>
    <w:rsid w:val="002849DB"/>
    <w:rsid w:val="002858DC"/>
    <w:rsid w:val="00285A27"/>
    <w:rsid w:val="00286207"/>
    <w:rsid w:val="00286723"/>
    <w:rsid w:val="00290BCD"/>
    <w:rsid w:val="00290E6E"/>
    <w:rsid w:val="002944DC"/>
    <w:rsid w:val="00296B99"/>
    <w:rsid w:val="002A16E5"/>
    <w:rsid w:val="002A3F39"/>
    <w:rsid w:val="002A57FF"/>
    <w:rsid w:val="002A5D82"/>
    <w:rsid w:val="002A770C"/>
    <w:rsid w:val="002B0D7A"/>
    <w:rsid w:val="002B4AF3"/>
    <w:rsid w:val="002B6123"/>
    <w:rsid w:val="002C1AA5"/>
    <w:rsid w:val="002C1DDD"/>
    <w:rsid w:val="002C3A78"/>
    <w:rsid w:val="002C3EAB"/>
    <w:rsid w:val="002C4851"/>
    <w:rsid w:val="002C4DAD"/>
    <w:rsid w:val="002C4E83"/>
    <w:rsid w:val="002C4FC1"/>
    <w:rsid w:val="002C5C5F"/>
    <w:rsid w:val="002C5CA5"/>
    <w:rsid w:val="002C6D24"/>
    <w:rsid w:val="002C73D4"/>
    <w:rsid w:val="002C7A58"/>
    <w:rsid w:val="002D0057"/>
    <w:rsid w:val="002D253A"/>
    <w:rsid w:val="002D33B7"/>
    <w:rsid w:val="002D5500"/>
    <w:rsid w:val="002E0085"/>
    <w:rsid w:val="002E0B1F"/>
    <w:rsid w:val="002E0CB2"/>
    <w:rsid w:val="002E132D"/>
    <w:rsid w:val="002E2544"/>
    <w:rsid w:val="002E4338"/>
    <w:rsid w:val="002E44C5"/>
    <w:rsid w:val="002E62A5"/>
    <w:rsid w:val="002E6A2A"/>
    <w:rsid w:val="002E7140"/>
    <w:rsid w:val="002E7AAD"/>
    <w:rsid w:val="002E7E65"/>
    <w:rsid w:val="002F03AA"/>
    <w:rsid w:val="002F452D"/>
    <w:rsid w:val="002F50F9"/>
    <w:rsid w:val="002F623F"/>
    <w:rsid w:val="002F79A4"/>
    <w:rsid w:val="00301022"/>
    <w:rsid w:val="003018CC"/>
    <w:rsid w:val="00301F77"/>
    <w:rsid w:val="00303B18"/>
    <w:rsid w:val="003050F4"/>
    <w:rsid w:val="0030531E"/>
    <w:rsid w:val="003054D4"/>
    <w:rsid w:val="00305E67"/>
    <w:rsid w:val="003071FD"/>
    <w:rsid w:val="00310138"/>
    <w:rsid w:val="0031052F"/>
    <w:rsid w:val="00311631"/>
    <w:rsid w:val="00312AA5"/>
    <w:rsid w:val="00314CF6"/>
    <w:rsid w:val="00315656"/>
    <w:rsid w:val="003160D1"/>
    <w:rsid w:val="00320DB0"/>
    <w:rsid w:val="003218A5"/>
    <w:rsid w:val="00321BA8"/>
    <w:rsid w:val="003224D1"/>
    <w:rsid w:val="00322755"/>
    <w:rsid w:val="0032285E"/>
    <w:rsid w:val="0032405E"/>
    <w:rsid w:val="003247A5"/>
    <w:rsid w:val="00324A15"/>
    <w:rsid w:val="003259BC"/>
    <w:rsid w:val="00326885"/>
    <w:rsid w:val="00327E8A"/>
    <w:rsid w:val="00331466"/>
    <w:rsid w:val="00333493"/>
    <w:rsid w:val="0033581C"/>
    <w:rsid w:val="00335C53"/>
    <w:rsid w:val="00336ED8"/>
    <w:rsid w:val="00337529"/>
    <w:rsid w:val="003377C0"/>
    <w:rsid w:val="00337E03"/>
    <w:rsid w:val="00340560"/>
    <w:rsid w:val="00341DA7"/>
    <w:rsid w:val="0034226D"/>
    <w:rsid w:val="003443D2"/>
    <w:rsid w:val="00346215"/>
    <w:rsid w:val="00347628"/>
    <w:rsid w:val="003477CE"/>
    <w:rsid w:val="0035007C"/>
    <w:rsid w:val="00350169"/>
    <w:rsid w:val="00350D02"/>
    <w:rsid w:val="00352AB8"/>
    <w:rsid w:val="003534E3"/>
    <w:rsid w:val="003541A1"/>
    <w:rsid w:val="003544F1"/>
    <w:rsid w:val="003545DE"/>
    <w:rsid w:val="00354A68"/>
    <w:rsid w:val="0035619E"/>
    <w:rsid w:val="00356958"/>
    <w:rsid w:val="00357C63"/>
    <w:rsid w:val="003614BB"/>
    <w:rsid w:val="0036342B"/>
    <w:rsid w:val="0036380E"/>
    <w:rsid w:val="00364638"/>
    <w:rsid w:val="0036485C"/>
    <w:rsid w:val="003650BC"/>
    <w:rsid w:val="00366D58"/>
    <w:rsid w:val="00370C54"/>
    <w:rsid w:val="00373D92"/>
    <w:rsid w:val="003753D1"/>
    <w:rsid w:val="00376182"/>
    <w:rsid w:val="00380D7C"/>
    <w:rsid w:val="0038124B"/>
    <w:rsid w:val="0038156E"/>
    <w:rsid w:val="003844F7"/>
    <w:rsid w:val="003845C7"/>
    <w:rsid w:val="00384C48"/>
    <w:rsid w:val="0038539A"/>
    <w:rsid w:val="00385F99"/>
    <w:rsid w:val="00386712"/>
    <w:rsid w:val="00390F15"/>
    <w:rsid w:val="00390F88"/>
    <w:rsid w:val="00391EFD"/>
    <w:rsid w:val="00393003"/>
    <w:rsid w:val="0039324B"/>
    <w:rsid w:val="00394DC6"/>
    <w:rsid w:val="00397130"/>
    <w:rsid w:val="00397C50"/>
    <w:rsid w:val="003A0F81"/>
    <w:rsid w:val="003A15B3"/>
    <w:rsid w:val="003A183B"/>
    <w:rsid w:val="003B3D1E"/>
    <w:rsid w:val="003B4D23"/>
    <w:rsid w:val="003B7545"/>
    <w:rsid w:val="003B7C69"/>
    <w:rsid w:val="003C2FC4"/>
    <w:rsid w:val="003C43C5"/>
    <w:rsid w:val="003C784B"/>
    <w:rsid w:val="003C7AB8"/>
    <w:rsid w:val="003D1A9A"/>
    <w:rsid w:val="003D1FDB"/>
    <w:rsid w:val="003D2BB9"/>
    <w:rsid w:val="003D545A"/>
    <w:rsid w:val="003D675B"/>
    <w:rsid w:val="003D68D2"/>
    <w:rsid w:val="003D6E91"/>
    <w:rsid w:val="003E0613"/>
    <w:rsid w:val="003E2794"/>
    <w:rsid w:val="003E49D4"/>
    <w:rsid w:val="003E5E42"/>
    <w:rsid w:val="003E648B"/>
    <w:rsid w:val="003E6B89"/>
    <w:rsid w:val="003E7F94"/>
    <w:rsid w:val="003F0D62"/>
    <w:rsid w:val="003F367C"/>
    <w:rsid w:val="003F4A60"/>
    <w:rsid w:val="003F6200"/>
    <w:rsid w:val="003F661A"/>
    <w:rsid w:val="003F7EE1"/>
    <w:rsid w:val="004011F7"/>
    <w:rsid w:val="00401235"/>
    <w:rsid w:val="0040214E"/>
    <w:rsid w:val="004032E2"/>
    <w:rsid w:val="00404AEC"/>
    <w:rsid w:val="00405115"/>
    <w:rsid w:val="0040766A"/>
    <w:rsid w:val="004077D4"/>
    <w:rsid w:val="00407808"/>
    <w:rsid w:val="004110D5"/>
    <w:rsid w:val="00412271"/>
    <w:rsid w:val="00412EC7"/>
    <w:rsid w:val="00416D34"/>
    <w:rsid w:val="004231E3"/>
    <w:rsid w:val="004278BE"/>
    <w:rsid w:val="00427988"/>
    <w:rsid w:val="00427A2C"/>
    <w:rsid w:val="0043167D"/>
    <w:rsid w:val="004332C0"/>
    <w:rsid w:val="0043446A"/>
    <w:rsid w:val="004359A5"/>
    <w:rsid w:val="0043622F"/>
    <w:rsid w:val="00436BD3"/>
    <w:rsid w:val="00436E12"/>
    <w:rsid w:val="00437861"/>
    <w:rsid w:val="00441ED0"/>
    <w:rsid w:val="004427E0"/>
    <w:rsid w:val="00443607"/>
    <w:rsid w:val="00443ED8"/>
    <w:rsid w:val="00445649"/>
    <w:rsid w:val="00446214"/>
    <w:rsid w:val="00446B33"/>
    <w:rsid w:val="00450A90"/>
    <w:rsid w:val="004520E3"/>
    <w:rsid w:val="00454AC8"/>
    <w:rsid w:val="00455BDC"/>
    <w:rsid w:val="00456595"/>
    <w:rsid w:val="00457C34"/>
    <w:rsid w:val="00466000"/>
    <w:rsid w:val="0046672E"/>
    <w:rsid w:val="004670AE"/>
    <w:rsid w:val="0047146B"/>
    <w:rsid w:val="00481C48"/>
    <w:rsid w:val="0048238B"/>
    <w:rsid w:val="004827FC"/>
    <w:rsid w:val="004833FE"/>
    <w:rsid w:val="00486356"/>
    <w:rsid w:val="004866FF"/>
    <w:rsid w:val="00486BDB"/>
    <w:rsid w:val="0049099A"/>
    <w:rsid w:val="004914A0"/>
    <w:rsid w:val="0049183D"/>
    <w:rsid w:val="00492DA8"/>
    <w:rsid w:val="00493DAA"/>
    <w:rsid w:val="004941F8"/>
    <w:rsid w:val="004965E8"/>
    <w:rsid w:val="004971AF"/>
    <w:rsid w:val="004972F3"/>
    <w:rsid w:val="00497F68"/>
    <w:rsid w:val="004A2411"/>
    <w:rsid w:val="004A305F"/>
    <w:rsid w:val="004A44D7"/>
    <w:rsid w:val="004A79EA"/>
    <w:rsid w:val="004B07F9"/>
    <w:rsid w:val="004B2633"/>
    <w:rsid w:val="004B288F"/>
    <w:rsid w:val="004B3B5B"/>
    <w:rsid w:val="004B6959"/>
    <w:rsid w:val="004B712C"/>
    <w:rsid w:val="004B77DF"/>
    <w:rsid w:val="004C1566"/>
    <w:rsid w:val="004C1ED9"/>
    <w:rsid w:val="004C26C5"/>
    <w:rsid w:val="004C473B"/>
    <w:rsid w:val="004C529F"/>
    <w:rsid w:val="004D08D7"/>
    <w:rsid w:val="004D7409"/>
    <w:rsid w:val="004D7CC0"/>
    <w:rsid w:val="004E08FA"/>
    <w:rsid w:val="004E33BC"/>
    <w:rsid w:val="004E388D"/>
    <w:rsid w:val="004E5B54"/>
    <w:rsid w:val="004E60A9"/>
    <w:rsid w:val="004F112A"/>
    <w:rsid w:val="004F24D3"/>
    <w:rsid w:val="004F250F"/>
    <w:rsid w:val="004F2FF1"/>
    <w:rsid w:val="004F3EF5"/>
    <w:rsid w:val="004F42FF"/>
    <w:rsid w:val="004F66A7"/>
    <w:rsid w:val="004F7353"/>
    <w:rsid w:val="00500010"/>
    <w:rsid w:val="00500B9F"/>
    <w:rsid w:val="00501EF2"/>
    <w:rsid w:val="0050254B"/>
    <w:rsid w:val="0050281D"/>
    <w:rsid w:val="00502D64"/>
    <w:rsid w:val="00503AC1"/>
    <w:rsid w:val="00506E0B"/>
    <w:rsid w:val="00507B75"/>
    <w:rsid w:val="0051009E"/>
    <w:rsid w:val="005104F2"/>
    <w:rsid w:val="00512971"/>
    <w:rsid w:val="0051369F"/>
    <w:rsid w:val="00513989"/>
    <w:rsid w:val="00514AA2"/>
    <w:rsid w:val="00514FD0"/>
    <w:rsid w:val="00515564"/>
    <w:rsid w:val="0051568B"/>
    <w:rsid w:val="005171C3"/>
    <w:rsid w:val="005173A9"/>
    <w:rsid w:val="0052052E"/>
    <w:rsid w:val="005215A7"/>
    <w:rsid w:val="00522F89"/>
    <w:rsid w:val="005260FF"/>
    <w:rsid w:val="005262B3"/>
    <w:rsid w:val="00527139"/>
    <w:rsid w:val="0053081E"/>
    <w:rsid w:val="00530A97"/>
    <w:rsid w:val="005311AB"/>
    <w:rsid w:val="005327C5"/>
    <w:rsid w:val="00537A72"/>
    <w:rsid w:val="005409FD"/>
    <w:rsid w:val="005421E9"/>
    <w:rsid w:val="005435F6"/>
    <w:rsid w:val="005440B4"/>
    <w:rsid w:val="00544AC9"/>
    <w:rsid w:val="005450DE"/>
    <w:rsid w:val="0054617A"/>
    <w:rsid w:val="00546647"/>
    <w:rsid w:val="0054680A"/>
    <w:rsid w:val="0054780D"/>
    <w:rsid w:val="00553B18"/>
    <w:rsid w:val="00553C5C"/>
    <w:rsid w:val="00554A6F"/>
    <w:rsid w:val="00554D28"/>
    <w:rsid w:val="00555F59"/>
    <w:rsid w:val="00560CBC"/>
    <w:rsid w:val="0056168D"/>
    <w:rsid w:val="00562160"/>
    <w:rsid w:val="005625B4"/>
    <w:rsid w:val="00563980"/>
    <w:rsid w:val="00563AD7"/>
    <w:rsid w:val="00563BEE"/>
    <w:rsid w:val="00564A29"/>
    <w:rsid w:val="00565C62"/>
    <w:rsid w:val="0056745F"/>
    <w:rsid w:val="00571045"/>
    <w:rsid w:val="00571C5C"/>
    <w:rsid w:val="0057279C"/>
    <w:rsid w:val="00572F6E"/>
    <w:rsid w:val="00573AA7"/>
    <w:rsid w:val="00580F38"/>
    <w:rsid w:val="005816D3"/>
    <w:rsid w:val="005823D7"/>
    <w:rsid w:val="0058431F"/>
    <w:rsid w:val="00586DE5"/>
    <w:rsid w:val="005879E4"/>
    <w:rsid w:val="005901E6"/>
    <w:rsid w:val="00590AAB"/>
    <w:rsid w:val="00591D65"/>
    <w:rsid w:val="00592E87"/>
    <w:rsid w:val="005954E5"/>
    <w:rsid w:val="00595798"/>
    <w:rsid w:val="00595D8A"/>
    <w:rsid w:val="0059716B"/>
    <w:rsid w:val="005978AA"/>
    <w:rsid w:val="005A0261"/>
    <w:rsid w:val="005A02C2"/>
    <w:rsid w:val="005A640F"/>
    <w:rsid w:val="005B0C9D"/>
    <w:rsid w:val="005B0D5C"/>
    <w:rsid w:val="005B0EC7"/>
    <w:rsid w:val="005B143E"/>
    <w:rsid w:val="005B2BFA"/>
    <w:rsid w:val="005B2E3C"/>
    <w:rsid w:val="005B44B4"/>
    <w:rsid w:val="005B4AE3"/>
    <w:rsid w:val="005B66F9"/>
    <w:rsid w:val="005C3366"/>
    <w:rsid w:val="005C38F1"/>
    <w:rsid w:val="005C48E8"/>
    <w:rsid w:val="005C7833"/>
    <w:rsid w:val="005D1DDF"/>
    <w:rsid w:val="005D21DB"/>
    <w:rsid w:val="005D22E7"/>
    <w:rsid w:val="005D3C17"/>
    <w:rsid w:val="005D4413"/>
    <w:rsid w:val="005D46AB"/>
    <w:rsid w:val="005D4DF5"/>
    <w:rsid w:val="005D6470"/>
    <w:rsid w:val="005D6540"/>
    <w:rsid w:val="005E0EE1"/>
    <w:rsid w:val="005E4885"/>
    <w:rsid w:val="005E4B5A"/>
    <w:rsid w:val="005E5DC6"/>
    <w:rsid w:val="005E69AE"/>
    <w:rsid w:val="005E6AFA"/>
    <w:rsid w:val="005F0219"/>
    <w:rsid w:val="005F25AB"/>
    <w:rsid w:val="005F5BF7"/>
    <w:rsid w:val="005F6353"/>
    <w:rsid w:val="005F637A"/>
    <w:rsid w:val="005F6958"/>
    <w:rsid w:val="005F79CA"/>
    <w:rsid w:val="006018A8"/>
    <w:rsid w:val="00601F40"/>
    <w:rsid w:val="00602860"/>
    <w:rsid w:val="00607414"/>
    <w:rsid w:val="006075B6"/>
    <w:rsid w:val="006076BC"/>
    <w:rsid w:val="00607A7F"/>
    <w:rsid w:val="006100E2"/>
    <w:rsid w:val="006107D6"/>
    <w:rsid w:val="00610E23"/>
    <w:rsid w:val="006127B6"/>
    <w:rsid w:val="00613499"/>
    <w:rsid w:val="00616729"/>
    <w:rsid w:val="00616CD9"/>
    <w:rsid w:val="006205E5"/>
    <w:rsid w:val="00620941"/>
    <w:rsid w:val="00621A37"/>
    <w:rsid w:val="00623D89"/>
    <w:rsid w:val="00625218"/>
    <w:rsid w:val="006256F2"/>
    <w:rsid w:val="00625FE4"/>
    <w:rsid w:val="00627386"/>
    <w:rsid w:val="00627A31"/>
    <w:rsid w:val="00630E86"/>
    <w:rsid w:val="006320CA"/>
    <w:rsid w:val="006322A6"/>
    <w:rsid w:val="006329F3"/>
    <w:rsid w:val="00635087"/>
    <w:rsid w:val="006404BF"/>
    <w:rsid w:val="00640E29"/>
    <w:rsid w:val="00641D59"/>
    <w:rsid w:val="0064433D"/>
    <w:rsid w:val="00651941"/>
    <w:rsid w:val="00653560"/>
    <w:rsid w:val="00655089"/>
    <w:rsid w:val="00656B3D"/>
    <w:rsid w:val="006576CE"/>
    <w:rsid w:val="006612DB"/>
    <w:rsid w:val="0066130C"/>
    <w:rsid w:val="006625BB"/>
    <w:rsid w:val="0066269A"/>
    <w:rsid w:val="00662FBC"/>
    <w:rsid w:val="006646F2"/>
    <w:rsid w:val="0066551D"/>
    <w:rsid w:val="00666432"/>
    <w:rsid w:val="0066665D"/>
    <w:rsid w:val="006666EB"/>
    <w:rsid w:val="00667CA8"/>
    <w:rsid w:val="00671D57"/>
    <w:rsid w:val="00672EF5"/>
    <w:rsid w:val="006735B6"/>
    <w:rsid w:val="0067374A"/>
    <w:rsid w:val="00674AA8"/>
    <w:rsid w:val="00674BD4"/>
    <w:rsid w:val="006755CA"/>
    <w:rsid w:val="00675A8D"/>
    <w:rsid w:val="00675C4E"/>
    <w:rsid w:val="00676D30"/>
    <w:rsid w:val="00676E62"/>
    <w:rsid w:val="006807C3"/>
    <w:rsid w:val="00680CEA"/>
    <w:rsid w:val="00681190"/>
    <w:rsid w:val="00681266"/>
    <w:rsid w:val="0068126E"/>
    <w:rsid w:val="006833BC"/>
    <w:rsid w:val="00684AB2"/>
    <w:rsid w:val="00684B73"/>
    <w:rsid w:val="00685579"/>
    <w:rsid w:val="00685E77"/>
    <w:rsid w:val="006862B0"/>
    <w:rsid w:val="006869C2"/>
    <w:rsid w:val="00686E80"/>
    <w:rsid w:val="00687E6D"/>
    <w:rsid w:val="00690195"/>
    <w:rsid w:val="006906F9"/>
    <w:rsid w:val="00690E2B"/>
    <w:rsid w:val="00690F5A"/>
    <w:rsid w:val="006926D0"/>
    <w:rsid w:val="00692899"/>
    <w:rsid w:val="00693040"/>
    <w:rsid w:val="0069436F"/>
    <w:rsid w:val="006962A4"/>
    <w:rsid w:val="00696F90"/>
    <w:rsid w:val="00697E99"/>
    <w:rsid w:val="00697FFD"/>
    <w:rsid w:val="006A0623"/>
    <w:rsid w:val="006A1849"/>
    <w:rsid w:val="006A3DA3"/>
    <w:rsid w:val="006A4700"/>
    <w:rsid w:val="006A5926"/>
    <w:rsid w:val="006A65A3"/>
    <w:rsid w:val="006A6F28"/>
    <w:rsid w:val="006A7FA7"/>
    <w:rsid w:val="006B04DC"/>
    <w:rsid w:val="006B30FC"/>
    <w:rsid w:val="006B5AF0"/>
    <w:rsid w:val="006B7E7E"/>
    <w:rsid w:val="006C3B6C"/>
    <w:rsid w:val="006C3D2C"/>
    <w:rsid w:val="006C5350"/>
    <w:rsid w:val="006C6373"/>
    <w:rsid w:val="006C6EDE"/>
    <w:rsid w:val="006C7F5E"/>
    <w:rsid w:val="006D2B67"/>
    <w:rsid w:val="006D2C81"/>
    <w:rsid w:val="006D7193"/>
    <w:rsid w:val="006E033B"/>
    <w:rsid w:val="006E077C"/>
    <w:rsid w:val="006E3380"/>
    <w:rsid w:val="006E35F3"/>
    <w:rsid w:val="006E6CD9"/>
    <w:rsid w:val="006E75F4"/>
    <w:rsid w:val="006F697E"/>
    <w:rsid w:val="006F79DD"/>
    <w:rsid w:val="0070094D"/>
    <w:rsid w:val="00700C49"/>
    <w:rsid w:val="00702BA4"/>
    <w:rsid w:val="00702C35"/>
    <w:rsid w:val="00703077"/>
    <w:rsid w:val="0070448A"/>
    <w:rsid w:val="007051C3"/>
    <w:rsid w:val="007064E3"/>
    <w:rsid w:val="00706A78"/>
    <w:rsid w:val="0070793E"/>
    <w:rsid w:val="00707E0B"/>
    <w:rsid w:val="007101C7"/>
    <w:rsid w:val="007121FB"/>
    <w:rsid w:val="00714CEC"/>
    <w:rsid w:val="00715FD3"/>
    <w:rsid w:val="00716538"/>
    <w:rsid w:val="00717508"/>
    <w:rsid w:val="00717D25"/>
    <w:rsid w:val="007217CF"/>
    <w:rsid w:val="0072219B"/>
    <w:rsid w:val="00722728"/>
    <w:rsid w:val="00722FF2"/>
    <w:rsid w:val="007237D3"/>
    <w:rsid w:val="00724620"/>
    <w:rsid w:val="00725668"/>
    <w:rsid w:val="007256CE"/>
    <w:rsid w:val="007269ED"/>
    <w:rsid w:val="00726B3F"/>
    <w:rsid w:val="00727CAE"/>
    <w:rsid w:val="00730CA9"/>
    <w:rsid w:val="0073354D"/>
    <w:rsid w:val="007341BB"/>
    <w:rsid w:val="007353A2"/>
    <w:rsid w:val="00735686"/>
    <w:rsid w:val="00735D86"/>
    <w:rsid w:val="0073615A"/>
    <w:rsid w:val="00741878"/>
    <w:rsid w:val="00742CFE"/>
    <w:rsid w:val="00742EE3"/>
    <w:rsid w:val="00743EB4"/>
    <w:rsid w:val="00744F43"/>
    <w:rsid w:val="00745211"/>
    <w:rsid w:val="007462D9"/>
    <w:rsid w:val="007478F6"/>
    <w:rsid w:val="0075015D"/>
    <w:rsid w:val="007519A3"/>
    <w:rsid w:val="007530F2"/>
    <w:rsid w:val="00753932"/>
    <w:rsid w:val="00754A4C"/>
    <w:rsid w:val="00755DED"/>
    <w:rsid w:val="007565E7"/>
    <w:rsid w:val="007621D4"/>
    <w:rsid w:val="007622BF"/>
    <w:rsid w:val="00764816"/>
    <w:rsid w:val="00766BB1"/>
    <w:rsid w:val="00766F04"/>
    <w:rsid w:val="007671AA"/>
    <w:rsid w:val="00772894"/>
    <w:rsid w:val="00773D3C"/>
    <w:rsid w:val="00774E59"/>
    <w:rsid w:val="007761CE"/>
    <w:rsid w:val="0077675B"/>
    <w:rsid w:val="00776BA6"/>
    <w:rsid w:val="00777F40"/>
    <w:rsid w:val="00780954"/>
    <w:rsid w:val="007814FD"/>
    <w:rsid w:val="00782DA0"/>
    <w:rsid w:val="0078765B"/>
    <w:rsid w:val="0079249D"/>
    <w:rsid w:val="007929E0"/>
    <w:rsid w:val="007941D3"/>
    <w:rsid w:val="007948DE"/>
    <w:rsid w:val="007A0141"/>
    <w:rsid w:val="007A19AE"/>
    <w:rsid w:val="007A24B2"/>
    <w:rsid w:val="007A3D97"/>
    <w:rsid w:val="007A42F7"/>
    <w:rsid w:val="007A5185"/>
    <w:rsid w:val="007A530E"/>
    <w:rsid w:val="007B23AF"/>
    <w:rsid w:val="007B2BAA"/>
    <w:rsid w:val="007B4157"/>
    <w:rsid w:val="007B4A74"/>
    <w:rsid w:val="007B4C40"/>
    <w:rsid w:val="007B4D7E"/>
    <w:rsid w:val="007B5215"/>
    <w:rsid w:val="007B5343"/>
    <w:rsid w:val="007B593D"/>
    <w:rsid w:val="007B67FB"/>
    <w:rsid w:val="007C0930"/>
    <w:rsid w:val="007C18D8"/>
    <w:rsid w:val="007C1909"/>
    <w:rsid w:val="007C2C8B"/>
    <w:rsid w:val="007C3520"/>
    <w:rsid w:val="007C3DAC"/>
    <w:rsid w:val="007D0254"/>
    <w:rsid w:val="007D0755"/>
    <w:rsid w:val="007D121D"/>
    <w:rsid w:val="007D25C6"/>
    <w:rsid w:val="007D316C"/>
    <w:rsid w:val="007D3E50"/>
    <w:rsid w:val="007D3F38"/>
    <w:rsid w:val="007D531E"/>
    <w:rsid w:val="007D6F84"/>
    <w:rsid w:val="007E0DAC"/>
    <w:rsid w:val="007E2168"/>
    <w:rsid w:val="007E2FF5"/>
    <w:rsid w:val="007E32C5"/>
    <w:rsid w:val="007E7F5D"/>
    <w:rsid w:val="007F209E"/>
    <w:rsid w:val="007F2261"/>
    <w:rsid w:val="007F3289"/>
    <w:rsid w:val="007F3DE1"/>
    <w:rsid w:val="007F4323"/>
    <w:rsid w:val="007F4FC0"/>
    <w:rsid w:val="008001DE"/>
    <w:rsid w:val="008009A5"/>
    <w:rsid w:val="00800D1A"/>
    <w:rsid w:val="00801EDF"/>
    <w:rsid w:val="00804B1A"/>
    <w:rsid w:val="00806B25"/>
    <w:rsid w:val="0081004D"/>
    <w:rsid w:val="0081013D"/>
    <w:rsid w:val="008102A4"/>
    <w:rsid w:val="00810CA7"/>
    <w:rsid w:val="008114DE"/>
    <w:rsid w:val="00813477"/>
    <w:rsid w:val="00814A0A"/>
    <w:rsid w:val="00816B7C"/>
    <w:rsid w:val="00816F89"/>
    <w:rsid w:val="008170DB"/>
    <w:rsid w:val="0081781C"/>
    <w:rsid w:val="00822E95"/>
    <w:rsid w:val="00825F98"/>
    <w:rsid w:val="008267CE"/>
    <w:rsid w:val="00826835"/>
    <w:rsid w:val="00827471"/>
    <w:rsid w:val="00830188"/>
    <w:rsid w:val="0083080C"/>
    <w:rsid w:val="00832D2B"/>
    <w:rsid w:val="00833A48"/>
    <w:rsid w:val="00834056"/>
    <w:rsid w:val="00834908"/>
    <w:rsid w:val="00836600"/>
    <w:rsid w:val="0083681E"/>
    <w:rsid w:val="00845CA3"/>
    <w:rsid w:val="008523CB"/>
    <w:rsid w:val="00852C96"/>
    <w:rsid w:val="00856AA6"/>
    <w:rsid w:val="00856ABA"/>
    <w:rsid w:val="00856D88"/>
    <w:rsid w:val="00862888"/>
    <w:rsid w:val="00863218"/>
    <w:rsid w:val="0086409A"/>
    <w:rsid w:val="00864103"/>
    <w:rsid w:val="00864C65"/>
    <w:rsid w:val="008657BB"/>
    <w:rsid w:val="008734D8"/>
    <w:rsid w:val="00873737"/>
    <w:rsid w:val="008741F3"/>
    <w:rsid w:val="008744EE"/>
    <w:rsid w:val="008747C3"/>
    <w:rsid w:val="00875BF9"/>
    <w:rsid w:val="00876300"/>
    <w:rsid w:val="00880264"/>
    <w:rsid w:val="0088096C"/>
    <w:rsid w:val="00881231"/>
    <w:rsid w:val="00882674"/>
    <w:rsid w:val="00890178"/>
    <w:rsid w:val="00890F51"/>
    <w:rsid w:val="008914DF"/>
    <w:rsid w:val="008917E0"/>
    <w:rsid w:val="00892D7E"/>
    <w:rsid w:val="008943C7"/>
    <w:rsid w:val="008959AA"/>
    <w:rsid w:val="00895E43"/>
    <w:rsid w:val="00896DD5"/>
    <w:rsid w:val="008974FC"/>
    <w:rsid w:val="008A00E0"/>
    <w:rsid w:val="008A32A7"/>
    <w:rsid w:val="008A4505"/>
    <w:rsid w:val="008A5473"/>
    <w:rsid w:val="008A59FF"/>
    <w:rsid w:val="008A7055"/>
    <w:rsid w:val="008A783C"/>
    <w:rsid w:val="008A7AA0"/>
    <w:rsid w:val="008B0665"/>
    <w:rsid w:val="008B0CAB"/>
    <w:rsid w:val="008B109F"/>
    <w:rsid w:val="008B25B1"/>
    <w:rsid w:val="008B2B6F"/>
    <w:rsid w:val="008B418D"/>
    <w:rsid w:val="008B6E9F"/>
    <w:rsid w:val="008B76F0"/>
    <w:rsid w:val="008B7921"/>
    <w:rsid w:val="008C0214"/>
    <w:rsid w:val="008C0330"/>
    <w:rsid w:val="008C076C"/>
    <w:rsid w:val="008C1B56"/>
    <w:rsid w:val="008C38D2"/>
    <w:rsid w:val="008C4BE2"/>
    <w:rsid w:val="008C56CA"/>
    <w:rsid w:val="008C5C88"/>
    <w:rsid w:val="008D0236"/>
    <w:rsid w:val="008D0359"/>
    <w:rsid w:val="008D17D0"/>
    <w:rsid w:val="008D4FA1"/>
    <w:rsid w:val="008D5348"/>
    <w:rsid w:val="008D5FD6"/>
    <w:rsid w:val="008D69B8"/>
    <w:rsid w:val="008E15F2"/>
    <w:rsid w:val="008E33AD"/>
    <w:rsid w:val="008E44E4"/>
    <w:rsid w:val="008E4810"/>
    <w:rsid w:val="008E566A"/>
    <w:rsid w:val="008E6473"/>
    <w:rsid w:val="008E7558"/>
    <w:rsid w:val="008F1C63"/>
    <w:rsid w:val="008F4398"/>
    <w:rsid w:val="008F572F"/>
    <w:rsid w:val="008F5F4F"/>
    <w:rsid w:val="008F616F"/>
    <w:rsid w:val="0090110E"/>
    <w:rsid w:val="00902AE7"/>
    <w:rsid w:val="0090356F"/>
    <w:rsid w:val="00905128"/>
    <w:rsid w:val="00905ECD"/>
    <w:rsid w:val="00906D3C"/>
    <w:rsid w:val="00907DA6"/>
    <w:rsid w:val="0091250C"/>
    <w:rsid w:val="00912A68"/>
    <w:rsid w:val="00913DCE"/>
    <w:rsid w:val="00914B53"/>
    <w:rsid w:val="00915109"/>
    <w:rsid w:val="0091685B"/>
    <w:rsid w:val="00917342"/>
    <w:rsid w:val="009218CC"/>
    <w:rsid w:val="009219DD"/>
    <w:rsid w:val="00921D9D"/>
    <w:rsid w:val="00921EB1"/>
    <w:rsid w:val="0092507C"/>
    <w:rsid w:val="00925F8E"/>
    <w:rsid w:val="00925FCB"/>
    <w:rsid w:val="00927E37"/>
    <w:rsid w:val="00930053"/>
    <w:rsid w:val="00930BBC"/>
    <w:rsid w:val="00930EED"/>
    <w:rsid w:val="00931C6B"/>
    <w:rsid w:val="00932970"/>
    <w:rsid w:val="009402CF"/>
    <w:rsid w:val="009408FB"/>
    <w:rsid w:val="00940DA1"/>
    <w:rsid w:val="009445FF"/>
    <w:rsid w:val="00945C51"/>
    <w:rsid w:val="00945F3B"/>
    <w:rsid w:val="0094623E"/>
    <w:rsid w:val="00946976"/>
    <w:rsid w:val="00947FF2"/>
    <w:rsid w:val="009503B4"/>
    <w:rsid w:val="00951020"/>
    <w:rsid w:val="00951649"/>
    <w:rsid w:val="00952BA2"/>
    <w:rsid w:val="009544F7"/>
    <w:rsid w:val="0095623F"/>
    <w:rsid w:val="009573D5"/>
    <w:rsid w:val="0095749E"/>
    <w:rsid w:val="00957831"/>
    <w:rsid w:val="0096016E"/>
    <w:rsid w:val="00961114"/>
    <w:rsid w:val="00961A35"/>
    <w:rsid w:val="0096300B"/>
    <w:rsid w:val="00965C11"/>
    <w:rsid w:val="00966E2D"/>
    <w:rsid w:val="00967129"/>
    <w:rsid w:val="00967EA3"/>
    <w:rsid w:val="00970295"/>
    <w:rsid w:val="00971092"/>
    <w:rsid w:val="009713DF"/>
    <w:rsid w:val="00971AD5"/>
    <w:rsid w:val="009721C6"/>
    <w:rsid w:val="00972A55"/>
    <w:rsid w:val="00973080"/>
    <w:rsid w:val="0097341A"/>
    <w:rsid w:val="0097513F"/>
    <w:rsid w:val="00976782"/>
    <w:rsid w:val="009771FA"/>
    <w:rsid w:val="009814EB"/>
    <w:rsid w:val="009824BE"/>
    <w:rsid w:val="009863CF"/>
    <w:rsid w:val="00987D92"/>
    <w:rsid w:val="00987FC4"/>
    <w:rsid w:val="009905A2"/>
    <w:rsid w:val="00991EF5"/>
    <w:rsid w:val="009931C9"/>
    <w:rsid w:val="009935B0"/>
    <w:rsid w:val="009944B5"/>
    <w:rsid w:val="00994718"/>
    <w:rsid w:val="00996309"/>
    <w:rsid w:val="009A05E1"/>
    <w:rsid w:val="009A210D"/>
    <w:rsid w:val="009A4D03"/>
    <w:rsid w:val="009A542A"/>
    <w:rsid w:val="009A5EF0"/>
    <w:rsid w:val="009A65D3"/>
    <w:rsid w:val="009A7159"/>
    <w:rsid w:val="009A799C"/>
    <w:rsid w:val="009B0E90"/>
    <w:rsid w:val="009B224F"/>
    <w:rsid w:val="009B2986"/>
    <w:rsid w:val="009B34BC"/>
    <w:rsid w:val="009B3925"/>
    <w:rsid w:val="009B4DA9"/>
    <w:rsid w:val="009B70D0"/>
    <w:rsid w:val="009C22DF"/>
    <w:rsid w:val="009C22F1"/>
    <w:rsid w:val="009C33E9"/>
    <w:rsid w:val="009C64A1"/>
    <w:rsid w:val="009C6523"/>
    <w:rsid w:val="009C6EA4"/>
    <w:rsid w:val="009D1A52"/>
    <w:rsid w:val="009D3343"/>
    <w:rsid w:val="009D36E0"/>
    <w:rsid w:val="009D3B00"/>
    <w:rsid w:val="009D4E2D"/>
    <w:rsid w:val="009D4F97"/>
    <w:rsid w:val="009D51E9"/>
    <w:rsid w:val="009D5F5A"/>
    <w:rsid w:val="009E4B1D"/>
    <w:rsid w:val="009E4CBE"/>
    <w:rsid w:val="009E5AA7"/>
    <w:rsid w:val="009E5E27"/>
    <w:rsid w:val="009E6773"/>
    <w:rsid w:val="009E6F30"/>
    <w:rsid w:val="009F10A5"/>
    <w:rsid w:val="009F21B9"/>
    <w:rsid w:val="009F3044"/>
    <w:rsid w:val="009F3839"/>
    <w:rsid w:val="009F3AE5"/>
    <w:rsid w:val="009F5E22"/>
    <w:rsid w:val="009F6749"/>
    <w:rsid w:val="009F6760"/>
    <w:rsid w:val="00A0075F"/>
    <w:rsid w:val="00A00D5A"/>
    <w:rsid w:val="00A0103D"/>
    <w:rsid w:val="00A02604"/>
    <w:rsid w:val="00A03518"/>
    <w:rsid w:val="00A04137"/>
    <w:rsid w:val="00A04A1E"/>
    <w:rsid w:val="00A04C3F"/>
    <w:rsid w:val="00A06F2F"/>
    <w:rsid w:val="00A109C7"/>
    <w:rsid w:val="00A10B0F"/>
    <w:rsid w:val="00A10D1F"/>
    <w:rsid w:val="00A111C1"/>
    <w:rsid w:val="00A11ABF"/>
    <w:rsid w:val="00A1448C"/>
    <w:rsid w:val="00A1495A"/>
    <w:rsid w:val="00A159E0"/>
    <w:rsid w:val="00A15FB1"/>
    <w:rsid w:val="00A1629E"/>
    <w:rsid w:val="00A16DE4"/>
    <w:rsid w:val="00A1715D"/>
    <w:rsid w:val="00A2240D"/>
    <w:rsid w:val="00A2452B"/>
    <w:rsid w:val="00A26643"/>
    <w:rsid w:val="00A27524"/>
    <w:rsid w:val="00A2768C"/>
    <w:rsid w:val="00A27CAE"/>
    <w:rsid w:val="00A30791"/>
    <w:rsid w:val="00A30C91"/>
    <w:rsid w:val="00A30DD9"/>
    <w:rsid w:val="00A313B5"/>
    <w:rsid w:val="00A33BB9"/>
    <w:rsid w:val="00A33E63"/>
    <w:rsid w:val="00A3480F"/>
    <w:rsid w:val="00A40968"/>
    <w:rsid w:val="00A412B5"/>
    <w:rsid w:val="00A41D01"/>
    <w:rsid w:val="00A42597"/>
    <w:rsid w:val="00A426F6"/>
    <w:rsid w:val="00A427B7"/>
    <w:rsid w:val="00A42C41"/>
    <w:rsid w:val="00A437F2"/>
    <w:rsid w:val="00A45966"/>
    <w:rsid w:val="00A503A5"/>
    <w:rsid w:val="00A51D16"/>
    <w:rsid w:val="00A54E90"/>
    <w:rsid w:val="00A57C7A"/>
    <w:rsid w:val="00A60BCC"/>
    <w:rsid w:val="00A61A1A"/>
    <w:rsid w:val="00A65DAD"/>
    <w:rsid w:val="00A6636C"/>
    <w:rsid w:val="00A709E5"/>
    <w:rsid w:val="00A71EBF"/>
    <w:rsid w:val="00A76FBE"/>
    <w:rsid w:val="00A8090E"/>
    <w:rsid w:val="00A814B3"/>
    <w:rsid w:val="00A81E75"/>
    <w:rsid w:val="00A825C6"/>
    <w:rsid w:val="00A83D8F"/>
    <w:rsid w:val="00A868D5"/>
    <w:rsid w:val="00A91607"/>
    <w:rsid w:val="00A92261"/>
    <w:rsid w:val="00A92A29"/>
    <w:rsid w:val="00A941FF"/>
    <w:rsid w:val="00A94D5B"/>
    <w:rsid w:val="00A9541F"/>
    <w:rsid w:val="00A95818"/>
    <w:rsid w:val="00A966F5"/>
    <w:rsid w:val="00A97124"/>
    <w:rsid w:val="00AA14E9"/>
    <w:rsid w:val="00AA23F4"/>
    <w:rsid w:val="00AA266E"/>
    <w:rsid w:val="00AA2794"/>
    <w:rsid w:val="00AA2E18"/>
    <w:rsid w:val="00AA419E"/>
    <w:rsid w:val="00AB120C"/>
    <w:rsid w:val="00AB33E8"/>
    <w:rsid w:val="00AB376C"/>
    <w:rsid w:val="00AB477D"/>
    <w:rsid w:val="00AB4AFB"/>
    <w:rsid w:val="00AB56F0"/>
    <w:rsid w:val="00AB5B5D"/>
    <w:rsid w:val="00AC0CF5"/>
    <w:rsid w:val="00AC20F4"/>
    <w:rsid w:val="00AC33B4"/>
    <w:rsid w:val="00AC413F"/>
    <w:rsid w:val="00AC509D"/>
    <w:rsid w:val="00AC5630"/>
    <w:rsid w:val="00AC6AB5"/>
    <w:rsid w:val="00AC70DE"/>
    <w:rsid w:val="00AD19D3"/>
    <w:rsid w:val="00AD1F67"/>
    <w:rsid w:val="00AD2F86"/>
    <w:rsid w:val="00AD4496"/>
    <w:rsid w:val="00AD4F63"/>
    <w:rsid w:val="00AD51F4"/>
    <w:rsid w:val="00AE25E6"/>
    <w:rsid w:val="00AE3304"/>
    <w:rsid w:val="00AE3667"/>
    <w:rsid w:val="00AE4A2A"/>
    <w:rsid w:val="00AE4C70"/>
    <w:rsid w:val="00AE79AE"/>
    <w:rsid w:val="00AE7AF4"/>
    <w:rsid w:val="00AF0665"/>
    <w:rsid w:val="00AF0817"/>
    <w:rsid w:val="00AF272B"/>
    <w:rsid w:val="00AF5916"/>
    <w:rsid w:val="00AF74A3"/>
    <w:rsid w:val="00B00D82"/>
    <w:rsid w:val="00B00DB9"/>
    <w:rsid w:val="00B01BA6"/>
    <w:rsid w:val="00B01F9A"/>
    <w:rsid w:val="00B02B56"/>
    <w:rsid w:val="00B041E0"/>
    <w:rsid w:val="00B04C6B"/>
    <w:rsid w:val="00B06214"/>
    <w:rsid w:val="00B10899"/>
    <w:rsid w:val="00B108E4"/>
    <w:rsid w:val="00B10F35"/>
    <w:rsid w:val="00B1131B"/>
    <w:rsid w:val="00B125F1"/>
    <w:rsid w:val="00B13D47"/>
    <w:rsid w:val="00B1438C"/>
    <w:rsid w:val="00B14C0E"/>
    <w:rsid w:val="00B1527B"/>
    <w:rsid w:val="00B204D5"/>
    <w:rsid w:val="00B21A93"/>
    <w:rsid w:val="00B2414C"/>
    <w:rsid w:val="00B27F41"/>
    <w:rsid w:val="00B30E7C"/>
    <w:rsid w:val="00B31BDE"/>
    <w:rsid w:val="00B32358"/>
    <w:rsid w:val="00B32E16"/>
    <w:rsid w:val="00B3342B"/>
    <w:rsid w:val="00B35565"/>
    <w:rsid w:val="00B42599"/>
    <w:rsid w:val="00B42C78"/>
    <w:rsid w:val="00B4382E"/>
    <w:rsid w:val="00B447CA"/>
    <w:rsid w:val="00B4564D"/>
    <w:rsid w:val="00B47196"/>
    <w:rsid w:val="00B4768C"/>
    <w:rsid w:val="00B478CA"/>
    <w:rsid w:val="00B50AAB"/>
    <w:rsid w:val="00B50C56"/>
    <w:rsid w:val="00B51BAA"/>
    <w:rsid w:val="00B5261E"/>
    <w:rsid w:val="00B52DEA"/>
    <w:rsid w:val="00B56683"/>
    <w:rsid w:val="00B60389"/>
    <w:rsid w:val="00B60FD2"/>
    <w:rsid w:val="00B61C3C"/>
    <w:rsid w:val="00B6307F"/>
    <w:rsid w:val="00B64193"/>
    <w:rsid w:val="00B6639C"/>
    <w:rsid w:val="00B66A17"/>
    <w:rsid w:val="00B67AED"/>
    <w:rsid w:val="00B71F3C"/>
    <w:rsid w:val="00B74A45"/>
    <w:rsid w:val="00B76663"/>
    <w:rsid w:val="00B803E5"/>
    <w:rsid w:val="00B839E4"/>
    <w:rsid w:val="00B85637"/>
    <w:rsid w:val="00B87C4C"/>
    <w:rsid w:val="00B90924"/>
    <w:rsid w:val="00B926A2"/>
    <w:rsid w:val="00B92A68"/>
    <w:rsid w:val="00B93E11"/>
    <w:rsid w:val="00B941D0"/>
    <w:rsid w:val="00B94F56"/>
    <w:rsid w:val="00B95248"/>
    <w:rsid w:val="00B9570C"/>
    <w:rsid w:val="00B95C10"/>
    <w:rsid w:val="00B96BCD"/>
    <w:rsid w:val="00B96C0D"/>
    <w:rsid w:val="00B9773A"/>
    <w:rsid w:val="00BA1764"/>
    <w:rsid w:val="00BA3173"/>
    <w:rsid w:val="00BA5BAC"/>
    <w:rsid w:val="00BA703E"/>
    <w:rsid w:val="00BB0FFC"/>
    <w:rsid w:val="00BB253F"/>
    <w:rsid w:val="00BB3293"/>
    <w:rsid w:val="00BB4132"/>
    <w:rsid w:val="00BB5F6A"/>
    <w:rsid w:val="00BB671A"/>
    <w:rsid w:val="00BB7196"/>
    <w:rsid w:val="00BC2021"/>
    <w:rsid w:val="00BC211F"/>
    <w:rsid w:val="00BC26ED"/>
    <w:rsid w:val="00BC3E49"/>
    <w:rsid w:val="00BC46B6"/>
    <w:rsid w:val="00BC5D90"/>
    <w:rsid w:val="00BC6E21"/>
    <w:rsid w:val="00BD06C4"/>
    <w:rsid w:val="00BD0E15"/>
    <w:rsid w:val="00BD1BA5"/>
    <w:rsid w:val="00BD31BB"/>
    <w:rsid w:val="00BD5805"/>
    <w:rsid w:val="00BD7B86"/>
    <w:rsid w:val="00BE11C6"/>
    <w:rsid w:val="00BE5100"/>
    <w:rsid w:val="00BE7421"/>
    <w:rsid w:val="00BF0114"/>
    <w:rsid w:val="00BF01B3"/>
    <w:rsid w:val="00BF1287"/>
    <w:rsid w:val="00BF2DB8"/>
    <w:rsid w:val="00BF4557"/>
    <w:rsid w:val="00BF5117"/>
    <w:rsid w:val="00C01324"/>
    <w:rsid w:val="00C0352A"/>
    <w:rsid w:val="00C03C07"/>
    <w:rsid w:val="00C03DB9"/>
    <w:rsid w:val="00C03FC3"/>
    <w:rsid w:val="00C03FEB"/>
    <w:rsid w:val="00C040C1"/>
    <w:rsid w:val="00C05E8C"/>
    <w:rsid w:val="00C0627E"/>
    <w:rsid w:val="00C06A09"/>
    <w:rsid w:val="00C07431"/>
    <w:rsid w:val="00C0795C"/>
    <w:rsid w:val="00C10416"/>
    <w:rsid w:val="00C10889"/>
    <w:rsid w:val="00C11825"/>
    <w:rsid w:val="00C12E49"/>
    <w:rsid w:val="00C136A0"/>
    <w:rsid w:val="00C203A2"/>
    <w:rsid w:val="00C21844"/>
    <w:rsid w:val="00C22DE6"/>
    <w:rsid w:val="00C24A9F"/>
    <w:rsid w:val="00C268C5"/>
    <w:rsid w:val="00C26EE5"/>
    <w:rsid w:val="00C303E1"/>
    <w:rsid w:val="00C3114D"/>
    <w:rsid w:val="00C311EB"/>
    <w:rsid w:val="00C330D0"/>
    <w:rsid w:val="00C33541"/>
    <w:rsid w:val="00C33B20"/>
    <w:rsid w:val="00C34ACB"/>
    <w:rsid w:val="00C35211"/>
    <w:rsid w:val="00C3560C"/>
    <w:rsid w:val="00C3798A"/>
    <w:rsid w:val="00C40311"/>
    <w:rsid w:val="00C41498"/>
    <w:rsid w:val="00C42C7C"/>
    <w:rsid w:val="00C43AF2"/>
    <w:rsid w:val="00C44379"/>
    <w:rsid w:val="00C500AC"/>
    <w:rsid w:val="00C528AA"/>
    <w:rsid w:val="00C55B76"/>
    <w:rsid w:val="00C567C8"/>
    <w:rsid w:val="00C63980"/>
    <w:rsid w:val="00C64854"/>
    <w:rsid w:val="00C64C0C"/>
    <w:rsid w:val="00C66D8E"/>
    <w:rsid w:val="00C7053B"/>
    <w:rsid w:val="00C70697"/>
    <w:rsid w:val="00C70EB3"/>
    <w:rsid w:val="00C713F5"/>
    <w:rsid w:val="00C72578"/>
    <w:rsid w:val="00C72F13"/>
    <w:rsid w:val="00C75C63"/>
    <w:rsid w:val="00C8030D"/>
    <w:rsid w:val="00C80C3D"/>
    <w:rsid w:val="00C82394"/>
    <w:rsid w:val="00C835CC"/>
    <w:rsid w:val="00C8419E"/>
    <w:rsid w:val="00C9096E"/>
    <w:rsid w:val="00C92285"/>
    <w:rsid w:val="00C95EB9"/>
    <w:rsid w:val="00C96A66"/>
    <w:rsid w:val="00CA10E2"/>
    <w:rsid w:val="00CA1882"/>
    <w:rsid w:val="00CA2717"/>
    <w:rsid w:val="00CA3B55"/>
    <w:rsid w:val="00CA497B"/>
    <w:rsid w:val="00CA49DD"/>
    <w:rsid w:val="00CA58A8"/>
    <w:rsid w:val="00CA5D03"/>
    <w:rsid w:val="00CA60B2"/>
    <w:rsid w:val="00CB2ACC"/>
    <w:rsid w:val="00CB2DA6"/>
    <w:rsid w:val="00CB3CFA"/>
    <w:rsid w:val="00CB428F"/>
    <w:rsid w:val="00CB4693"/>
    <w:rsid w:val="00CB4837"/>
    <w:rsid w:val="00CB6E86"/>
    <w:rsid w:val="00CB71F9"/>
    <w:rsid w:val="00CB7916"/>
    <w:rsid w:val="00CB7B64"/>
    <w:rsid w:val="00CC12A6"/>
    <w:rsid w:val="00CC2EF6"/>
    <w:rsid w:val="00CC75CA"/>
    <w:rsid w:val="00CD0276"/>
    <w:rsid w:val="00CD1238"/>
    <w:rsid w:val="00CD1638"/>
    <w:rsid w:val="00CD27A8"/>
    <w:rsid w:val="00CD2881"/>
    <w:rsid w:val="00CD45A4"/>
    <w:rsid w:val="00CD504F"/>
    <w:rsid w:val="00CD52DE"/>
    <w:rsid w:val="00CD5A67"/>
    <w:rsid w:val="00CD7278"/>
    <w:rsid w:val="00CD785E"/>
    <w:rsid w:val="00CE2373"/>
    <w:rsid w:val="00CE729B"/>
    <w:rsid w:val="00CE73EE"/>
    <w:rsid w:val="00CE7D46"/>
    <w:rsid w:val="00CF1D36"/>
    <w:rsid w:val="00CF2568"/>
    <w:rsid w:val="00CF2582"/>
    <w:rsid w:val="00CF26AD"/>
    <w:rsid w:val="00CF298C"/>
    <w:rsid w:val="00CF3042"/>
    <w:rsid w:val="00CF30CA"/>
    <w:rsid w:val="00CF3143"/>
    <w:rsid w:val="00CF5079"/>
    <w:rsid w:val="00CF56B4"/>
    <w:rsid w:val="00CF675B"/>
    <w:rsid w:val="00D00198"/>
    <w:rsid w:val="00D007D7"/>
    <w:rsid w:val="00D00FC5"/>
    <w:rsid w:val="00D02F16"/>
    <w:rsid w:val="00D0310C"/>
    <w:rsid w:val="00D04D15"/>
    <w:rsid w:val="00D07AA8"/>
    <w:rsid w:val="00D109A5"/>
    <w:rsid w:val="00D12C89"/>
    <w:rsid w:val="00D1336B"/>
    <w:rsid w:val="00D148FB"/>
    <w:rsid w:val="00D15890"/>
    <w:rsid w:val="00D2559E"/>
    <w:rsid w:val="00D255F9"/>
    <w:rsid w:val="00D261E8"/>
    <w:rsid w:val="00D26DD7"/>
    <w:rsid w:val="00D27D2A"/>
    <w:rsid w:val="00D31637"/>
    <w:rsid w:val="00D3172E"/>
    <w:rsid w:val="00D31B4A"/>
    <w:rsid w:val="00D33A68"/>
    <w:rsid w:val="00D36599"/>
    <w:rsid w:val="00D42384"/>
    <w:rsid w:val="00D434B9"/>
    <w:rsid w:val="00D43955"/>
    <w:rsid w:val="00D442BE"/>
    <w:rsid w:val="00D442C0"/>
    <w:rsid w:val="00D4445B"/>
    <w:rsid w:val="00D44FF5"/>
    <w:rsid w:val="00D45D25"/>
    <w:rsid w:val="00D47863"/>
    <w:rsid w:val="00D47B24"/>
    <w:rsid w:val="00D51F48"/>
    <w:rsid w:val="00D52181"/>
    <w:rsid w:val="00D52AB5"/>
    <w:rsid w:val="00D532CB"/>
    <w:rsid w:val="00D55960"/>
    <w:rsid w:val="00D575F8"/>
    <w:rsid w:val="00D621D0"/>
    <w:rsid w:val="00D628FE"/>
    <w:rsid w:val="00D63E5D"/>
    <w:rsid w:val="00D656A0"/>
    <w:rsid w:val="00D658C7"/>
    <w:rsid w:val="00D6619F"/>
    <w:rsid w:val="00D66835"/>
    <w:rsid w:val="00D66B0A"/>
    <w:rsid w:val="00D66C09"/>
    <w:rsid w:val="00D66C7D"/>
    <w:rsid w:val="00D704C4"/>
    <w:rsid w:val="00D72165"/>
    <w:rsid w:val="00D72856"/>
    <w:rsid w:val="00D72AC6"/>
    <w:rsid w:val="00D72C91"/>
    <w:rsid w:val="00D731CA"/>
    <w:rsid w:val="00D73424"/>
    <w:rsid w:val="00D73A45"/>
    <w:rsid w:val="00D74160"/>
    <w:rsid w:val="00D745AF"/>
    <w:rsid w:val="00D749F3"/>
    <w:rsid w:val="00D755AF"/>
    <w:rsid w:val="00D77247"/>
    <w:rsid w:val="00D777B0"/>
    <w:rsid w:val="00D80837"/>
    <w:rsid w:val="00D8086A"/>
    <w:rsid w:val="00D85108"/>
    <w:rsid w:val="00D8530F"/>
    <w:rsid w:val="00D87CFA"/>
    <w:rsid w:val="00D91D6F"/>
    <w:rsid w:val="00D927BA"/>
    <w:rsid w:val="00D941CC"/>
    <w:rsid w:val="00D947B9"/>
    <w:rsid w:val="00D94A53"/>
    <w:rsid w:val="00D955D4"/>
    <w:rsid w:val="00D96781"/>
    <w:rsid w:val="00DA2056"/>
    <w:rsid w:val="00DA3557"/>
    <w:rsid w:val="00DA3827"/>
    <w:rsid w:val="00DA4A79"/>
    <w:rsid w:val="00DA4C24"/>
    <w:rsid w:val="00DA58CD"/>
    <w:rsid w:val="00DA6CBE"/>
    <w:rsid w:val="00DB08B2"/>
    <w:rsid w:val="00DB16CC"/>
    <w:rsid w:val="00DB2A57"/>
    <w:rsid w:val="00DB3017"/>
    <w:rsid w:val="00DB409B"/>
    <w:rsid w:val="00DB45B7"/>
    <w:rsid w:val="00DB4A98"/>
    <w:rsid w:val="00DB4C31"/>
    <w:rsid w:val="00DB77D2"/>
    <w:rsid w:val="00DB7970"/>
    <w:rsid w:val="00DC013E"/>
    <w:rsid w:val="00DC090A"/>
    <w:rsid w:val="00DC0B09"/>
    <w:rsid w:val="00DC5B5B"/>
    <w:rsid w:val="00DC6A86"/>
    <w:rsid w:val="00DC7082"/>
    <w:rsid w:val="00DC7301"/>
    <w:rsid w:val="00DD0893"/>
    <w:rsid w:val="00DD1A43"/>
    <w:rsid w:val="00DD1B4D"/>
    <w:rsid w:val="00DD3146"/>
    <w:rsid w:val="00DD4632"/>
    <w:rsid w:val="00DD591F"/>
    <w:rsid w:val="00DD5982"/>
    <w:rsid w:val="00DD5CF1"/>
    <w:rsid w:val="00DD6F45"/>
    <w:rsid w:val="00DD7FB3"/>
    <w:rsid w:val="00DE0AE6"/>
    <w:rsid w:val="00DE14E4"/>
    <w:rsid w:val="00DE1E7B"/>
    <w:rsid w:val="00DE2874"/>
    <w:rsid w:val="00DE3A56"/>
    <w:rsid w:val="00DE7494"/>
    <w:rsid w:val="00DF0EAF"/>
    <w:rsid w:val="00DF1304"/>
    <w:rsid w:val="00DF3ABE"/>
    <w:rsid w:val="00DF4065"/>
    <w:rsid w:val="00DF42C9"/>
    <w:rsid w:val="00DF4B2D"/>
    <w:rsid w:val="00DF61F7"/>
    <w:rsid w:val="00E005DD"/>
    <w:rsid w:val="00E00834"/>
    <w:rsid w:val="00E018FB"/>
    <w:rsid w:val="00E03E40"/>
    <w:rsid w:val="00E0485C"/>
    <w:rsid w:val="00E07AD6"/>
    <w:rsid w:val="00E07DF0"/>
    <w:rsid w:val="00E117D8"/>
    <w:rsid w:val="00E11819"/>
    <w:rsid w:val="00E11DD2"/>
    <w:rsid w:val="00E12E6A"/>
    <w:rsid w:val="00E133F9"/>
    <w:rsid w:val="00E13E03"/>
    <w:rsid w:val="00E14311"/>
    <w:rsid w:val="00E14333"/>
    <w:rsid w:val="00E16075"/>
    <w:rsid w:val="00E16385"/>
    <w:rsid w:val="00E22618"/>
    <w:rsid w:val="00E22A27"/>
    <w:rsid w:val="00E238FC"/>
    <w:rsid w:val="00E23C1D"/>
    <w:rsid w:val="00E23ED1"/>
    <w:rsid w:val="00E2553B"/>
    <w:rsid w:val="00E25D41"/>
    <w:rsid w:val="00E2635E"/>
    <w:rsid w:val="00E26C54"/>
    <w:rsid w:val="00E27656"/>
    <w:rsid w:val="00E30067"/>
    <w:rsid w:val="00E31B7A"/>
    <w:rsid w:val="00E320A0"/>
    <w:rsid w:val="00E328E2"/>
    <w:rsid w:val="00E3592F"/>
    <w:rsid w:val="00E3782A"/>
    <w:rsid w:val="00E37A94"/>
    <w:rsid w:val="00E406D1"/>
    <w:rsid w:val="00E4123B"/>
    <w:rsid w:val="00E41A5C"/>
    <w:rsid w:val="00E42601"/>
    <w:rsid w:val="00E43D8F"/>
    <w:rsid w:val="00E45FBC"/>
    <w:rsid w:val="00E46DED"/>
    <w:rsid w:val="00E477CF"/>
    <w:rsid w:val="00E5164C"/>
    <w:rsid w:val="00E5278C"/>
    <w:rsid w:val="00E53FB2"/>
    <w:rsid w:val="00E5565E"/>
    <w:rsid w:val="00E60AF1"/>
    <w:rsid w:val="00E61E36"/>
    <w:rsid w:val="00E63D5A"/>
    <w:rsid w:val="00E6446F"/>
    <w:rsid w:val="00E658BA"/>
    <w:rsid w:val="00E65997"/>
    <w:rsid w:val="00E6755B"/>
    <w:rsid w:val="00E7472B"/>
    <w:rsid w:val="00E750E0"/>
    <w:rsid w:val="00E77847"/>
    <w:rsid w:val="00E81547"/>
    <w:rsid w:val="00E86667"/>
    <w:rsid w:val="00E86833"/>
    <w:rsid w:val="00E86A48"/>
    <w:rsid w:val="00E8728E"/>
    <w:rsid w:val="00E874CF"/>
    <w:rsid w:val="00E90006"/>
    <w:rsid w:val="00E90273"/>
    <w:rsid w:val="00E90714"/>
    <w:rsid w:val="00E91310"/>
    <w:rsid w:val="00E9159E"/>
    <w:rsid w:val="00E92154"/>
    <w:rsid w:val="00E927C5"/>
    <w:rsid w:val="00E9348C"/>
    <w:rsid w:val="00E93BD3"/>
    <w:rsid w:val="00E94E88"/>
    <w:rsid w:val="00E96998"/>
    <w:rsid w:val="00EA0632"/>
    <w:rsid w:val="00EA0BDD"/>
    <w:rsid w:val="00EA38DC"/>
    <w:rsid w:val="00EA42B0"/>
    <w:rsid w:val="00EA608A"/>
    <w:rsid w:val="00EA735A"/>
    <w:rsid w:val="00EA7555"/>
    <w:rsid w:val="00EA7DC3"/>
    <w:rsid w:val="00EB0589"/>
    <w:rsid w:val="00EB0CA2"/>
    <w:rsid w:val="00EB13C0"/>
    <w:rsid w:val="00EB1476"/>
    <w:rsid w:val="00EB1754"/>
    <w:rsid w:val="00EB58EB"/>
    <w:rsid w:val="00EB690F"/>
    <w:rsid w:val="00EC0B64"/>
    <w:rsid w:val="00EC0DA0"/>
    <w:rsid w:val="00EC5EA6"/>
    <w:rsid w:val="00EC60A9"/>
    <w:rsid w:val="00EC6687"/>
    <w:rsid w:val="00EC669A"/>
    <w:rsid w:val="00EC76C8"/>
    <w:rsid w:val="00EC777E"/>
    <w:rsid w:val="00EC7F27"/>
    <w:rsid w:val="00ED1EB9"/>
    <w:rsid w:val="00ED2275"/>
    <w:rsid w:val="00ED278E"/>
    <w:rsid w:val="00ED5FB8"/>
    <w:rsid w:val="00ED6B37"/>
    <w:rsid w:val="00EE2C98"/>
    <w:rsid w:val="00EE4070"/>
    <w:rsid w:val="00EE729B"/>
    <w:rsid w:val="00EE7441"/>
    <w:rsid w:val="00EE7E95"/>
    <w:rsid w:val="00EF35D8"/>
    <w:rsid w:val="00EF39C0"/>
    <w:rsid w:val="00EF3B49"/>
    <w:rsid w:val="00EF5903"/>
    <w:rsid w:val="00EF5AA3"/>
    <w:rsid w:val="00EF5F83"/>
    <w:rsid w:val="00F02B13"/>
    <w:rsid w:val="00F03F83"/>
    <w:rsid w:val="00F074EB"/>
    <w:rsid w:val="00F101AE"/>
    <w:rsid w:val="00F102E5"/>
    <w:rsid w:val="00F14AAC"/>
    <w:rsid w:val="00F15225"/>
    <w:rsid w:val="00F21781"/>
    <w:rsid w:val="00F217B7"/>
    <w:rsid w:val="00F21C7B"/>
    <w:rsid w:val="00F23EA4"/>
    <w:rsid w:val="00F2405E"/>
    <w:rsid w:val="00F31502"/>
    <w:rsid w:val="00F31963"/>
    <w:rsid w:val="00F32390"/>
    <w:rsid w:val="00F32AA3"/>
    <w:rsid w:val="00F3317E"/>
    <w:rsid w:val="00F3372D"/>
    <w:rsid w:val="00F34574"/>
    <w:rsid w:val="00F355AC"/>
    <w:rsid w:val="00F35C31"/>
    <w:rsid w:val="00F36ADE"/>
    <w:rsid w:val="00F37914"/>
    <w:rsid w:val="00F37F37"/>
    <w:rsid w:val="00F42CBC"/>
    <w:rsid w:val="00F4612D"/>
    <w:rsid w:val="00F47641"/>
    <w:rsid w:val="00F5067F"/>
    <w:rsid w:val="00F5091C"/>
    <w:rsid w:val="00F51131"/>
    <w:rsid w:val="00F52E3B"/>
    <w:rsid w:val="00F530B1"/>
    <w:rsid w:val="00F55416"/>
    <w:rsid w:val="00F564EF"/>
    <w:rsid w:val="00F6071A"/>
    <w:rsid w:val="00F63093"/>
    <w:rsid w:val="00F65055"/>
    <w:rsid w:val="00F6568C"/>
    <w:rsid w:val="00F662AC"/>
    <w:rsid w:val="00F67CF5"/>
    <w:rsid w:val="00F71ED9"/>
    <w:rsid w:val="00F720BA"/>
    <w:rsid w:val="00F723E5"/>
    <w:rsid w:val="00F72CEF"/>
    <w:rsid w:val="00F74451"/>
    <w:rsid w:val="00F75862"/>
    <w:rsid w:val="00F75ADE"/>
    <w:rsid w:val="00F76137"/>
    <w:rsid w:val="00F76968"/>
    <w:rsid w:val="00F76A54"/>
    <w:rsid w:val="00F8022F"/>
    <w:rsid w:val="00F81F32"/>
    <w:rsid w:val="00F83689"/>
    <w:rsid w:val="00F857EE"/>
    <w:rsid w:val="00F85C8C"/>
    <w:rsid w:val="00F86DC1"/>
    <w:rsid w:val="00F87957"/>
    <w:rsid w:val="00F87B12"/>
    <w:rsid w:val="00F90EB3"/>
    <w:rsid w:val="00F910AC"/>
    <w:rsid w:val="00F9168C"/>
    <w:rsid w:val="00F91D22"/>
    <w:rsid w:val="00F91FD4"/>
    <w:rsid w:val="00F93185"/>
    <w:rsid w:val="00F93251"/>
    <w:rsid w:val="00F944AE"/>
    <w:rsid w:val="00F949CA"/>
    <w:rsid w:val="00F95B6A"/>
    <w:rsid w:val="00F95F97"/>
    <w:rsid w:val="00F965C8"/>
    <w:rsid w:val="00F97DD4"/>
    <w:rsid w:val="00FA149C"/>
    <w:rsid w:val="00FA3A75"/>
    <w:rsid w:val="00FA492A"/>
    <w:rsid w:val="00FA5670"/>
    <w:rsid w:val="00FA71F4"/>
    <w:rsid w:val="00FA7457"/>
    <w:rsid w:val="00FA7D41"/>
    <w:rsid w:val="00FB1263"/>
    <w:rsid w:val="00FB265D"/>
    <w:rsid w:val="00FB312A"/>
    <w:rsid w:val="00FB3156"/>
    <w:rsid w:val="00FB43F9"/>
    <w:rsid w:val="00FB4EB1"/>
    <w:rsid w:val="00FB5357"/>
    <w:rsid w:val="00FB5602"/>
    <w:rsid w:val="00FB5E40"/>
    <w:rsid w:val="00FB697F"/>
    <w:rsid w:val="00FB6DF9"/>
    <w:rsid w:val="00FB787B"/>
    <w:rsid w:val="00FC00E2"/>
    <w:rsid w:val="00FC042A"/>
    <w:rsid w:val="00FC369F"/>
    <w:rsid w:val="00FD10D4"/>
    <w:rsid w:val="00FD3206"/>
    <w:rsid w:val="00FD3AF2"/>
    <w:rsid w:val="00FD4130"/>
    <w:rsid w:val="00FD6D3A"/>
    <w:rsid w:val="00FE18F4"/>
    <w:rsid w:val="00FE438B"/>
    <w:rsid w:val="00FE53AD"/>
    <w:rsid w:val="00FE5685"/>
    <w:rsid w:val="00FE58FE"/>
    <w:rsid w:val="00FE59F4"/>
    <w:rsid w:val="00FE6B2F"/>
    <w:rsid w:val="00FE728B"/>
    <w:rsid w:val="00FE7F6D"/>
    <w:rsid w:val="00FF1C6B"/>
    <w:rsid w:val="00FF23E1"/>
    <w:rsid w:val="00FF3095"/>
    <w:rsid w:val="00FF4AA8"/>
    <w:rsid w:val="00FF5987"/>
    <w:rsid w:val="00FF7B32"/>
    <w:rsid w:val="410F5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DEBC"/>
  <w15:chartTrackingRefBased/>
  <w15:docId w15:val="{D4FD52B4-D91D-427A-A9D9-C254C430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53B"/>
  </w:style>
  <w:style w:type="paragraph" w:styleId="Heading1">
    <w:name w:val="heading 1"/>
    <w:basedOn w:val="Normal"/>
    <w:next w:val="Normal"/>
    <w:link w:val="Heading1Char"/>
    <w:uiPriority w:val="9"/>
    <w:qFormat/>
    <w:rsid w:val="00F87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7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7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7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7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957"/>
    <w:rPr>
      <w:rFonts w:eastAsiaTheme="majorEastAsia" w:cstheme="majorBidi"/>
      <w:color w:val="272727" w:themeColor="text1" w:themeTint="D8"/>
    </w:rPr>
  </w:style>
  <w:style w:type="paragraph" w:styleId="Title">
    <w:name w:val="Title"/>
    <w:basedOn w:val="Normal"/>
    <w:next w:val="Normal"/>
    <w:link w:val="TitleChar"/>
    <w:uiPriority w:val="10"/>
    <w:qFormat/>
    <w:rsid w:val="00F8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957"/>
    <w:pPr>
      <w:spacing w:before="160"/>
      <w:jc w:val="center"/>
    </w:pPr>
    <w:rPr>
      <w:i/>
      <w:iCs/>
      <w:color w:val="404040" w:themeColor="text1" w:themeTint="BF"/>
    </w:rPr>
  </w:style>
  <w:style w:type="character" w:customStyle="1" w:styleId="QuoteChar">
    <w:name w:val="Quote Char"/>
    <w:basedOn w:val="DefaultParagraphFont"/>
    <w:link w:val="Quote"/>
    <w:uiPriority w:val="29"/>
    <w:rsid w:val="00F87957"/>
    <w:rPr>
      <w:i/>
      <w:iCs/>
      <w:color w:val="404040" w:themeColor="text1" w:themeTint="BF"/>
    </w:rPr>
  </w:style>
  <w:style w:type="paragraph" w:styleId="ListParagraph">
    <w:name w:val="List Paragraph"/>
    <w:basedOn w:val="Normal"/>
    <w:uiPriority w:val="34"/>
    <w:qFormat/>
    <w:rsid w:val="00F87957"/>
    <w:pPr>
      <w:ind w:left="720"/>
      <w:contextualSpacing/>
    </w:pPr>
  </w:style>
  <w:style w:type="character" w:styleId="IntenseEmphasis">
    <w:name w:val="Intense Emphasis"/>
    <w:basedOn w:val="DefaultParagraphFont"/>
    <w:uiPriority w:val="21"/>
    <w:qFormat/>
    <w:rsid w:val="00F87957"/>
    <w:rPr>
      <w:i/>
      <w:iCs/>
      <w:color w:val="0F4761" w:themeColor="accent1" w:themeShade="BF"/>
    </w:rPr>
  </w:style>
  <w:style w:type="paragraph" w:styleId="IntenseQuote">
    <w:name w:val="Intense Quote"/>
    <w:basedOn w:val="Normal"/>
    <w:next w:val="Normal"/>
    <w:link w:val="IntenseQuoteChar"/>
    <w:uiPriority w:val="30"/>
    <w:qFormat/>
    <w:rsid w:val="00F87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957"/>
    <w:rPr>
      <w:i/>
      <w:iCs/>
      <w:color w:val="0F4761" w:themeColor="accent1" w:themeShade="BF"/>
    </w:rPr>
  </w:style>
  <w:style w:type="character" w:styleId="IntenseReference">
    <w:name w:val="Intense Reference"/>
    <w:basedOn w:val="DefaultParagraphFont"/>
    <w:uiPriority w:val="32"/>
    <w:qFormat/>
    <w:rsid w:val="00F87957"/>
    <w:rPr>
      <w:b/>
      <w:bCs/>
      <w:smallCaps/>
      <w:color w:val="0F4761" w:themeColor="accent1" w:themeShade="BF"/>
      <w:spacing w:val="5"/>
    </w:rPr>
  </w:style>
  <w:style w:type="paragraph" w:styleId="Footer">
    <w:name w:val="footer"/>
    <w:basedOn w:val="Normal"/>
    <w:link w:val="FooterChar"/>
    <w:uiPriority w:val="99"/>
    <w:unhideWhenUsed/>
    <w:rsid w:val="00F87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957"/>
  </w:style>
  <w:style w:type="table" w:styleId="TableGrid">
    <w:name w:val="Table Grid"/>
    <w:basedOn w:val="TableNormal"/>
    <w:uiPriority w:val="39"/>
    <w:rsid w:val="0083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5D90"/>
    <w:rPr>
      <w:sz w:val="16"/>
      <w:szCs w:val="16"/>
    </w:rPr>
  </w:style>
  <w:style w:type="paragraph" w:styleId="CommentText">
    <w:name w:val="annotation text"/>
    <w:basedOn w:val="Normal"/>
    <w:link w:val="CommentTextChar"/>
    <w:uiPriority w:val="99"/>
    <w:unhideWhenUsed/>
    <w:rsid w:val="00BC5D90"/>
    <w:pPr>
      <w:spacing w:line="240" w:lineRule="auto"/>
    </w:pPr>
    <w:rPr>
      <w:sz w:val="20"/>
      <w:szCs w:val="20"/>
    </w:rPr>
  </w:style>
  <w:style w:type="character" w:customStyle="1" w:styleId="CommentTextChar">
    <w:name w:val="Comment Text Char"/>
    <w:basedOn w:val="DefaultParagraphFont"/>
    <w:link w:val="CommentText"/>
    <w:uiPriority w:val="99"/>
    <w:rsid w:val="00BC5D90"/>
    <w:rPr>
      <w:sz w:val="20"/>
      <w:szCs w:val="20"/>
    </w:rPr>
  </w:style>
  <w:style w:type="paragraph" w:styleId="CommentSubject">
    <w:name w:val="annotation subject"/>
    <w:basedOn w:val="CommentText"/>
    <w:next w:val="CommentText"/>
    <w:link w:val="CommentSubjectChar"/>
    <w:uiPriority w:val="99"/>
    <w:semiHidden/>
    <w:unhideWhenUsed/>
    <w:rsid w:val="00BC5D90"/>
    <w:rPr>
      <w:b/>
      <w:bCs/>
    </w:rPr>
  </w:style>
  <w:style w:type="character" w:customStyle="1" w:styleId="CommentSubjectChar">
    <w:name w:val="Comment Subject Char"/>
    <w:basedOn w:val="CommentTextChar"/>
    <w:link w:val="CommentSubject"/>
    <w:uiPriority w:val="99"/>
    <w:semiHidden/>
    <w:rsid w:val="00BC5D90"/>
    <w:rPr>
      <w:b/>
      <w:bCs/>
      <w:sz w:val="20"/>
      <w:szCs w:val="20"/>
    </w:rPr>
  </w:style>
  <w:style w:type="character" w:styleId="Mention">
    <w:name w:val="Mention"/>
    <w:basedOn w:val="DefaultParagraphFont"/>
    <w:uiPriority w:val="99"/>
    <w:unhideWhenUsed/>
    <w:rsid w:val="00BC5D90"/>
    <w:rPr>
      <w:color w:val="2B579A"/>
      <w:shd w:val="clear" w:color="auto" w:fill="E1DFDD"/>
    </w:rPr>
  </w:style>
  <w:style w:type="paragraph" w:styleId="Revision">
    <w:name w:val="Revision"/>
    <w:hidden/>
    <w:uiPriority w:val="99"/>
    <w:semiHidden/>
    <w:rsid w:val="00CD1238"/>
    <w:pPr>
      <w:spacing w:after="0" w:line="240" w:lineRule="auto"/>
    </w:pPr>
  </w:style>
  <w:style w:type="character" w:styleId="Hyperlink">
    <w:name w:val="Hyperlink"/>
    <w:basedOn w:val="DefaultParagraphFont"/>
    <w:uiPriority w:val="99"/>
    <w:unhideWhenUsed/>
    <w:rsid w:val="009D5F5A"/>
    <w:rPr>
      <w:color w:val="467886" w:themeColor="hyperlink"/>
      <w:u w:val="single"/>
    </w:rPr>
  </w:style>
  <w:style w:type="paragraph" w:styleId="Header">
    <w:name w:val="header"/>
    <w:basedOn w:val="Normal"/>
    <w:link w:val="HeaderChar"/>
    <w:uiPriority w:val="99"/>
    <w:unhideWhenUsed/>
    <w:rsid w:val="006B5A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AF0"/>
  </w:style>
  <w:style w:type="paragraph" w:styleId="NormalWeb">
    <w:name w:val="Normal (Web)"/>
    <w:basedOn w:val="Normal"/>
    <w:uiPriority w:val="99"/>
    <w:semiHidden/>
    <w:unhideWhenUsed/>
    <w:rsid w:val="008734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4032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32E2"/>
    <w:rPr>
      <w:sz w:val="20"/>
      <w:szCs w:val="20"/>
    </w:rPr>
  </w:style>
  <w:style w:type="character" w:styleId="FootnoteReference">
    <w:name w:val="footnote reference"/>
    <w:basedOn w:val="DefaultParagraphFont"/>
    <w:uiPriority w:val="99"/>
    <w:semiHidden/>
    <w:unhideWhenUsed/>
    <w:rsid w:val="004032E2"/>
    <w:rPr>
      <w:vertAlign w:val="superscript"/>
    </w:rPr>
  </w:style>
  <w:style w:type="character" w:styleId="UnresolvedMention">
    <w:name w:val="Unresolved Mention"/>
    <w:basedOn w:val="DefaultParagraphFont"/>
    <w:uiPriority w:val="99"/>
    <w:semiHidden/>
    <w:unhideWhenUsed/>
    <w:rsid w:val="00130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260711">
      <w:bodyDiv w:val="1"/>
      <w:marLeft w:val="0"/>
      <w:marRight w:val="0"/>
      <w:marTop w:val="0"/>
      <w:marBottom w:val="0"/>
      <w:divBdr>
        <w:top w:val="none" w:sz="0" w:space="0" w:color="auto"/>
        <w:left w:val="none" w:sz="0" w:space="0" w:color="auto"/>
        <w:bottom w:val="none" w:sz="0" w:space="0" w:color="auto"/>
        <w:right w:val="none" w:sz="0" w:space="0" w:color="auto"/>
      </w:divBdr>
    </w:div>
    <w:div w:id="231087170">
      <w:bodyDiv w:val="1"/>
      <w:marLeft w:val="0"/>
      <w:marRight w:val="0"/>
      <w:marTop w:val="0"/>
      <w:marBottom w:val="0"/>
      <w:divBdr>
        <w:top w:val="none" w:sz="0" w:space="0" w:color="auto"/>
        <w:left w:val="none" w:sz="0" w:space="0" w:color="auto"/>
        <w:bottom w:val="none" w:sz="0" w:space="0" w:color="auto"/>
        <w:right w:val="none" w:sz="0" w:space="0" w:color="auto"/>
      </w:divBdr>
    </w:div>
    <w:div w:id="369651209">
      <w:bodyDiv w:val="1"/>
      <w:marLeft w:val="0"/>
      <w:marRight w:val="0"/>
      <w:marTop w:val="0"/>
      <w:marBottom w:val="0"/>
      <w:divBdr>
        <w:top w:val="none" w:sz="0" w:space="0" w:color="auto"/>
        <w:left w:val="none" w:sz="0" w:space="0" w:color="auto"/>
        <w:bottom w:val="none" w:sz="0" w:space="0" w:color="auto"/>
        <w:right w:val="none" w:sz="0" w:space="0" w:color="auto"/>
      </w:divBdr>
    </w:div>
    <w:div w:id="395977632">
      <w:bodyDiv w:val="1"/>
      <w:marLeft w:val="0"/>
      <w:marRight w:val="0"/>
      <w:marTop w:val="0"/>
      <w:marBottom w:val="0"/>
      <w:divBdr>
        <w:top w:val="none" w:sz="0" w:space="0" w:color="auto"/>
        <w:left w:val="none" w:sz="0" w:space="0" w:color="auto"/>
        <w:bottom w:val="none" w:sz="0" w:space="0" w:color="auto"/>
        <w:right w:val="none" w:sz="0" w:space="0" w:color="auto"/>
      </w:divBdr>
    </w:div>
    <w:div w:id="471143280">
      <w:bodyDiv w:val="1"/>
      <w:marLeft w:val="0"/>
      <w:marRight w:val="0"/>
      <w:marTop w:val="0"/>
      <w:marBottom w:val="0"/>
      <w:divBdr>
        <w:top w:val="none" w:sz="0" w:space="0" w:color="auto"/>
        <w:left w:val="none" w:sz="0" w:space="0" w:color="auto"/>
        <w:bottom w:val="none" w:sz="0" w:space="0" w:color="auto"/>
        <w:right w:val="none" w:sz="0" w:space="0" w:color="auto"/>
      </w:divBdr>
      <w:divsChild>
        <w:div w:id="172259606">
          <w:marLeft w:val="720"/>
          <w:marRight w:val="0"/>
          <w:marTop w:val="240"/>
          <w:marBottom w:val="40"/>
          <w:divBdr>
            <w:top w:val="none" w:sz="0" w:space="0" w:color="auto"/>
            <w:left w:val="none" w:sz="0" w:space="0" w:color="auto"/>
            <w:bottom w:val="none" w:sz="0" w:space="0" w:color="auto"/>
            <w:right w:val="none" w:sz="0" w:space="0" w:color="auto"/>
          </w:divBdr>
        </w:div>
        <w:div w:id="383718939">
          <w:marLeft w:val="720"/>
          <w:marRight w:val="0"/>
          <w:marTop w:val="240"/>
          <w:marBottom w:val="40"/>
          <w:divBdr>
            <w:top w:val="none" w:sz="0" w:space="0" w:color="auto"/>
            <w:left w:val="none" w:sz="0" w:space="0" w:color="auto"/>
            <w:bottom w:val="none" w:sz="0" w:space="0" w:color="auto"/>
            <w:right w:val="none" w:sz="0" w:space="0" w:color="auto"/>
          </w:divBdr>
        </w:div>
        <w:div w:id="467210290">
          <w:marLeft w:val="720"/>
          <w:marRight w:val="0"/>
          <w:marTop w:val="240"/>
          <w:marBottom w:val="40"/>
          <w:divBdr>
            <w:top w:val="none" w:sz="0" w:space="0" w:color="auto"/>
            <w:left w:val="none" w:sz="0" w:space="0" w:color="auto"/>
            <w:bottom w:val="none" w:sz="0" w:space="0" w:color="auto"/>
            <w:right w:val="none" w:sz="0" w:space="0" w:color="auto"/>
          </w:divBdr>
        </w:div>
        <w:div w:id="1067076144">
          <w:marLeft w:val="720"/>
          <w:marRight w:val="0"/>
          <w:marTop w:val="240"/>
          <w:marBottom w:val="40"/>
          <w:divBdr>
            <w:top w:val="none" w:sz="0" w:space="0" w:color="auto"/>
            <w:left w:val="none" w:sz="0" w:space="0" w:color="auto"/>
            <w:bottom w:val="none" w:sz="0" w:space="0" w:color="auto"/>
            <w:right w:val="none" w:sz="0" w:space="0" w:color="auto"/>
          </w:divBdr>
        </w:div>
        <w:div w:id="1370648523">
          <w:marLeft w:val="720"/>
          <w:marRight w:val="0"/>
          <w:marTop w:val="240"/>
          <w:marBottom w:val="40"/>
          <w:divBdr>
            <w:top w:val="none" w:sz="0" w:space="0" w:color="auto"/>
            <w:left w:val="none" w:sz="0" w:space="0" w:color="auto"/>
            <w:bottom w:val="none" w:sz="0" w:space="0" w:color="auto"/>
            <w:right w:val="none" w:sz="0" w:space="0" w:color="auto"/>
          </w:divBdr>
        </w:div>
        <w:div w:id="1497920337">
          <w:marLeft w:val="720"/>
          <w:marRight w:val="0"/>
          <w:marTop w:val="240"/>
          <w:marBottom w:val="40"/>
          <w:divBdr>
            <w:top w:val="none" w:sz="0" w:space="0" w:color="auto"/>
            <w:left w:val="none" w:sz="0" w:space="0" w:color="auto"/>
            <w:bottom w:val="none" w:sz="0" w:space="0" w:color="auto"/>
            <w:right w:val="none" w:sz="0" w:space="0" w:color="auto"/>
          </w:divBdr>
        </w:div>
        <w:div w:id="1921137729">
          <w:marLeft w:val="720"/>
          <w:marRight w:val="0"/>
          <w:marTop w:val="240"/>
          <w:marBottom w:val="40"/>
          <w:divBdr>
            <w:top w:val="none" w:sz="0" w:space="0" w:color="auto"/>
            <w:left w:val="none" w:sz="0" w:space="0" w:color="auto"/>
            <w:bottom w:val="none" w:sz="0" w:space="0" w:color="auto"/>
            <w:right w:val="none" w:sz="0" w:space="0" w:color="auto"/>
          </w:divBdr>
        </w:div>
        <w:div w:id="1990401972">
          <w:marLeft w:val="720"/>
          <w:marRight w:val="0"/>
          <w:marTop w:val="240"/>
          <w:marBottom w:val="40"/>
          <w:divBdr>
            <w:top w:val="none" w:sz="0" w:space="0" w:color="auto"/>
            <w:left w:val="none" w:sz="0" w:space="0" w:color="auto"/>
            <w:bottom w:val="none" w:sz="0" w:space="0" w:color="auto"/>
            <w:right w:val="none" w:sz="0" w:space="0" w:color="auto"/>
          </w:divBdr>
        </w:div>
      </w:divsChild>
    </w:div>
    <w:div w:id="475415955">
      <w:bodyDiv w:val="1"/>
      <w:marLeft w:val="0"/>
      <w:marRight w:val="0"/>
      <w:marTop w:val="0"/>
      <w:marBottom w:val="0"/>
      <w:divBdr>
        <w:top w:val="none" w:sz="0" w:space="0" w:color="auto"/>
        <w:left w:val="none" w:sz="0" w:space="0" w:color="auto"/>
        <w:bottom w:val="none" w:sz="0" w:space="0" w:color="auto"/>
        <w:right w:val="none" w:sz="0" w:space="0" w:color="auto"/>
      </w:divBdr>
    </w:div>
    <w:div w:id="650908818">
      <w:bodyDiv w:val="1"/>
      <w:marLeft w:val="0"/>
      <w:marRight w:val="0"/>
      <w:marTop w:val="0"/>
      <w:marBottom w:val="0"/>
      <w:divBdr>
        <w:top w:val="none" w:sz="0" w:space="0" w:color="auto"/>
        <w:left w:val="none" w:sz="0" w:space="0" w:color="auto"/>
        <w:bottom w:val="none" w:sz="0" w:space="0" w:color="auto"/>
        <w:right w:val="none" w:sz="0" w:space="0" w:color="auto"/>
      </w:divBdr>
    </w:div>
    <w:div w:id="714505190">
      <w:bodyDiv w:val="1"/>
      <w:marLeft w:val="0"/>
      <w:marRight w:val="0"/>
      <w:marTop w:val="0"/>
      <w:marBottom w:val="0"/>
      <w:divBdr>
        <w:top w:val="none" w:sz="0" w:space="0" w:color="auto"/>
        <w:left w:val="none" w:sz="0" w:space="0" w:color="auto"/>
        <w:bottom w:val="none" w:sz="0" w:space="0" w:color="auto"/>
        <w:right w:val="none" w:sz="0" w:space="0" w:color="auto"/>
      </w:divBdr>
    </w:div>
    <w:div w:id="726994916">
      <w:bodyDiv w:val="1"/>
      <w:marLeft w:val="0"/>
      <w:marRight w:val="0"/>
      <w:marTop w:val="0"/>
      <w:marBottom w:val="0"/>
      <w:divBdr>
        <w:top w:val="none" w:sz="0" w:space="0" w:color="auto"/>
        <w:left w:val="none" w:sz="0" w:space="0" w:color="auto"/>
        <w:bottom w:val="none" w:sz="0" w:space="0" w:color="auto"/>
        <w:right w:val="none" w:sz="0" w:space="0" w:color="auto"/>
      </w:divBdr>
    </w:div>
    <w:div w:id="734937551">
      <w:bodyDiv w:val="1"/>
      <w:marLeft w:val="0"/>
      <w:marRight w:val="0"/>
      <w:marTop w:val="0"/>
      <w:marBottom w:val="0"/>
      <w:divBdr>
        <w:top w:val="none" w:sz="0" w:space="0" w:color="auto"/>
        <w:left w:val="none" w:sz="0" w:space="0" w:color="auto"/>
        <w:bottom w:val="none" w:sz="0" w:space="0" w:color="auto"/>
        <w:right w:val="none" w:sz="0" w:space="0" w:color="auto"/>
      </w:divBdr>
    </w:div>
    <w:div w:id="901602906">
      <w:bodyDiv w:val="1"/>
      <w:marLeft w:val="0"/>
      <w:marRight w:val="0"/>
      <w:marTop w:val="0"/>
      <w:marBottom w:val="0"/>
      <w:divBdr>
        <w:top w:val="none" w:sz="0" w:space="0" w:color="auto"/>
        <w:left w:val="none" w:sz="0" w:space="0" w:color="auto"/>
        <w:bottom w:val="none" w:sz="0" w:space="0" w:color="auto"/>
        <w:right w:val="none" w:sz="0" w:space="0" w:color="auto"/>
      </w:divBdr>
    </w:div>
    <w:div w:id="999161977">
      <w:bodyDiv w:val="1"/>
      <w:marLeft w:val="0"/>
      <w:marRight w:val="0"/>
      <w:marTop w:val="0"/>
      <w:marBottom w:val="0"/>
      <w:divBdr>
        <w:top w:val="none" w:sz="0" w:space="0" w:color="auto"/>
        <w:left w:val="none" w:sz="0" w:space="0" w:color="auto"/>
        <w:bottom w:val="none" w:sz="0" w:space="0" w:color="auto"/>
        <w:right w:val="none" w:sz="0" w:space="0" w:color="auto"/>
      </w:divBdr>
    </w:div>
    <w:div w:id="1300918957">
      <w:bodyDiv w:val="1"/>
      <w:marLeft w:val="0"/>
      <w:marRight w:val="0"/>
      <w:marTop w:val="0"/>
      <w:marBottom w:val="0"/>
      <w:divBdr>
        <w:top w:val="none" w:sz="0" w:space="0" w:color="auto"/>
        <w:left w:val="none" w:sz="0" w:space="0" w:color="auto"/>
        <w:bottom w:val="none" w:sz="0" w:space="0" w:color="auto"/>
        <w:right w:val="none" w:sz="0" w:space="0" w:color="auto"/>
      </w:divBdr>
    </w:div>
    <w:div w:id="1375501594">
      <w:bodyDiv w:val="1"/>
      <w:marLeft w:val="0"/>
      <w:marRight w:val="0"/>
      <w:marTop w:val="0"/>
      <w:marBottom w:val="0"/>
      <w:divBdr>
        <w:top w:val="none" w:sz="0" w:space="0" w:color="auto"/>
        <w:left w:val="none" w:sz="0" w:space="0" w:color="auto"/>
        <w:bottom w:val="none" w:sz="0" w:space="0" w:color="auto"/>
        <w:right w:val="none" w:sz="0" w:space="0" w:color="auto"/>
      </w:divBdr>
    </w:div>
    <w:div w:id="1414087680">
      <w:bodyDiv w:val="1"/>
      <w:marLeft w:val="0"/>
      <w:marRight w:val="0"/>
      <w:marTop w:val="0"/>
      <w:marBottom w:val="0"/>
      <w:divBdr>
        <w:top w:val="none" w:sz="0" w:space="0" w:color="auto"/>
        <w:left w:val="none" w:sz="0" w:space="0" w:color="auto"/>
        <w:bottom w:val="none" w:sz="0" w:space="0" w:color="auto"/>
        <w:right w:val="none" w:sz="0" w:space="0" w:color="auto"/>
      </w:divBdr>
    </w:div>
    <w:div w:id="1430813422">
      <w:bodyDiv w:val="1"/>
      <w:marLeft w:val="0"/>
      <w:marRight w:val="0"/>
      <w:marTop w:val="0"/>
      <w:marBottom w:val="0"/>
      <w:divBdr>
        <w:top w:val="none" w:sz="0" w:space="0" w:color="auto"/>
        <w:left w:val="none" w:sz="0" w:space="0" w:color="auto"/>
        <w:bottom w:val="none" w:sz="0" w:space="0" w:color="auto"/>
        <w:right w:val="none" w:sz="0" w:space="0" w:color="auto"/>
      </w:divBdr>
    </w:div>
    <w:div w:id="1519464783">
      <w:bodyDiv w:val="1"/>
      <w:marLeft w:val="0"/>
      <w:marRight w:val="0"/>
      <w:marTop w:val="0"/>
      <w:marBottom w:val="0"/>
      <w:divBdr>
        <w:top w:val="none" w:sz="0" w:space="0" w:color="auto"/>
        <w:left w:val="none" w:sz="0" w:space="0" w:color="auto"/>
        <w:bottom w:val="none" w:sz="0" w:space="0" w:color="auto"/>
        <w:right w:val="none" w:sz="0" w:space="0" w:color="auto"/>
      </w:divBdr>
    </w:div>
    <w:div w:id="1630894543">
      <w:bodyDiv w:val="1"/>
      <w:marLeft w:val="0"/>
      <w:marRight w:val="0"/>
      <w:marTop w:val="0"/>
      <w:marBottom w:val="0"/>
      <w:divBdr>
        <w:top w:val="none" w:sz="0" w:space="0" w:color="auto"/>
        <w:left w:val="none" w:sz="0" w:space="0" w:color="auto"/>
        <w:bottom w:val="none" w:sz="0" w:space="0" w:color="auto"/>
        <w:right w:val="none" w:sz="0" w:space="0" w:color="auto"/>
      </w:divBdr>
    </w:div>
    <w:div w:id="1977056457">
      <w:bodyDiv w:val="1"/>
      <w:marLeft w:val="0"/>
      <w:marRight w:val="0"/>
      <w:marTop w:val="0"/>
      <w:marBottom w:val="0"/>
      <w:divBdr>
        <w:top w:val="none" w:sz="0" w:space="0" w:color="auto"/>
        <w:left w:val="none" w:sz="0" w:space="0" w:color="auto"/>
        <w:bottom w:val="none" w:sz="0" w:space="0" w:color="auto"/>
        <w:right w:val="none" w:sz="0" w:space="0" w:color="auto"/>
      </w:divBdr>
    </w:div>
    <w:div w:id="2075275108">
      <w:bodyDiv w:val="1"/>
      <w:marLeft w:val="0"/>
      <w:marRight w:val="0"/>
      <w:marTop w:val="0"/>
      <w:marBottom w:val="0"/>
      <w:divBdr>
        <w:top w:val="none" w:sz="0" w:space="0" w:color="auto"/>
        <w:left w:val="none" w:sz="0" w:space="0" w:color="auto"/>
        <w:bottom w:val="none" w:sz="0" w:space="0" w:color="auto"/>
        <w:right w:val="none" w:sz="0" w:space="0" w:color="auto"/>
      </w:divBdr>
    </w:div>
    <w:div w:id="21361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doi.org/10.1371/journal.pmed.1001069"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doi.org/10.1007/s11606-021-06737-1" TargetMode="Externa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doi.org/10.5688/aj720111"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ACD5DA-CAE6-46E7-B599-72FF2C49C573}" type="doc">
      <dgm:prSet loTypeId="urn:microsoft.com/office/officeart/2005/8/layout/hierarchy2" loCatId="hierarchy" qsTypeId="urn:microsoft.com/office/officeart/2005/8/quickstyle/simple2" qsCatId="simple" csTypeId="urn:microsoft.com/office/officeart/2005/8/colors/accent0_2" csCatId="mainScheme" phldr="1"/>
      <dgm:spPr/>
      <dgm:t>
        <a:bodyPr/>
        <a:lstStyle/>
        <a:p>
          <a:endParaRPr lang="en-US"/>
        </a:p>
      </dgm:t>
    </dgm:pt>
    <dgm:pt modelId="{9427458F-0D9C-4FA7-AB82-D4AC99A11539}">
      <dgm:prSet phldrT="[Text]"/>
      <dgm:spPr/>
      <dgm:t>
        <a:bodyPr/>
        <a:lstStyle/>
        <a:p>
          <a:r>
            <a:rPr lang="en-US"/>
            <a:t>Data</a:t>
          </a:r>
        </a:p>
      </dgm:t>
    </dgm:pt>
    <dgm:pt modelId="{F53F54C9-40CE-4195-88C7-6A98AB63F945}" type="parTrans" cxnId="{6692B9DD-01E9-41A4-A0E9-03195B4B1B7D}">
      <dgm:prSet/>
      <dgm:spPr/>
      <dgm:t>
        <a:bodyPr/>
        <a:lstStyle/>
        <a:p>
          <a:endParaRPr lang="en-US"/>
        </a:p>
      </dgm:t>
    </dgm:pt>
    <dgm:pt modelId="{48B13493-664E-4879-B566-884D6CE784AA}" type="sibTrans" cxnId="{6692B9DD-01E9-41A4-A0E9-03195B4B1B7D}">
      <dgm:prSet/>
      <dgm:spPr/>
      <dgm:t>
        <a:bodyPr/>
        <a:lstStyle/>
        <a:p>
          <a:endParaRPr lang="en-US"/>
        </a:p>
      </dgm:t>
    </dgm:pt>
    <dgm:pt modelId="{D8137D5F-C1D4-4D8B-AD16-02F7E1BFCB05}">
      <dgm:prSet phldrT="[Text]"/>
      <dgm:spPr/>
      <dgm:t>
        <a:bodyPr/>
        <a:lstStyle/>
        <a:p>
          <a:r>
            <a:rPr lang="en-US"/>
            <a:t>Original data</a:t>
          </a:r>
        </a:p>
      </dgm:t>
    </dgm:pt>
    <dgm:pt modelId="{BD5B689A-FB7E-468D-8E06-A9E0824E28E7}" type="parTrans" cxnId="{DDA23196-C9CD-4377-8B7C-9053596454C6}">
      <dgm:prSet/>
      <dgm:spPr/>
      <dgm:t>
        <a:bodyPr/>
        <a:lstStyle/>
        <a:p>
          <a:endParaRPr lang="en-US"/>
        </a:p>
      </dgm:t>
    </dgm:pt>
    <dgm:pt modelId="{D338EFA2-80DB-483D-8D4F-B16916D47F88}" type="sibTrans" cxnId="{DDA23196-C9CD-4377-8B7C-9053596454C6}">
      <dgm:prSet/>
      <dgm:spPr/>
      <dgm:t>
        <a:bodyPr/>
        <a:lstStyle/>
        <a:p>
          <a:endParaRPr lang="en-US"/>
        </a:p>
      </dgm:t>
    </dgm:pt>
    <dgm:pt modelId="{5E0D4B3D-1ADE-48D2-BB5C-5BB7656E4766}">
      <dgm:prSet phldrT="[Text]"/>
      <dgm:spPr/>
      <dgm:t>
        <a:bodyPr/>
        <a:lstStyle/>
        <a:p>
          <a:r>
            <a:rPr lang="en-US"/>
            <a:t>Processed data</a:t>
          </a:r>
        </a:p>
      </dgm:t>
    </dgm:pt>
    <dgm:pt modelId="{D628CE5D-222D-4F1E-B832-8BFC3384541A}" type="parTrans" cxnId="{AD6BCAA1-8F4B-4627-9580-B2800331D441}">
      <dgm:prSet/>
      <dgm:spPr/>
      <dgm:t>
        <a:bodyPr/>
        <a:lstStyle/>
        <a:p>
          <a:endParaRPr lang="en-US"/>
        </a:p>
      </dgm:t>
    </dgm:pt>
    <dgm:pt modelId="{119DCCBD-BC9B-4CCD-BEE8-4A16FE7AC027}" type="sibTrans" cxnId="{AD6BCAA1-8F4B-4627-9580-B2800331D441}">
      <dgm:prSet/>
      <dgm:spPr/>
      <dgm:t>
        <a:bodyPr/>
        <a:lstStyle/>
        <a:p>
          <a:endParaRPr lang="en-US"/>
        </a:p>
      </dgm:t>
    </dgm:pt>
    <dgm:pt modelId="{3A155D8E-094B-4689-AA92-65261C3CFA43}">
      <dgm:prSet phldrT="[Text]"/>
      <dgm:spPr/>
      <dgm:t>
        <a:bodyPr/>
        <a:lstStyle/>
        <a:p>
          <a:r>
            <a:rPr lang="en-US"/>
            <a:t>Analytical codes</a:t>
          </a:r>
        </a:p>
      </dgm:t>
    </dgm:pt>
    <dgm:pt modelId="{70C3B1A5-D1E6-4981-8E3B-155C7797446A}" type="parTrans" cxnId="{E0F7D4F8-F754-4530-9B14-A9536AB443E6}">
      <dgm:prSet/>
      <dgm:spPr/>
      <dgm:t>
        <a:bodyPr/>
        <a:lstStyle/>
        <a:p>
          <a:endParaRPr lang="en-US"/>
        </a:p>
      </dgm:t>
    </dgm:pt>
    <dgm:pt modelId="{3A2F99E1-A799-4BA3-BD24-457509D38745}" type="sibTrans" cxnId="{E0F7D4F8-F754-4530-9B14-A9536AB443E6}">
      <dgm:prSet/>
      <dgm:spPr/>
      <dgm:t>
        <a:bodyPr/>
        <a:lstStyle/>
        <a:p>
          <a:endParaRPr lang="en-US"/>
        </a:p>
      </dgm:t>
    </dgm:pt>
    <dgm:pt modelId="{0791E9B0-3868-40A2-9584-3B5393F4E2C9}">
      <dgm:prSet phldrT="[Text]"/>
      <dgm:spPr/>
      <dgm:t>
        <a:bodyPr/>
        <a:lstStyle/>
        <a:p>
          <a:r>
            <a:rPr lang="en-US"/>
            <a:t>Tables</a:t>
          </a:r>
        </a:p>
      </dgm:t>
    </dgm:pt>
    <dgm:pt modelId="{BCA7B4C2-5449-49E9-9282-A8036EE4F8EF}" type="parTrans" cxnId="{51E84475-EA55-4F35-9C23-47D92DB8425B}">
      <dgm:prSet/>
      <dgm:spPr/>
      <dgm:t>
        <a:bodyPr/>
        <a:lstStyle/>
        <a:p>
          <a:endParaRPr lang="en-US"/>
        </a:p>
      </dgm:t>
    </dgm:pt>
    <dgm:pt modelId="{8ABF556D-FAD8-44AA-ABD7-6DD01B0BFED6}" type="sibTrans" cxnId="{51E84475-EA55-4F35-9C23-47D92DB8425B}">
      <dgm:prSet/>
      <dgm:spPr/>
      <dgm:t>
        <a:bodyPr/>
        <a:lstStyle/>
        <a:p>
          <a:endParaRPr lang="en-US"/>
        </a:p>
      </dgm:t>
    </dgm:pt>
    <dgm:pt modelId="{6722E7E7-F9EF-4EEA-9D30-AA58A41AAD74}">
      <dgm:prSet phldrT="[Text]"/>
      <dgm:spPr/>
      <dgm:t>
        <a:bodyPr/>
        <a:lstStyle/>
        <a:p>
          <a:r>
            <a:rPr lang="en-US"/>
            <a:t>Childcare Study</a:t>
          </a:r>
        </a:p>
      </dgm:t>
    </dgm:pt>
    <dgm:pt modelId="{0D37CB9D-2F8E-4620-BB70-F2BC59DAC439}" type="sibTrans" cxnId="{C380F6D1-47B3-4842-8573-5329638DFFEE}">
      <dgm:prSet/>
      <dgm:spPr/>
      <dgm:t>
        <a:bodyPr/>
        <a:lstStyle/>
        <a:p>
          <a:endParaRPr lang="en-US"/>
        </a:p>
      </dgm:t>
    </dgm:pt>
    <dgm:pt modelId="{37650C73-8C44-4F31-A965-54FB304B3617}" type="parTrans" cxnId="{C380F6D1-47B3-4842-8573-5329638DFFEE}">
      <dgm:prSet/>
      <dgm:spPr/>
      <dgm:t>
        <a:bodyPr/>
        <a:lstStyle/>
        <a:p>
          <a:endParaRPr lang="en-US"/>
        </a:p>
      </dgm:t>
    </dgm:pt>
    <dgm:pt modelId="{15669D5D-5F0A-49E1-BD5D-A9A6874D72AB}" type="pres">
      <dgm:prSet presAssocID="{11ACD5DA-CAE6-46E7-B599-72FF2C49C573}" presName="diagram" presStyleCnt="0">
        <dgm:presLayoutVars>
          <dgm:chPref val="1"/>
          <dgm:dir/>
          <dgm:animOne val="branch"/>
          <dgm:animLvl val="lvl"/>
          <dgm:resizeHandles val="exact"/>
        </dgm:presLayoutVars>
      </dgm:prSet>
      <dgm:spPr/>
    </dgm:pt>
    <dgm:pt modelId="{6B1C3A2C-97A0-4888-AA52-4F86EE17F2BF}" type="pres">
      <dgm:prSet presAssocID="{6722E7E7-F9EF-4EEA-9D30-AA58A41AAD74}" presName="root1" presStyleCnt="0"/>
      <dgm:spPr/>
    </dgm:pt>
    <dgm:pt modelId="{2A3038BF-29E5-4444-A654-CA97B97B1ED8}" type="pres">
      <dgm:prSet presAssocID="{6722E7E7-F9EF-4EEA-9D30-AA58A41AAD74}" presName="LevelOneTextNode" presStyleLbl="node0" presStyleIdx="0" presStyleCnt="1">
        <dgm:presLayoutVars>
          <dgm:chPref val="3"/>
        </dgm:presLayoutVars>
      </dgm:prSet>
      <dgm:spPr/>
    </dgm:pt>
    <dgm:pt modelId="{26C9994F-A0E1-422E-8E93-8F5824761A5A}" type="pres">
      <dgm:prSet presAssocID="{6722E7E7-F9EF-4EEA-9D30-AA58A41AAD74}" presName="level2hierChild" presStyleCnt="0"/>
      <dgm:spPr/>
    </dgm:pt>
    <dgm:pt modelId="{1C1050BB-E6EC-482C-A5F9-BF069BDFB25A}" type="pres">
      <dgm:prSet presAssocID="{F53F54C9-40CE-4195-88C7-6A98AB63F945}" presName="conn2-1" presStyleLbl="parChTrans1D2" presStyleIdx="0" presStyleCnt="3"/>
      <dgm:spPr/>
    </dgm:pt>
    <dgm:pt modelId="{2FEC8ECF-C90D-4136-B559-89618EFD13CC}" type="pres">
      <dgm:prSet presAssocID="{F53F54C9-40CE-4195-88C7-6A98AB63F945}" presName="connTx" presStyleLbl="parChTrans1D2" presStyleIdx="0" presStyleCnt="3"/>
      <dgm:spPr/>
    </dgm:pt>
    <dgm:pt modelId="{4512B9FE-6DE2-4F0F-A357-D382EA6CD712}" type="pres">
      <dgm:prSet presAssocID="{9427458F-0D9C-4FA7-AB82-D4AC99A11539}" presName="root2" presStyleCnt="0"/>
      <dgm:spPr/>
    </dgm:pt>
    <dgm:pt modelId="{4DD12CA3-F8F4-470A-9C20-2A4ECBC02FDE}" type="pres">
      <dgm:prSet presAssocID="{9427458F-0D9C-4FA7-AB82-D4AC99A11539}" presName="LevelTwoTextNode" presStyleLbl="node2" presStyleIdx="0" presStyleCnt="3">
        <dgm:presLayoutVars>
          <dgm:chPref val="3"/>
        </dgm:presLayoutVars>
      </dgm:prSet>
      <dgm:spPr/>
    </dgm:pt>
    <dgm:pt modelId="{FF7EF000-6548-450A-B273-63EC40E6C64C}" type="pres">
      <dgm:prSet presAssocID="{9427458F-0D9C-4FA7-AB82-D4AC99A11539}" presName="level3hierChild" presStyleCnt="0"/>
      <dgm:spPr/>
    </dgm:pt>
    <dgm:pt modelId="{E63E1A7E-89B4-4361-AB77-9F71CB6BA093}" type="pres">
      <dgm:prSet presAssocID="{BD5B689A-FB7E-468D-8E06-A9E0824E28E7}" presName="conn2-1" presStyleLbl="parChTrans1D3" presStyleIdx="0" presStyleCnt="2"/>
      <dgm:spPr/>
    </dgm:pt>
    <dgm:pt modelId="{6B0AF380-5CFF-41B7-8C1C-39889B82958F}" type="pres">
      <dgm:prSet presAssocID="{BD5B689A-FB7E-468D-8E06-A9E0824E28E7}" presName="connTx" presStyleLbl="parChTrans1D3" presStyleIdx="0" presStyleCnt="2"/>
      <dgm:spPr/>
    </dgm:pt>
    <dgm:pt modelId="{8441DFB9-5E24-455E-9ED0-8B4C5B6C14F9}" type="pres">
      <dgm:prSet presAssocID="{D8137D5F-C1D4-4D8B-AD16-02F7E1BFCB05}" presName="root2" presStyleCnt="0"/>
      <dgm:spPr/>
    </dgm:pt>
    <dgm:pt modelId="{C79F2AC0-CB72-498C-858E-AFC39FD0214D}" type="pres">
      <dgm:prSet presAssocID="{D8137D5F-C1D4-4D8B-AD16-02F7E1BFCB05}" presName="LevelTwoTextNode" presStyleLbl="node3" presStyleIdx="0" presStyleCnt="2">
        <dgm:presLayoutVars>
          <dgm:chPref val="3"/>
        </dgm:presLayoutVars>
      </dgm:prSet>
      <dgm:spPr/>
    </dgm:pt>
    <dgm:pt modelId="{8D5751E3-6DB1-443E-B1A8-5B7A5DF62DB1}" type="pres">
      <dgm:prSet presAssocID="{D8137D5F-C1D4-4D8B-AD16-02F7E1BFCB05}" presName="level3hierChild" presStyleCnt="0"/>
      <dgm:spPr/>
    </dgm:pt>
    <dgm:pt modelId="{2C9BCB33-D9F1-465F-AA64-6F39AF3AF62B}" type="pres">
      <dgm:prSet presAssocID="{D628CE5D-222D-4F1E-B832-8BFC3384541A}" presName="conn2-1" presStyleLbl="parChTrans1D3" presStyleIdx="1" presStyleCnt="2"/>
      <dgm:spPr/>
    </dgm:pt>
    <dgm:pt modelId="{F7C3CC2F-6394-4317-8DAE-3A80DAA130D2}" type="pres">
      <dgm:prSet presAssocID="{D628CE5D-222D-4F1E-B832-8BFC3384541A}" presName="connTx" presStyleLbl="parChTrans1D3" presStyleIdx="1" presStyleCnt="2"/>
      <dgm:spPr/>
    </dgm:pt>
    <dgm:pt modelId="{A3061A8F-119F-46AC-89B8-51F2C00E9BFE}" type="pres">
      <dgm:prSet presAssocID="{5E0D4B3D-1ADE-48D2-BB5C-5BB7656E4766}" presName="root2" presStyleCnt="0"/>
      <dgm:spPr/>
    </dgm:pt>
    <dgm:pt modelId="{AE3BCAA2-9125-4169-8F6F-6CDD90FA4841}" type="pres">
      <dgm:prSet presAssocID="{5E0D4B3D-1ADE-48D2-BB5C-5BB7656E4766}" presName="LevelTwoTextNode" presStyleLbl="node3" presStyleIdx="1" presStyleCnt="2">
        <dgm:presLayoutVars>
          <dgm:chPref val="3"/>
        </dgm:presLayoutVars>
      </dgm:prSet>
      <dgm:spPr/>
    </dgm:pt>
    <dgm:pt modelId="{406A8361-43CE-495B-9A9B-BED224C35082}" type="pres">
      <dgm:prSet presAssocID="{5E0D4B3D-1ADE-48D2-BB5C-5BB7656E4766}" presName="level3hierChild" presStyleCnt="0"/>
      <dgm:spPr/>
    </dgm:pt>
    <dgm:pt modelId="{D7A3564B-CEFB-475E-A42B-F6D3A7EB3064}" type="pres">
      <dgm:prSet presAssocID="{70C3B1A5-D1E6-4981-8E3B-155C7797446A}" presName="conn2-1" presStyleLbl="parChTrans1D2" presStyleIdx="1" presStyleCnt="3"/>
      <dgm:spPr/>
    </dgm:pt>
    <dgm:pt modelId="{70053A9A-26D9-453C-94E0-79ADD7AF9570}" type="pres">
      <dgm:prSet presAssocID="{70C3B1A5-D1E6-4981-8E3B-155C7797446A}" presName="connTx" presStyleLbl="parChTrans1D2" presStyleIdx="1" presStyleCnt="3"/>
      <dgm:spPr/>
    </dgm:pt>
    <dgm:pt modelId="{41ADC776-014B-4981-9D00-5B39EB3941E7}" type="pres">
      <dgm:prSet presAssocID="{3A155D8E-094B-4689-AA92-65261C3CFA43}" presName="root2" presStyleCnt="0"/>
      <dgm:spPr/>
    </dgm:pt>
    <dgm:pt modelId="{49E1392C-9650-4457-B976-462C80D52C44}" type="pres">
      <dgm:prSet presAssocID="{3A155D8E-094B-4689-AA92-65261C3CFA43}" presName="LevelTwoTextNode" presStyleLbl="node2" presStyleIdx="1" presStyleCnt="3">
        <dgm:presLayoutVars>
          <dgm:chPref val="3"/>
        </dgm:presLayoutVars>
      </dgm:prSet>
      <dgm:spPr/>
    </dgm:pt>
    <dgm:pt modelId="{314C844A-FB9F-4CDC-86EF-4CAD82EA797F}" type="pres">
      <dgm:prSet presAssocID="{3A155D8E-094B-4689-AA92-65261C3CFA43}" presName="level3hierChild" presStyleCnt="0"/>
      <dgm:spPr/>
    </dgm:pt>
    <dgm:pt modelId="{C0D1C576-5022-479C-820E-155A6334C35A}" type="pres">
      <dgm:prSet presAssocID="{BCA7B4C2-5449-49E9-9282-A8036EE4F8EF}" presName="conn2-1" presStyleLbl="parChTrans1D2" presStyleIdx="2" presStyleCnt="3"/>
      <dgm:spPr/>
    </dgm:pt>
    <dgm:pt modelId="{BC425DB3-EA51-4378-93A0-5A889BACDC42}" type="pres">
      <dgm:prSet presAssocID="{BCA7B4C2-5449-49E9-9282-A8036EE4F8EF}" presName="connTx" presStyleLbl="parChTrans1D2" presStyleIdx="2" presStyleCnt="3"/>
      <dgm:spPr/>
    </dgm:pt>
    <dgm:pt modelId="{4783F002-044D-4A5B-925F-920F3943B925}" type="pres">
      <dgm:prSet presAssocID="{0791E9B0-3868-40A2-9584-3B5393F4E2C9}" presName="root2" presStyleCnt="0"/>
      <dgm:spPr/>
    </dgm:pt>
    <dgm:pt modelId="{C56564A3-1422-4B45-9CD8-AAAC5EC4D403}" type="pres">
      <dgm:prSet presAssocID="{0791E9B0-3868-40A2-9584-3B5393F4E2C9}" presName="LevelTwoTextNode" presStyleLbl="node2" presStyleIdx="2" presStyleCnt="3">
        <dgm:presLayoutVars>
          <dgm:chPref val="3"/>
        </dgm:presLayoutVars>
      </dgm:prSet>
      <dgm:spPr/>
    </dgm:pt>
    <dgm:pt modelId="{5EDC2BCD-720D-4907-B6C7-F451E2DB7CFC}" type="pres">
      <dgm:prSet presAssocID="{0791E9B0-3868-40A2-9584-3B5393F4E2C9}" presName="level3hierChild" presStyleCnt="0"/>
      <dgm:spPr/>
    </dgm:pt>
  </dgm:ptLst>
  <dgm:cxnLst>
    <dgm:cxn modelId="{EA460B06-BB2E-481B-B617-F452A6F361A3}" type="presOf" srcId="{D628CE5D-222D-4F1E-B832-8BFC3384541A}" destId="{2C9BCB33-D9F1-465F-AA64-6F39AF3AF62B}" srcOrd="0" destOrd="0" presId="urn:microsoft.com/office/officeart/2005/8/layout/hierarchy2"/>
    <dgm:cxn modelId="{40D1480B-E679-410C-A971-47C42A717553}" type="presOf" srcId="{BD5B689A-FB7E-468D-8E06-A9E0824E28E7}" destId="{E63E1A7E-89B4-4361-AB77-9F71CB6BA093}" srcOrd="0" destOrd="0" presId="urn:microsoft.com/office/officeart/2005/8/layout/hierarchy2"/>
    <dgm:cxn modelId="{423DAE63-906C-42E0-B970-25DA833D14F2}" type="presOf" srcId="{3A155D8E-094B-4689-AA92-65261C3CFA43}" destId="{49E1392C-9650-4457-B976-462C80D52C44}" srcOrd="0" destOrd="0" presId="urn:microsoft.com/office/officeart/2005/8/layout/hierarchy2"/>
    <dgm:cxn modelId="{14F14F64-CF32-4927-8D50-4A26621A89A3}" type="presOf" srcId="{0791E9B0-3868-40A2-9584-3B5393F4E2C9}" destId="{C56564A3-1422-4B45-9CD8-AAAC5EC4D403}" srcOrd="0" destOrd="0" presId="urn:microsoft.com/office/officeart/2005/8/layout/hierarchy2"/>
    <dgm:cxn modelId="{D00B1165-157F-44EF-8D7B-7DAA2FC1D771}" type="presOf" srcId="{BCA7B4C2-5449-49E9-9282-A8036EE4F8EF}" destId="{BC425DB3-EA51-4378-93A0-5A889BACDC42}" srcOrd="1" destOrd="0" presId="urn:microsoft.com/office/officeart/2005/8/layout/hierarchy2"/>
    <dgm:cxn modelId="{51E84475-EA55-4F35-9C23-47D92DB8425B}" srcId="{6722E7E7-F9EF-4EEA-9D30-AA58A41AAD74}" destId="{0791E9B0-3868-40A2-9584-3B5393F4E2C9}" srcOrd="2" destOrd="0" parTransId="{BCA7B4C2-5449-49E9-9282-A8036EE4F8EF}" sibTransId="{8ABF556D-FAD8-44AA-ABD7-6DD01B0BFED6}"/>
    <dgm:cxn modelId="{99038B55-D692-4BB6-AD53-29370FBBBE5F}" type="presOf" srcId="{D628CE5D-222D-4F1E-B832-8BFC3384541A}" destId="{F7C3CC2F-6394-4317-8DAE-3A80DAA130D2}" srcOrd="1" destOrd="0" presId="urn:microsoft.com/office/officeart/2005/8/layout/hierarchy2"/>
    <dgm:cxn modelId="{FCEBDD8D-59E5-44C8-BA4D-7AA0669029D6}" type="presOf" srcId="{BD5B689A-FB7E-468D-8E06-A9E0824E28E7}" destId="{6B0AF380-5CFF-41B7-8C1C-39889B82958F}" srcOrd="1" destOrd="0" presId="urn:microsoft.com/office/officeart/2005/8/layout/hierarchy2"/>
    <dgm:cxn modelId="{DDA23196-C9CD-4377-8B7C-9053596454C6}" srcId="{9427458F-0D9C-4FA7-AB82-D4AC99A11539}" destId="{D8137D5F-C1D4-4D8B-AD16-02F7E1BFCB05}" srcOrd="0" destOrd="0" parTransId="{BD5B689A-FB7E-468D-8E06-A9E0824E28E7}" sibTransId="{D338EFA2-80DB-483D-8D4F-B16916D47F88}"/>
    <dgm:cxn modelId="{AD6BCAA1-8F4B-4627-9580-B2800331D441}" srcId="{9427458F-0D9C-4FA7-AB82-D4AC99A11539}" destId="{5E0D4B3D-1ADE-48D2-BB5C-5BB7656E4766}" srcOrd="1" destOrd="0" parTransId="{D628CE5D-222D-4F1E-B832-8BFC3384541A}" sibTransId="{119DCCBD-BC9B-4CCD-BEE8-4A16FE7AC027}"/>
    <dgm:cxn modelId="{71C768AA-D170-407A-9861-9DC8BEF5DBC4}" type="presOf" srcId="{D8137D5F-C1D4-4D8B-AD16-02F7E1BFCB05}" destId="{C79F2AC0-CB72-498C-858E-AFC39FD0214D}" srcOrd="0" destOrd="0" presId="urn:microsoft.com/office/officeart/2005/8/layout/hierarchy2"/>
    <dgm:cxn modelId="{14B66BB3-6421-4C30-BBCD-5C2534E627E0}" type="presOf" srcId="{BCA7B4C2-5449-49E9-9282-A8036EE4F8EF}" destId="{C0D1C576-5022-479C-820E-155A6334C35A}" srcOrd="0" destOrd="0" presId="urn:microsoft.com/office/officeart/2005/8/layout/hierarchy2"/>
    <dgm:cxn modelId="{93EE61B7-2BFC-479B-9DBE-4D2B7F158701}" type="presOf" srcId="{F53F54C9-40CE-4195-88C7-6A98AB63F945}" destId="{2FEC8ECF-C90D-4136-B559-89618EFD13CC}" srcOrd="1" destOrd="0" presId="urn:microsoft.com/office/officeart/2005/8/layout/hierarchy2"/>
    <dgm:cxn modelId="{EBD3D4C1-42B8-4B05-BCE9-674EDED9056B}" type="presOf" srcId="{9427458F-0D9C-4FA7-AB82-D4AC99A11539}" destId="{4DD12CA3-F8F4-470A-9C20-2A4ECBC02FDE}" srcOrd="0" destOrd="0" presId="urn:microsoft.com/office/officeart/2005/8/layout/hierarchy2"/>
    <dgm:cxn modelId="{58021CCC-7DA4-491B-8B29-A52632DDCEB3}" type="presOf" srcId="{70C3B1A5-D1E6-4981-8E3B-155C7797446A}" destId="{70053A9A-26D9-453C-94E0-79ADD7AF9570}" srcOrd="1" destOrd="0" presId="urn:microsoft.com/office/officeart/2005/8/layout/hierarchy2"/>
    <dgm:cxn modelId="{08D3F3CC-BA13-4AAE-840D-41161D78C0D4}" type="presOf" srcId="{11ACD5DA-CAE6-46E7-B599-72FF2C49C573}" destId="{15669D5D-5F0A-49E1-BD5D-A9A6874D72AB}" srcOrd="0" destOrd="0" presId="urn:microsoft.com/office/officeart/2005/8/layout/hierarchy2"/>
    <dgm:cxn modelId="{C380F6D1-47B3-4842-8573-5329638DFFEE}" srcId="{11ACD5DA-CAE6-46E7-B599-72FF2C49C573}" destId="{6722E7E7-F9EF-4EEA-9D30-AA58A41AAD74}" srcOrd="0" destOrd="0" parTransId="{37650C73-8C44-4F31-A965-54FB304B3617}" sibTransId="{0D37CB9D-2F8E-4620-BB70-F2BC59DAC439}"/>
    <dgm:cxn modelId="{22D41CD5-0443-450E-A76D-8977CA717DD2}" type="presOf" srcId="{5E0D4B3D-1ADE-48D2-BB5C-5BB7656E4766}" destId="{AE3BCAA2-9125-4169-8F6F-6CDD90FA4841}" srcOrd="0" destOrd="0" presId="urn:microsoft.com/office/officeart/2005/8/layout/hierarchy2"/>
    <dgm:cxn modelId="{D30E53D5-A692-4D60-AD36-58BABDF40C50}" type="presOf" srcId="{70C3B1A5-D1E6-4981-8E3B-155C7797446A}" destId="{D7A3564B-CEFB-475E-A42B-F6D3A7EB3064}" srcOrd="0" destOrd="0" presId="urn:microsoft.com/office/officeart/2005/8/layout/hierarchy2"/>
    <dgm:cxn modelId="{6692B9DD-01E9-41A4-A0E9-03195B4B1B7D}" srcId="{6722E7E7-F9EF-4EEA-9D30-AA58A41AAD74}" destId="{9427458F-0D9C-4FA7-AB82-D4AC99A11539}" srcOrd="0" destOrd="0" parTransId="{F53F54C9-40CE-4195-88C7-6A98AB63F945}" sibTransId="{48B13493-664E-4879-B566-884D6CE784AA}"/>
    <dgm:cxn modelId="{4E3D61E1-D7D5-4807-90C2-8AAD7AA2E410}" type="presOf" srcId="{F53F54C9-40CE-4195-88C7-6A98AB63F945}" destId="{1C1050BB-E6EC-482C-A5F9-BF069BDFB25A}" srcOrd="0" destOrd="0" presId="urn:microsoft.com/office/officeart/2005/8/layout/hierarchy2"/>
    <dgm:cxn modelId="{E0F7D4F8-F754-4530-9B14-A9536AB443E6}" srcId="{6722E7E7-F9EF-4EEA-9D30-AA58A41AAD74}" destId="{3A155D8E-094B-4689-AA92-65261C3CFA43}" srcOrd="1" destOrd="0" parTransId="{70C3B1A5-D1E6-4981-8E3B-155C7797446A}" sibTransId="{3A2F99E1-A799-4BA3-BD24-457509D38745}"/>
    <dgm:cxn modelId="{6C6EE7FA-7C94-4646-B691-00ADC5E762E3}" type="presOf" srcId="{6722E7E7-F9EF-4EEA-9D30-AA58A41AAD74}" destId="{2A3038BF-29E5-4444-A654-CA97B97B1ED8}" srcOrd="0" destOrd="0" presId="urn:microsoft.com/office/officeart/2005/8/layout/hierarchy2"/>
    <dgm:cxn modelId="{7864E1EE-0B35-4FFC-B0F7-C48C9F3D223E}" type="presParOf" srcId="{15669D5D-5F0A-49E1-BD5D-A9A6874D72AB}" destId="{6B1C3A2C-97A0-4888-AA52-4F86EE17F2BF}" srcOrd="0" destOrd="0" presId="urn:microsoft.com/office/officeart/2005/8/layout/hierarchy2"/>
    <dgm:cxn modelId="{EA93AB3F-4837-472E-94CD-D078DF70BB97}" type="presParOf" srcId="{6B1C3A2C-97A0-4888-AA52-4F86EE17F2BF}" destId="{2A3038BF-29E5-4444-A654-CA97B97B1ED8}" srcOrd="0" destOrd="0" presId="urn:microsoft.com/office/officeart/2005/8/layout/hierarchy2"/>
    <dgm:cxn modelId="{6A2954CE-7078-4F74-B7C0-0C1442C753F5}" type="presParOf" srcId="{6B1C3A2C-97A0-4888-AA52-4F86EE17F2BF}" destId="{26C9994F-A0E1-422E-8E93-8F5824761A5A}" srcOrd="1" destOrd="0" presId="urn:microsoft.com/office/officeart/2005/8/layout/hierarchy2"/>
    <dgm:cxn modelId="{5CA057D8-08E9-4BDE-8B30-8A74A920A162}" type="presParOf" srcId="{26C9994F-A0E1-422E-8E93-8F5824761A5A}" destId="{1C1050BB-E6EC-482C-A5F9-BF069BDFB25A}" srcOrd="0" destOrd="0" presId="urn:microsoft.com/office/officeart/2005/8/layout/hierarchy2"/>
    <dgm:cxn modelId="{7C0F7150-F701-4720-BB81-3C92F392E27B}" type="presParOf" srcId="{1C1050BB-E6EC-482C-A5F9-BF069BDFB25A}" destId="{2FEC8ECF-C90D-4136-B559-89618EFD13CC}" srcOrd="0" destOrd="0" presId="urn:microsoft.com/office/officeart/2005/8/layout/hierarchy2"/>
    <dgm:cxn modelId="{CCAF049A-817B-435B-8038-9D6740286BB6}" type="presParOf" srcId="{26C9994F-A0E1-422E-8E93-8F5824761A5A}" destId="{4512B9FE-6DE2-4F0F-A357-D382EA6CD712}" srcOrd="1" destOrd="0" presId="urn:microsoft.com/office/officeart/2005/8/layout/hierarchy2"/>
    <dgm:cxn modelId="{132084CC-AFC9-4E6F-92E6-8B57BE5C27CF}" type="presParOf" srcId="{4512B9FE-6DE2-4F0F-A357-D382EA6CD712}" destId="{4DD12CA3-F8F4-470A-9C20-2A4ECBC02FDE}" srcOrd="0" destOrd="0" presId="urn:microsoft.com/office/officeart/2005/8/layout/hierarchy2"/>
    <dgm:cxn modelId="{A768F667-1B36-43CB-A204-51050473CF15}" type="presParOf" srcId="{4512B9FE-6DE2-4F0F-A357-D382EA6CD712}" destId="{FF7EF000-6548-450A-B273-63EC40E6C64C}" srcOrd="1" destOrd="0" presId="urn:microsoft.com/office/officeart/2005/8/layout/hierarchy2"/>
    <dgm:cxn modelId="{36E1EA1F-8BD7-4A02-B2C7-D56DF9A49F71}" type="presParOf" srcId="{FF7EF000-6548-450A-B273-63EC40E6C64C}" destId="{E63E1A7E-89B4-4361-AB77-9F71CB6BA093}" srcOrd="0" destOrd="0" presId="urn:microsoft.com/office/officeart/2005/8/layout/hierarchy2"/>
    <dgm:cxn modelId="{7123F0FC-38DB-4B8F-9141-B22CB9F3DD05}" type="presParOf" srcId="{E63E1A7E-89B4-4361-AB77-9F71CB6BA093}" destId="{6B0AF380-5CFF-41B7-8C1C-39889B82958F}" srcOrd="0" destOrd="0" presId="urn:microsoft.com/office/officeart/2005/8/layout/hierarchy2"/>
    <dgm:cxn modelId="{409B6657-5624-4278-A7DF-93C72D7CF667}" type="presParOf" srcId="{FF7EF000-6548-450A-B273-63EC40E6C64C}" destId="{8441DFB9-5E24-455E-9ED0-8B4C5B6C14F9}" srcOrd="1" destOrd="0" presId="urn:microsoft.com/office/officeart/2005/8/layout/hierarchy2"/>
    <dgm:cxn modelId="{8DFA673C-C404-49C8-97DD-3969FB875156}" type="presParOf" srcId="{8441DFB9-5E24-455E-9ED0-8B4C5B6C14F9}" destId="{C79F2AC0-CB72-498C-858E-AFC39FD0214D}" srcOrd="0" destOrd="0" presId="urn:microsoft.com/office/officeart/2005/8/layout/hierarchy2"/>
    <dgm:cxn modelId="{35E914B1-64F4-4986-A285-8006976AC9C8}" type="presParOf" srcId="{8441DFB9-5E24-455E-9ED0-8B4C5B6C14F9}" destId="{8D5751E3-6DB1-443E-B1A8-5B7A5DF62DB1}" srcOrd="1" destOrd="0" presId="urn:microsoft.com/office/officeart/2005/8/layout/hierarchy2"/>
    <dgm:cxn modelId="{147D4D38-3084-4712-A748-05CA6D1EFDDD}" type="presParOf" srcId="{FF7EF000-6548-450A-B273-63EC40E6C64C}" destId="{2C9BCB33-D9F1-465F-AA64-6F39AF3AF62B}" srcOrd="2" destOrd="0" presId="urn:microsoft.com/office/officeart/2005/8/layout/hierarchy2"/>
    <dgm:cxn modelId="{A0E3DF39-FBED-4E5E-817B-D0F98F9B454C}" type="presParOf" srcId="{2C9BCB33-D9F1-465F-AA64-6F39AF3AF62B}" destId="{F7C3CC2F-6394-4317-8DAE-3A80DAA130D2}" srcOrd="0" destOrd="0" presId="urn:microsoft.com/office/officeart/2005/8/layout/hierarchy2"/>
    <dgm:cxn modelId="{28299716-4A55-43C6-9732-82EB72DDC63D}" type="presParOf" srcId="{FF7EF000-6548-450A-B273-63EC40E6C64C}" destId="{A3061A8F-119F-46AC-89B8-51F2C00E9BFE}" srcOrd="3" destOrd="0" presId="urn:microsoft.com/office/officeart/2005/8/layout/hierarchy2"/>
    <dgm:cxn modelId="{39D732EB-BF54-4AB3-806E-2DE94B83802E}" type="presParOf" srcId="{A3061A8F-119F-46AC-89B8-51F2C00E9BFE}" destId="{AE3BCAA2-9125-4169-8F6F-6CDD90FA4841}" srcOrd="0" destOrd="0" presId="urn:microsoft.com/office/officeart/2005/8/layout/hierarchy2"/>
    <dgm:cxn modelId="{878242B9-6BC0-4394-ADE4-E487E901DC9E}" type="presParOf" srcId="{A3061A8F-119F-46AC-89B8-51F2C00E9BFE}" destId="{406A8361-43CE-495B-9A9B-BED224C35082}" srcOrd="1" destOrd="0" presId="urn:microsoft.com/office/officeart/2005/8/layout/hierarchy2"/>
    <dgm:cxn modelId="{7576FB09-FC4B-457A-ACE9-2618EEB749E0}" type="presParOf" srcId="{26C9994F-A0E1-422E-8E93-8F5824761A5A}" destId="{D7A3564B-CEFB-475E-A42B-F6D3A7EB3064}" srcOrd="2" destOrd="0" presId="urn:microsoft.com/office/officeart/2005/8/layout/hierarchy2"/>
    <dgm:cxn modelId="{F6610221-1F27-4500-ACD9-F3DC8913FBF0}" type="presParOf" srcId="{D7A3564B-CEFB-475E-A42B-F6D3A7EB3064}" destId="{70053A9A-26D9-453C-94E0-79ADD7AF9570}" srcOrd="0" destOrd="0" presId="urn:microsoft.com/office/officeart/2005/8/layout/hierarchy2"/>
    <dgm:cxn modelId="{BA1E080E-9D2A-4E07-A57A-1D35A51D0B14}" type="presParOf" srcId="{26C9994F-A0E1-422E-8E93-8F5824761A5A}" destId="{41ADC776-014B-4981-9D00-5B39EB3941E7}" srcOrd="3" destOrd="0" presId="urn:microsoft.com/office/officeart/2005/8/layout/hierarchy2"/>
    <dgm:cxn modelId="{0F2C03DD-CBEA-4C52-91C9-755769C12081}" type="presParOf" srcId="{41ADC776-014B-4981-9D00-5B39EB3941E7}" destId="{49E1392C-9650-4457-B976-462C80D52C44}" srcOrd="0" destOrd="0" presId="urn:microsoft.com/office/officeart/2005/8/layout/hierarchy2"/>
    <dgm:cxn modelId="{DE06261F-0A58-4FDA-8573-BDB04B3A95EB}" type="presParOf" srcId="{41ADC776-014B-4981-9D00-5B39EB3941E7}" destId="{314C844A-FB9F-4CDC-86EF-4CAD82EA797F}" srcOrd="1" destOrd="0" presId="urn:microsoft.com/office/officeart/2005/8/layout/hierarchy2"/>
    <dgm:cxn modelId="{8DD86086-8105-4F5C-AD4E-D4CD9B9D9FF6}" type="presParOf" srcId="{26C9994F-A0E1-422E-8E93-8F5824761A5A}" destId="{C0D1C576-5022-479C-820E-155A6334C35A}" srcOrd="4" destOrd="0" presId="urn:microsoft.com/office/officeart/2005/8/layout/hierarchy2"/>
    <dgm:cxn modelId="{EE414039-8413-46F8-8401-F993CF5DA5A5}" type="presParOf" srcId="{C0D1C576-5022-479C-820E-155A6334C35A}" destId="{BC425DB3-EA51-4378-93A0-5A889BACDC42}" srcOrd="0" destOrd="0" presId="urn:microsoft.com/office/officeart/2005/8/layout/hierarchy2"/>
    <dgm:cxn modelId="{53AFB62B-6D6C-4077-B0D0-7DF9E2D927E2}" type="presParOf" srcId="{26C9994F-A0E1-422E-8E93-8F5824761A5A}" destId="{4783F002-044D-4A5B-925F-920F3943B925}" srcOrd="5" destOrd="0" presId="urn:microsoft.com/office/officeart/2005/8/layout/hierarchy2"/>
    <dgm:cxn modelId="{78B67F60-8147-4BA0-8E4E-658B27D0EDAE}" type="presParOf" srcId="{4783F002-044D-4A5B-925F-920F3943B925}" destId="{C56564A3-1422-4B45-9CD8-AAAC5EC4D403}" srcOrd="0" destOrd="0" presId="urn:microsoft.com/office/officeart/2005/8/layout/hierarchy2"/>
    <dgm:cxn modelId="{8FFC8500-A953-49C0-B1FA-23DF1E0E0524}" type="presParOf" srcId="{4783F002-044D-4A5B-925F-920F3943B925}" destId="{5EDC2BCD-720D-4907-B6C7-F451E2DB7CFC}"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3038BF-29E5-4444-A654-CA97B97B1ED8}">
      <dsp:nvSpPr>
        <dsp:cNvPr id="0" name=""/>
        <dsp:cNvSpPr/>
      </dsp:nvSpPr>
      <dsp:spPr>
        <a:xfrm>
          <a:off x="448" y="1423772"/>
          <a:ext cx="1361671" cy="680835"/>
        </a:xfrm>
        <a:prstGeom prst="roundRect">
          <a:avLst>
            <a:gd name="adj" fmla="val 10000"/>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Childcare Study</a:t>
          </a:r>
        </a:p>
      </dsp:txBody>
      <dsp:txXfrm>
        <a:off x="20389" y="1443713"/>
        <a:ext cx="1321789" cy="640953"/>
      </dsp:txXfrm>
    </dsp:sp>
    <dsp:sp modelId="{1C1050BB-E6EC-482C-A5F9-BF069BDFB25A}">
      <dsp:nvSpPr>
        <dsp:cNvPr id="0" name=""/>
        <dsp:cNvSpPr/>
      </dsp:nvSpPr>
      <dsp:spPr>
        <a:xfrm rot="18289469">
          <a:off x="1157565" y="1353175"/>
          <a:ext cx="953778" cy="39067"/>
        </a:xfrm>
        <a:custGeom>
          <a:avLst/>
          <a:gdLst/>
          <a:ahLst/>
          <a:cxnLst/>
          <a:rect l="0" t="0" r="0" b="0"/>
          <a:pathLst>
            <a:path>
              <a:moveTo>
                <a:pt x="0" y="19533"/>
              </a:moveTo>
              <a:lnTo>
                <a:pt x="953778" y="1953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10610" y="1348865"/>
        <a:ext cx="47688" cy="47688"/>
      </dsp:txXfrm>
    </dsp:sp>
    <dsp:sp modelId="{4DD12CA3-F8F4-470A-9C20-2A4ECBC02FDE}">
      <dsp:nvSpPr>
        <dsp:cNvPr id="0" name=""/>
        <dsp:cNvSpPr/>
      </dsp:nvSpPr>
      <dsp:spPr>
        <a:xfrm>
          <a:off x="1906789" y="640811"/>
          <a:ext cx="1361671" cy="680835"/>
        </a:xfrm>
        <a:prstGeom prst="roundRect">
          <a:avLst>
            <a:gd name="adj" fmla="val 10000"/>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Data</a:t>
          </a:r>
        </a:p>
      </dsp:txBody>
      <dsp:txXfrm>
        <a:off x="1926730" y="660752"/>
        <a:ext cx="1321789" cy="640953"/>
      </dsp:txXfrm>
    </dsp:sp>
    <dsp:sp modelId="{E63E1A7E-89B4-4361-AB77-9F71CB6BA093}">
      <dsp:nvSpPr>
        <dsp:cNvPr id="0" name=""/>
        <dsp:cNvSpPr/>
      </dsp:nvSpPr>
      <dsp:spPr>
        <a:xfrm rot="19457599">
          <a:off x="3205414" y="765954"/>
          <a:ext cx="670761" cy="39067"/>
        </a:xfrm>
        <a:custGeom>
          <a:avLst/>
          <a:gdLst/>
          <a:ahLst/>
          <a:cxnLst/>
          <a:rect l="0" t="0" r="0" b="0"/>
          <a:pathLst>
            <a:path>
              <a:moveTo>
                <a:pt x="0" y="19533"/>
              </a:moveTo>
              <a:lnTo>
                <a:pt x="670761" y="1953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24026" y="768719"/>
        <a:ext cx="33538" cy="33538"/>
      </dsp:txXfrm>
    </dsp:sp>
    <dsp:sp modelId="{C79F2AC0-CB72-498C-858E-AFC39FD0214D}">
      <dsp:nvSpPr>
        <dsp:cNvPr id="0" name=""/>
        <dsp:cNvSpPr/>
      </dsp:nvSpPr>
      <dsp:spPr>
        <a:xfrm>
          <a:off x="3813129" y="249330"/>
          <a:ext cx="1361671" cy="680835"/>
        </a:xfrm>
        <a:prstGeom prst="roundRect">
          <a:avLst>
            <a:gd name="adj" fmla="val 10000"/>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Original data</a:t>
          </a:r>
        </a:p>
      </dsp:txBody>
      <dsp:txXfrm>
        <a:off x="3833070" y="269271"/>
        <a:ext cx="1321789" cy="640953"/>
      </dsp:txXfrm>
    </dsp:sp>
    <dsp:sp modelId="{2C9BCB33-D9F1-465F-AA64-6F39AF3AF62B}">
      <dsp:nvSpPr>
        <dsp:cNvPr id="0" name=""/>
        <dsp:cNvSpPr/>
      </dsp:nvSpPr>
      <dsp:spPr>
        <a:xfrm rot="2142401">
          <a:off x="3205414" y="1157435"/>
          <a:ext cx="670761" cy="39067"/>
        </a:xfrm>
        <a:custGeom>
          <a:avLst/>
          <a:gdLst/>
          <a:ahLst/>
          <a:cxnLst/>
          <a:rect l="0" t="0" r="0" b="0"/>
          <a:pathLst>
            <a:path>
              <a:moveTo>
                <a:pt x="0" y="19533"/>
              </a:moveTo>
              <a:lnTo>
                <a:pt x="670761" y="1953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24026" y="1160200"/>
        <a:ext cx="33538" cy="33538"/>
      </dsp:txXfrm>
    </dsp:sp>
    <dsp:sp modelId="{AE3BCAA2-9125-4169-8F6F-6CDD90FA4841}">
      <dsp:nvSpPr>
        <dsp:cNvPr id="0" name=""/>
        <dsp:cNvSpPr/>
      </dsp:nvSpPr>
      <dsp:spPr>
        <a:xfrm>
          <a:off x="3813129" y="1032291"/>
          <a:ext cx="1361671" cy="680835"/>
        </a:xfrm>
        <a:prstGeom prst="roundRect">
          <a:avLst>
            <a:gd name="adj" fmla="val 10000"/>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Processed data</a:t>
          </a:r>
        </a:p>
      </dsp:txBody>
      <dsp:txXfrm>
        <a:off x="3833070" y="1052232"/>
        <a:ext cx="1321789" cy="640953"/>
      </dsp:txXfrm>
    </dsp:sp>
    <dsp:sp modelId="{D7A3564B-CEFB-475E-A42B-F6D3A7EB3064}">
      <dsp:nvSpPr>
        <dsp:cNvPr id="0" name=""/>
        <dsp:cNvSpPr/>
      </dsp:nvSpPr>
      <dsp:spPr>
        <a:xfrm>
          <a:off x="1362120" y="1744656"/>
          <a:ext cx="544668" cy="39067"/>
        </a:xfrm>
        <a:custGeom>
          <a:avLst/>
          <a:gdLst/>
          <a:ahLst/>
          <a:cxnLst/>
          <a:rect l="0" t="0" r="0" b="0"/>
          <a:pathLst>
            <a:path>
              <a:moveTo>
                <a:pt x="0" y="19533"/>
              </a:moveTo>
              <a:lnTo>
                <a:pt x="544668" y="1953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20837" y="1750573"/>
        <a:ext cx="27233" cy="27233"/>
      </dsp:txXfrm>
    </dsp:sp>
    <dsp:sp modelId="{49E1392C-9650-4457-B976-462C80D52C44}">
      <dsp:nvSpPr>
        <dsp:cNvPr id="0" name=""/>
        <dsp:cNvSpPr/>
      </dsp:nvSpPr>
      <dsp:spPr>
        <a:xfrm>
          <a:off x="1906789" y="1423772"/>
          <a:ext cx="1361671" cy="680835"/>
        </a:xfrm>
        <a:prstGeom prst="roundRect">
          <a:avLst>
            <a:gd name="adj" fmla="val 10000"/>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Analytical codes</a:t>
          </a:r>
        </a:p>
      </dsp:txBody>
      <dsp:txXfrm>
        <a:off x="1926730" y="1443713"/>
        <a:ext cx="1321789" cy="640953"/>
      </dsp:txXfrm>
    </dsp:sp>
    <dsp:sp modelId="{C0D1C576-5022-479C-820E-155A6334C35A}">
      <dsp:nvSpPr>
        <dsp:cNvPr id="0" name=""/>
        <dsp:cNvSpPr/>
      </dsp:nvSpPr>
      <dsp:spPr>
        <a:xfrm rot="3310531">
          <a:off x="1157565" y="2136137"/>
          <a:ext cx="953778" cy="39067"/>
        </a:xfrm>
        <a:custGeom>
          <a:avLst/>
          <a:gdLst/>
          <a:ahLst/>
          <a:cxnLst/>
          <a:rect l="0" t="0" r="0" b="0"/>
          <a:pathLst>
            <a:path>
              <a:moveTo>
                <a:pt x="0" y="19533"/>
              </a:moveTo>
              <a:lnTo>
                <a:pt x="953778" y="1953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10610" y="2131826"/>
        <a:ext cx="47688" cy="47688"/>
      </dsp:txXfrm>
    </dsp:sp>
    <dsp:sp modelId="{C56564A3-1422-4B45-9CD8-AAAC5EC4D403}">
      <dsp:nvSpPr>
        <dsp:cNvPr id="0" name=""/>
        <dsp:cNvSpPr/>
      </dsp:nvSpPr>
      <dsp:spPr>
        <a:xfrm>
          <a:off x="1906789" y="2206733"/>
          <a:ext cx="1361671" cy="680835"/>
        </a:xfrm>
        <a:prstGeom prst="roundRect">
          <a:avLst>
            <a:gd name="adj" fmla="val 10000"/>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Tables</a:t>
          </a:r>
        </a:p>
      </dsp:txBody>
      <dsp:txXfrm>
        <a:off x="1926730" y="2226674"/>
        <a:ext cx="1321789" cy="64095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67F15-614D-46EB-A8C5-FF579F948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9</Pages>
  <Words>2546</Words>
  <Characters>15637</Characters>
  <Application>Microsoft Office Word</Application>
  <DocSecurity>0</DocSecurity>
  <Lines>325</Lines>
  <Paragraphs>128</Paragraphs>
  <ScaleCrop>false</ScaleCrop>
  <Company>WBG</Company>
  <LinksUpToDate>false</LinksUpToDate>
  <CharactersWithSpaces>18055</CharactersWithSpaces>
  <SharedDoc>false</SharedDoc>
  <HLinks>
    <vt:vector size="18" baseType="variant">
      <vt:variant>
        <vt:i4>2228277</vt:i4>
      </vt:variant>
      <vt:variant>
        <vt:i4>6</vt:i4>
      </vt:variant>
      <vt:variant>
        <vt:i4>0</vt:i4>
      </vt:variant>
      <vt:variant>
        <vt:i4>5</vt:i4>
      </vt:variant>
      <vt:variant>
        <vt:lpwstr>https://doi.org/10.1007/s11606-021-06737-1</vt:lpwstr>
      </vt:variant>
      <vt:variant>
        <vt:lpwstr/>
      </vt:variant>
      <vt:variant>
        <vt:i4>4653059</vt:i4>
      </vt:variant>
      <vt:variant>
        <vt:i4>3</vt:i4>
      </vt:variant>
      <vt:variant>
        <vt:i4>0</vt:i4>
      </vt:variant>
      <vt:variant>
        <vt:i4>5</vt:i4>
      </vt:variant>
      <vt:variant>
        <vt:lpwstr>https://doi.org/10.5688/aj720111</vt:lpwstr>
      </vt:variant>
      <vt:variant>
        <vt:lpwstr/>
      </vt:variant>
      <vt:variant>
        <vt:i4>4653129</vt:i4>
      </vt:variant>
      <vt:variant>
        <vt:i4>0</vt:i4>
      </vt:variant>
      <vt:variant>
        <vt:i4>0</vt:i4>
      </vt:variant>
      <vt:variant>
        <vt:i4>5</vt:i4>
      </vt:variant>
      <vt:variant>
        <vt:lpwstr>https://doi.org/10.1371/journal.pmed.1001069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Ivette Contreras</dc:creator>
  <cp:keywords/>
  <dc:description/>
  <cp:lastModifiedBy>Akiko Sagesaka</cp:lastModifiedBy>
  <cp:revision>45</cp:revision>
  <cp:lastPrinted>2025-08-19T07:40:00Z</cp:lastPrinted>
  <dcterms:created xsi:type="dcterms:W3CDTF">2026-03-23T18:09:00Z</dcterms:created>
  <dcterms:modified xsi:type="dcterms:W3CDTF">2026-08-27T20:26:00Z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413d34c8,6543f9d7,616e5f12</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2025-06-18T18:31:59Z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99785d54-b917-4794-a6a4-38f8ade2890f</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