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29F7" w14:textId="77777777" w:rsidR="00562290" w:rsidRPr="00562290" w:rsidRDefault="00562290" w:rsidP="00562290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36"/>
          <w:szCs w:val="36"/>
          <w:lang w:eastAsia="fr-BE"/>
        </w:rPr>
        <w:t>2. Analyse détaillée des résultats</w:t>
      </w:r>
    </w:p>
    <w:p w14:paraId="37079CE2" w14:textId="77777777" w:rsidR="00562290" w:rsidRPr="00562290" w:rsidRDefault="00562290" w:rsidP="00562290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t>Objectif 1 : Prédire WD à partir de la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3085"/>
        <w:gridCol w:w="4191"/>
      </w:tblGrid>
      <w:tr w:rsidR="00562290" w:rsidRPr="00562290" w14:paraId="722BBB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A4DC3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E260C81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Résultat</w:t>
            </w:r>
          </w:p>
        </w:tc>
        <w:tc>
          <w:tcPr>
            <w:tcW w:w="0" w:type="auto"/>
            <w:vAlign w:val="center"/>
            <w:hideMark/>
          </w:tcPr>
          <w:p w14:paraId="34BA8276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Interprétation</w:t>
            </w:r>
          </w:p>
        </w:tc>
      </w:tr>
      <w:tr w:rsidR="00562290" w:rsidRPr="00562290" w14:paraId="78983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CD83B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Meilleur prédicteur</w:t>
            </w:r>
          </w:p>
        </w:tc>
        <w:tc>
          <w:tcPr>
            <w:tcW w:w="0" w:type="auto"/>
            <w:vAlign w:val="center"/>
            <w:hideMark/>
          </w:tcPr>
          <w:p w14:paraId="71C01AE2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gramStart"/>
            <w:r w:rsidRPr="00562290">
              <w:rPr>
                <w:rFonts w:ascii="Courier New" w:eastAsia="Times New Roman" w:hAnsi="Courier New" w:cs="Courier New"/>
                <w:sz w:val="20"/>
                <w:szCs w:val="20"/>
                <w:lang w:eastAsia="fr-BE"/>
              </w:rPr>
              <w:t>prop</w:t>
            </w:r>
            <w:proofErr w:type="gramEnd"/>
            <w:r w:rsidRPr="00562290">
              <w:rPr>
                <w:rFonts w:ascii="Courier New" w:eastAsia="Times New Roman" w:hAnsi="Courier New" w:cs="Courier New"/>
                <w:sz w:val="20"/>
                <w:szCs w:val="20"/>
                <w:lang w:eastAsia="fr-BE"/>
              </w:rPr>
              <w:t>_at_20m</w:t>
            </w: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 xml:space="preserve"> (r = -0.61)</w:t>
            </w:r>
          </w:p>
        </w:tc>
        <w:tc>
          <w:tcPr>
            <w:tcW w:w="0" w:type="auto"/>
            <w:vAlign w:val="center"/>
            <w:hideMark/>
          </w:tcPr>
          <w:p w14:paraId="71D44CEE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Proportion d'ouverture à 20m = seuil sous-bois/canopée</w:t>
            </w:r>
          </w:p>
        </w:tc>
      </w:tr>
      <w:tr w:rsidR="00562290" w:rsidRPr="00562290" w14:paraId="51C25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52DB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R² simple</w:t>
            </w:r>
          </w:p>
        </w:tc>
        <w:tc>
          <w:tcPr>
            <w:tcW w:w="0" w:type="auto"/>
            <w:vAlign w:val="center"/>
            <w:hideMark/>
          </w:tcPr>
          <w:p w14:paraId="0E7F57BB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36%</w:t>
            </w:r>
          </w:p>
        </w:tc>
        <w:tc>
          <w:tcPr>
            <w:tcW w:w="0" w:type="auto"/>
            <w:vAlign w:val="center"/>
            <w:hideMark/>
          </w:tcPr>
          <w:p w14:paraId="46554EF1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Relation modérée mais significative</w:t>
            </w:r>
          </w:p>
        </w:tc>
      </w:tr>
      <w:tr w:rsidR="00562290" w:rsidRPr="00562290" w14:paraId="7A6F6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9E98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Modèle multiple</w:t>
            </w:r>
          </w:p>
        </w:tc>
        <w:tc>
          <w:tcPr>
            <w:tcW w:w="0" w:type="auto"/>
            <w:vAlign w:val="center"/>
            <w:hideMark/>
          </w:tcPr>
          <w:p w14:paraId="2C030749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R² = 37%</w:t>
            </w:r>
          </w:p>
        </w:tc>
        <w:tc>
          <w:tcPr>
            <w:tcW w:w="0" w:type="auto"/>
            <w:vAlign w:val="center"/>
            <w:hideMark/>
          </w:tcPr>
          <w:p w14:paraId="0B3B3BBD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Gain négligeable (+1%), pas justifié</w:t>
            </w:r>
          </w:p>
        </w:tc>
      </w:tr>
      <w:tr w:rsidR="00562290" w:rsidRPr="00562290" w14:paraId="6C2A9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20781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LOOCV</w:t>
            </w:r>
          </w:p>
        </w:tc>
        <w:tc>
          <w:tcPr>
            <w:tcW w:w="0" w:type="auto"/>
            <w:vAlign w:val="center"/>
            <w:hideMark/>
          </w:tcPr>
          <w:p w14:paraId="2BE6A121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 xml:space="preserve">RMSE = 0.081, R² = 0.33, </w:t>
            </w:r>
            <w:proofErr w:type="spellStart"/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Slope</w:t>
            </w:r>
            <w:proofErr w:type="spellEnd"/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 xml:space="preserve"> = 0.94</w:t>
            </w:r>
          </w:p>
        </w:tc>
        <w:tc>
          <w:tcPr>
            <w:tcW w:w="0" w:type="auto"/>
            <w:vAlign w:val="center"/>
            <w:hideMark/>
          </w:tcPr>
          <w:p w14:paraId="49C02A7B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Prédictions robustes, peu biaisées</w:t>
            </w:r>
          </w:p>
        </w:tc>
      </w:tr>
      <w:tr w:rsidR="00562290" w:rsidRPr="00562290" w14:paraId="242B3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B99C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Modèle spatial</w:t>
            </w:r>
          </w:p>
        </w:tc>
        <w:tc>
          <w:tcPr>
            <w:tcW w:w="0" w:type="auto"/>
            <w:vAlign w:val="center"/>
            <w:hideMark/>
          </w:tcPr>
          <w:p w14:paraId="3ED5659F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ΔAIC = -19 vs OLS</w:t>
            </w:r>
          </w:p>
        </w:tc>
        <w:tc>
          <w:tcPr>
            <w:tcW w:w="0" w:type="auto"/>
            <w:vAlign w:val="center"/>
            <w:hideMark/>
          </w:tcPr>
          <w:p w14:paraId="1BA85756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Amélioration substantielle</w:t>
            </w: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 xml:space="preserve"> avec autocorrélation</w:t>
            </w:r>
          </w:p>
        </w:tc>
      </w:tr>
    </w:tbl>
    <w:p w14:paraId="29166665" w14:textId="77777777" w:rsidR="00562290" w:rsidRPr="00562290" w:rsidRDefault="00562290" w:rsidP="00562290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 xml:space="preserve">Conclusion </w:t>
      </w:r>
      <w:proofErr w:type="spellStart"/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Obj</w:t>
      </w:r>
      <w:proofErr w:type="spellEnd"/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. 1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: On peut prédire ~36% de la variance de WD avec une seule métrique </w:t>
      </w:r>
      <w:proofErr w:type="spellStart"/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>LiDAR</w:t>
      </w:r>
      <w:proofErr w:type="spellEnd"/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. Le modèle spatial améliore nettement les prédictions. Le coefficient </w:t>
      </w:r>
      <w:r w:rsidRPr="00562290">
        <w:rPr>
          <w:rFonts w:ascii="Courier New" w:eastAsia="Times New Roman" w:hAnsi="Courier New" w:cs="Courier New"/>
          <w:sz w:val="20"/>
          <w:szCs w:val="20"/>
          <w:lang w:eastAsia="fr-BE"/>
        </w:rPr>
        <w:t>prop_at_20m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= -0.22 signifie qu'une augmentation de 10% d'ouverture à 20m correspond à une diminution de WD de 0.022 g/cm³.</w:t>
      </w:r>
    </w:p>
    <w:p w14:paraId="5B6300F0" w14:textId="77777777" w:rsidR="00562290" w:rsidRPr="00562290" w:rsidRDefault="00562290" w:rsidP="00562290">
      <w:pPr>
        <w:suppressAutoHyphens w:val="0"/>
        <w:spacing w:before="0" w:after="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pict w14:anchorId="55B54283">
          <v:rect id="_x0000_i1025" style="width:0;height:1.5pt" o:hralign="center" o:hrstd="t" o:hr="t" fillcolor="#a0a0a0" stroked="f"/>
        </w:pict>
      </w:r>
    </w:p>
    <w:p w14:paraId="0027E5A3" w14:textId="77777777" w:rsidR="00562290" w:rsidRPr="00562290" w:rsidRDefault="00562290" w:rsidP="00562290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t>Objectif 2 : Rôle médiateur de la composition</w:t>
      </w:r>
    </w:p>
    <w:p w14:paraId="15A147A7" w14:textId="77777777" w:rsidR="00562290" w:rsidRPr="00562290" w:rsidRDefault="00562290" w:rsidP="00562290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Partition de variance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(résumé des 4 tests)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1814"/>
        <w:gridCol w:w="2134"/>
        <w:gridCol w:w="967"/>
        <w:gridCol w:w="876"/>
      </w:tblGrid>
      <w:tr w:rsidR="00562290" w:rsidRPr="00562290" w14:paraId="42D8A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6964D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Composition testée</w:t>
            </w:r>
          </w:p>
        </w:tc>
        <w:tc>
          <w:tcPr>
            <w:tcW w:w="0" w:type="auto"/>
            <w:vAlign w:val="center"/>
            <w:hideMark/>
          </w:tcPr>
          <w:p w14:paraId="1A00FEDE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Structure unique</w:t>
            </w:r>
          </w:p>
        </w:tc>
        <w:tc>
          <w:tcPr>
            <w:tcW w:w="0" w:type="auto"/>
            <w:vAlign w:val="center"/>
            <w:hideMark/>
          </w:tcPr>
          <w:p w14:paraId="333E501C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Composition unique</w:t>
            </w:r>
          </w:p>
        </w:tc>
        <w:tc>
          <w:tcPr>
            <w:tcW w:w="0" w:type="auto"/>
            <w:vAlign w:val="center"/>
            <w:hideMark/>
          </w:tcPr>
          <w:p w14:paraId="78940441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Partagée</w:t>
            </w:r>
          </w:p>
        </w:tc>
        <w:tc>
          <w:tcPr>
            <w:tcW w:w="0" w:type="auto"/>
            <w:vAlign w:val="center"/>
            <w:hideMark/>
          </w:tcPr>
          <w:p w14:paraId="617439C2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Résidus</w:t>
            </w:r>
          </w:p>
        </w:tc>
      </w:tr>
      <w:tr w:rsidR="00562290" w:rsidRPr="00562290" w14:paraId="24ECF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0AF42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Tempérament</w:t>
            </w:r>
          </w:p>
        </w:tc>
        <w:tc>
          <w:tcPr>
            <w:tcW w:w="0" w:type="auto"/>
            <w:vAlign w:val="center"/>
            <w:hideMark/>
          </w:tcPr>
          <w:p w14:paraId="2B801C11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2.7%</w:t>
            </w:r>
          </w:p>
        </w:tc>
        <w:tc>
          <w:tcPr>
            <w:tcW w:w="0" w:type="auto"/>
            <w:vAlign w:val="center"/>
            <w:hideMark/>
          </w:tcPr>
          <w:p w14:paraId="6CC18EA4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45.1%</w:t>
            </w:r>
          </w:p>
        </w:tc>
        <w:tc>
          <w:tcPr>
            <w:tcW w:w="0" w:type="auto"/>
            <w:vAlign w:val="center"/>
            <w:hideMark/>
          </w:tcPr>
          <w:p w14:paraId="588A1AF2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28.2%</w:t>
            </w:r>
          </w:p>
        </w:tc>
        <w:tc>
          <w:tcPr>
            <w:tcW w:w="0" w:type="auto"/>
            <w:vAlign w:val="center"/>
            <w:hideMark/>
          </w:tcPr>
          <w:p w14:paraId="45388902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24.0%</w:t>
            </w:r>
          </w:p>
        </w:tc>
      </w:tr>
      <w:tr w:rsidR="00562290" w:rsidRPr="00562290" w14:paraId="61EDC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AE40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CA</w:t>
            </w:r>
          </w:p>
        </w:tc>
        <w:tc>
          <w:tcPr>
            <w:tcW w:w="0" w:type="auto"/>
            <w:vAlign w:val="center"/>
            <w:hideMark/>
          </w:tcPr>
          <w:p w14:paraId="3FD5A01F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5.0%</w:t>
            </w:r>
          </w:p>
        </w:tc>
        <w:tc>
          <w:tcPr>
            <w:tcW w:w="0" w:type="auto"/>
            <w:vAlign w:val="center"/>
            <w:hideMark/>
          </w:tcPr>
          <w:p w14:paraId="016C9B0F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44.2%</w:t>
            </w:r>
          </w:p>
        </w:tc>
        <w:tc>
          <w:tcPr>
            <w:tcW w:w="0" w:type="auto"/>
            <w:vAlign w:val="center"/>
            <w:hideMark/>
          </w:tcPr>
          <w:p w14:paraId="3E85411A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25.9%</w:t>
            </w:r>
          </w:p>
        </w:tc>
        <w:tc>
          <w:tcPr>
            <w:tcW w:w="0" w:type="auto"/>
            <w:vAlign w:val="center"/>
            <w:hideMark/>
          </w:tcPr>
          <w:p w14:paraId="191F5432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24.9%</w:t>
            </w:r>
          </w:p>
        </w:tc>
      </w:tr>
      <w:tr w:rsidR="00562290" w:rsidRPr="00562290" w14:paraId="54937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0735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NSCA_DBH</w:t>
            </w:r>
          </w:p>
        </w:tc>
        <w:tc>
          <w:tcPr>
            <w:tcW w:w="0" w:type="auto"/>
            <w:vAlign w:val="center"/>
            <w:hideMark/>
          </w:tcPr>
          <w:p w14:paraId="53F18466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11.0%</w:t>
            </w:r>
          </w:p>
        </w:tc>
        <w:tc>
          <w:tcPr>
            <w:tcW w:w="0" w:type="auto"/>
            <w:vAlign w:val="center"/>
            <w:hideMark/>
          </w:tcPr>
          <w:p w14:paraId="7371188A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44.8%</w:t>
            </w:r>
          </w:p>
        </w:tc>
        <w:tc>
          <w:tcPr>
            <w:tcW w:w="0" w:type="auto"/>
            <w:vAlign w:val="center"/>
            <w:hideMark/>
          </w:tcPr>
          <w:p w14:paraId="54C75E04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19.8%</w:t>
            </w:r>
          </w:p>
        </w:tc>
        <w:tc>
          <w:tcPr>
            <w:tcW w:w="0" w:type="auto"/>
            <w:vAlign w:val="center"/>
            <w:hideMark/>
          </w:tcPr>
          <w:p w14:paraId="7F6EB144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24.4%</w:t>
            </w:r>
          </w:p>
        </w:tc>
      </w:tr>
      <w:tr w:rsidR="00562290" w:rsidRPr="00562290" w14:paraId="7C359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A4EC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TOUT (</w:t>
            </w:r>
            <w:proofErr w:type="spellStart"/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CA+NSCA+Temp</w:t>
            </w:r>
            <w:proofErr w:type="spellEnd"/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53D2B1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2.7%</w:t>
            </w:r>
          </w:p>
        </w:tc>
        <w:tc>
          <w:tcPr>
            <w:tcW w:w="0" w:type="auto"/>
            <w:vAlign w:val="center"/>
            <w:hideMark/>
          </w:tcPr>
          <w:p w14:paraId="25C6ABCA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55.1%</w:t>
            </w:r>
          </w:p>
        </w:tc>
        <w:tc>
          <w:tcPr>
            <w:tcW w:w="0" w:type="auto"/>
            <w:vAlign w:val="center"/>
            <w:hideMark/>
          </w:tcPr>
          <w:p w14:paraId="51B935E7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28.1%</w:t>
            </w:r>
          </w:p>
        </w:tc>
        <w:tc>
          <w:tcPr>
            <w:tcW w:w="0" w:type="auto"/>
            <w:vAlign w:val="center"/>
            <w:hideMark/>
          </w:tcPr>
          <w:p w14:paraId="4955D0BC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14.0%</w:t>
            </w:r>
          </w:p>
        </w:tc>
      </w:tr>
    </w:tbl>
    <w:p w14:paraId="2E4C3435" w14:textId="77777777" w:rsidR="00562290" w:rsidRPr="00562290" w:rsidRDefault="00562290" w:rsidP="00562290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Interprétation clé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: Sur les 31% de variance expliquée par la structure (PCA1), </w:t>
      </w: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seulement 2.7-11% sont uniques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>. Le reste (19-28%) est partagé avec la composition.</w:t>
      </w:r>
    </w:p>
    <w:p w14:paraId="3C7BA85A" w14:textId="77777777" w:rsidR="00562290" w:rsidRPr="00562290" w:rsidRDefault="00562290" w:rsidP="00562290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→ </w:t>
      </w: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La structure fonctionne principalement comme un proxy de la composition.</w:t>
      </w:r>
    </w:p>
    <w:p w14:paraId="6EF64907" w14:textId="77777777" w:rsidR="00562290" w:rsidRPr="00562290" w:rsidRDefault="00562290" w:rsidP="00562290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SEM — Test formel du lien résiduel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916"/>
        <w:gridCol w:w="1862"/>
      </w:tblGrid>
      <w:tr w:rsidR="00562290" w:rsidRPr="00562290" w14:paraId="451872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C848E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Modèle</w:t>
            </w:r>
          </w:p>
        </w:tc>
        <w:tc>
          <w:tcPr>
            <w:tcW w:w="0" w:type="auto"/>
            <w:vAlign w:val="center"/>
            <w:hideMark/>
          </w:tcPr>
          <w:p w14:paraId="6D5634E4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proofErr w:type="gramStart"/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p</w:t>
            </w:r>
            <w:proofErr w:type="gramEnd"/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-value</w:t>
            </w:r>
          </w:p>
        </w:tc>
        <w:tc>
          <w:tcPr>
            <w:tcW w:w="0" w:type="auto"/>
            <w:vAlign w:val="center"/>
            <w:hideMark/>
          </w:tcPr>
          <w:p w14:paraId="1F381208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Lien significatif ?</w:t>
            </w:r>
          </w:p>
        </w:tc>
      </w:tr>
      <w:tr w:rsidR="00562290" w:rsidRPr="00562290" w14:paraId="05570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ADA7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Tempérament</w:t>
            </w:r>
          </w:p>
        </w:tc>
        <w:tc>
          <w:tcPr>
            <w:tcW w:w="0" w:type="auto"/>
            <w:vAlign w:val="center"/>
            <w:hideMark/>
          </w:tcPr>
          <w:p w14:paraId="73CEB8C1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0.0025</w:t>
            </w:r>
          </w:p>
        </w:tc>
        <w:tc>
          <w:tcPr>
            <w:tcW w:w="0" w:type="auto"/>
            <w:vAlign w:val="center"/>
            <w:hideMark/>
          </w:tcPr>
          <w:p w14:paraId="5C92C331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OUI</w:t>
            </w:r>
          </w:p>
        </w:tc>
      </w:tr>
      <w:tr w:rsidR="00562290" w:rsidRPr="00562290" w14:paraId="1B7A2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F491C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CA</w:t>
            </w:r>
          </w:p>
        </w:tc>
        <w:tc>
          <w:tcPr>
            <w:tcW w:w="0" w:type="auto"/>
            <w:vAlign w:val="center"/>
            <w:hideMark/>
          </w:tcPr>
          <w:p w14:paraId="37B4A624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0.00011</w:t>
            </w:r>
          </w:p>
        </w:tc>
        <w:tc>
          <w:tcPr>
            <w:tcW w:w="0" w:type="auto"/>
            <w:vAlign w:val="center"/>
            <w:hideMark/>
          </w:tcPr>
          <w:p w14:paraId="28568D5E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OUI</w:t>
            </w:r>
          </w:p>
        </w:tc>
      </w:tr>
      <w:tr w:rsidR="00562290" w:rsidRPr="00562290" w14:paraId="6A189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2BBB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NSCA_DBH</w:t>
            </w:r>
          </w:p>
        </w:tc>
        <w:tc>
          <w:tcPr>
            <w:tcW w:w="0" w:type="auto"/>
            <w:vAlign w:val="center"/>
            <w:hideMark/>
          </w:tcPr>
          <w:p w14:paraId="7B707567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&lt; 0.0001</w:t>
            </w:r>
          </w:p>
        </w:tc>
        <w:tc>
          <w:tcPr>
            <w:tcW w:w="0" w:type="auto"/>
            <w:vAlign w:val="center"/>
            <w:hideMark/>
          </w:tcPr>
          <w:p w14:paraId="2454F3C5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OUI</w:t>
            </w:r>
          </w:p>
        </w:tc>
      </w:tr>
      <w:tr w:rsidR="00562290" w:rsidRPr="00562290" w14:paraId="332D4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1BFE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COMPLET</w:t>
            </w:r>
          </w:p>
        </w:tc>
        <w:tc>
          <w:tcPr>
            <w:tcW w:w="0" w:type="auto"/>
            <w:vAlign w:val="center"/>
            <w:hideMark/>
          </w:tcPr>
          <w:p w14:paraId="27AAB91D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0.00012</w:t>
            </w:r>
          </w:p>
        </w:tc>
        <w:tc>
          <w:tcPr>
            <w:tcW w:w="0" w:type="auto"/>
            <w:vAlign w:val="center"/>
            <w:hideMark/>
          </w:tcPr>
          <w:p w14:paraId="5B8C5F35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OUI</w:t>
            </w:r>
          </w:p>
        </w:tc>
      </w:tr>
    </w:tbl>
    <w:p w14:paraId="6C08812A" w14:textId="77777777" w:rsidR="00562290" w:rsidRPr="00562290" w:rsidRDefault="00562290" w:rsidP="00562290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lastRenderedPageBreak/>
        <w:t>Surprise importante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: Contrairement à ce qu'on pourrait attendre, </w:t>
      </w: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 xml:space="preserve">le lien résiduel </w:t>
      </w:r>
      <w:proofErr w:type="spellStart"/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Structure→WD</w:t>
      </w:r>
      <w:proofErr w:type="spellEnd"/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 xml:space="preserve"> reste significatif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même après contrôle de toute la composition (β = 0.215, p &lt; 0.001).</w:t>
      </w:r>
    </w:p>
    <w:p w14:paraId="1D501A60" w14:textId="77777777" w:rsidR="00562290" w:rsidRPr="00562290" w:rsidRDefault="00562290" w:rsidP="00562290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Interprétation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: Bien que la variance unique soit faible (2.7%), elle est </w:t>
      </w: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statistiquement significative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>. Cela suggère que :</w:t>
      </w:r>
    </w:p>
    <w:p w14:paraId="2510A0EE" w14:textId="77777777" w:rsidR="00562290" w:rsidRPr="00562290" w:rsidRDefault="00562290" w:rsidP="00562290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>La structure capture quelque chose que nos variables de composition ne mesurent pas complètement</w:t>
      </w:r>
    </w:p>
    <w:p w14:paraId="09FA8BF4" w14:textId="77777777" w:rsidR="00562290" w:rsidRPr="00562290" w:rsidRDefault="00562290" w:rsidP="00562290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>Ou il y a des aspects de la relation WD-structure qui ne passent pas par la composition mesurée</w:t>
      </w:r>
    </w:p>
    <w:p w14:paraId="6BD7B9AC" w14:textId="77777777" w:rsidR="00562290" w:rsidRPr="00562290" w:rsidRDefault="00562290" w:rsidP="00562290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>Cela pourrait être lié à l'histoire des perturbations, à des effets d'âge, ou à des aspects de la composition non captés par CA/NSCA/tempérament</w:t>
      </w:r>
    </w:p>
    <w:p w14:paraId="4DFAF7DD" w14:textId="77777777" w:rsidR="00562290" w:rsidRPr="00562290" w:rsidRDefault="00562290" w:rsidP="00562290">
      <w:pPr>
        <w:suppressAutoHyphens w:val="0"/>
        <w:spacing w:before="0" w:after="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pict w14:anchorId="25C56C97">
          <v:rect id="_x0000_i1026" style="width:0;height:1.5pt" o:hralign="center" o:hrstd="t" o:hr="t" fillcolor="#a0a0a0" stroked="f"/>
        </w:pict>
      </w:r>
    </w:p>
    <w:p w14:paraId="3003C735" w14:textId="77777777" w:rsidR="00562290" w:rsidRPr="00562290" w:rsidRDefault="00562290" w:rsidP="00562290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t>Objectif 3 : Différences structurelles par catégorie WD</w:t>
      </w:r>
    </w:p>
    <w:p w14:paraId="1BFE01A4" w14:textId="77777777" w:rsidR="00562290" w:rsidRPr="00562290" w:rsidRDefault="00562290" w:rsidP="00562290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PERMANOVA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: R² = 18.7%, p = 0.001 → Les quartiles de WD expliquent significativement la variation structurelle multivariée.</w:t>
      </w:r>
    </w:p>
    <w:p w14:paraId="7A91ABB1" w14:textId="77777777" w:rsidR="00562290" w:rsidRPr="00562290" w:rsidRDefault="00562290" w:rsidP="00562290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Mantel</w:t>
      </w:r>
      <w:proofErr w:type="spellEnd"/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: r = 0.24, p = 0.003 → Corrélation continue significative entre distances structurelles et distances WD.</w:t>
      </w:r>
    </w:p>
    <w:p w14:paraId="4174B191" w14:textId="77777777" w:rsidR="00562290" w:rsidRPr="00562290" w:rsidRDefault="00562290" w:rsidP="00562290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proofErr w:type="spellStart"/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Kruskal</w:t>
      </w:r>
      <w:proofErr w:type="spellEnd"/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-Wallis par métrique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(toutes p &lt; 0.001)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620"/>
        <w:gridCol w:w="3711"/>
      </w:tblGrid>
      <w:tr w:rsidR="00562290" w:rsidRPr="00562290" w14:paraId="32EDC6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CE2B7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Métrique</w:t>
            </w:r>
          </w:p>
        </w:tc>
        <w:tc>
          <w:tcPr>
            <w:tcW w:w="0" w:type="auto"/>
            <w:vAlign w:val="center"/>
            <w:hideMark/>
          </w:tcPr>
          <w:p w14:paraId="3322548F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Chi²</w:t>
            </w:r>
          </w:p>
        </w:tc>
        <w:tc>
          <w:tcPr>
            <w:tcW w:w="0" w:type="auto"/>
            <w:vAlign w:val="center"/>
            <w:hideMark/>
          </w:tcPr>
          <w:p w14:paraId="4712AFC4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Interprétation</w:t>
            </w:r>
          </w:p>
        </w:tc>
      </w:tr>
      <w:tr w:rsidR="00562290" w:rsidRPr="00562290" w14:paraId="7F513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FD5E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gramStart"/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prop</w:t>
            </w:r>
            <w:proofErr w:type="gramEnd"/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_at_20m</w:t>
            </w:r>
          </w:p>
        </w:tc>
        <w:tc>
          <w:tcPr>
            <w:tcW w:w="0" w:type="auto"/>
            <w:vAlign w:val="center"/>
            <w:hideMark/>
          </w:tcPr>
          <w:p w14:paraId="06C1DAB7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25.7</w:t>
            </w:r>
          </w:p>
        </w:tc>
        <w:tc>
          <w:tcPr>
            <w:tcW w:w="0" w:type="auto"/>
            <w:vAlign w:val="center"/>
            <w:hideMark/>
          </w:tcPr>
          <w:p w14:paraId="55F0509B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Plus d'ouverture dans Q1 (WD faible)</w:t>
            </w:r>
          </w:p>
        </w:tc>
      </w:tr>
      <w:tr w:rsidR="00562290" w:rsidRPr="00562290" w14:paraId="29A37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5534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gramStart"/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prop</w:t>
            </w:r>
            <w:proofErr w:type="gramEnd"/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_at_25m</w:t>
            </w:r>
          </w:p>
        </w:tc>
        <w:tc>
          <w:tcPr>
            <w:tcW w:w="0" w:type="auto"/>
            <w:vAlign w:val="center"/>
            <w:hideMark/>
          </w:tcPr>
          <w:p w14:paraId="117799D0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25.6</w:t>
            </w:r>
          </w:p>
        </w:tc>
        <w:tc>
          <w:tcPr>
            <w:tcW w:w="0" w:type="auto"/>
            <w:vAlign w:val="center"/>
            <w:hideMark/>
          </w:tcPr>
          <w:p w14:paraId="345485F2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Idem</w:t>
            </w:r>
          </w:p>
        </w:tc>
      </w:tr>
      <w:tr w:rsidR="00562290" w:rsidRPr="00562290" w14:paraId="550A1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E697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gramStart"/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h</w:t>
            </w:r>
            <w:proofErr w:type="gramEnd"/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6F83043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23.9</w:t>
            </w:r>
          </w:p>
        </w:tc>
        <w:tc>
          <w:tcPr>
            <w:tcW w:w="0" w:type="auto"/>
            <w:vAlign w:val="center"/>
            <w:hideMark/>
          </w:tcPr>
          <w:p w14:paraId="7A602220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Canopée plus basse dans Q1</w:t>
            </w:r>
          </w:p>
        </w:tc>
      </w:tr>
      <w:tr w:rsidR="00562290" w:rsidRPr="00562290" w14:paraId="67677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24C2D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proofErr w:type="gramStart"/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h</w:t>
            </w:r>
            <w:proofErr w:type="gramEnd"/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50, h75, h90</w:t>
            </w:r>
          </w:p>
        </w:tc>
        <w:tc>
          <w:tcPr>
            <w:tcW w:w="0" w:type="auto"/>
            <w:vAlign w:val="center"/>
            <w:hideMark/>
          </w:tcPr>
          <w:p w14:paraId="6AA148CA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21-23</w:t>
            </w:r>
          </w:p>
        </w:tc>
        <w:tc>
          <w:tcPr>
            <w:tcW w:w="0" w:type="auto"/>
            <w:vAlign w:val="center"/>
            <w:hideMark/>
          </w:tcPr>
          <w:p w14:paraId="487263B2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Idem, gradient continu</w:t>
            </w:r>
          </w:p>
        </w:tc>
      </w:tr>
    </w:tbl>
    <w:p w14:paraId="072FBC15" w14:textId="77777777" w:rsidR="00562290" w:rsidRPr="00562290" w:rsidRDefault="00562290" w:rsidP="00562290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Tableau descriptif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(valeurs moyennes)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214"/>
        <w:gridCol w:w="1434"/>
        <w:gridCol w:w="502"/>
      </w:tblGrid>
      <w:tr w:rsidR="00562290" w:rsidRPr="00562290" w14:paraId="38150A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F34C4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Quartile</w:t>
            </w:r>
          </w:p>
        </w:tc>
        <w:tc>
          <w:tcPr>
            <w:tcW w:w="0" w:type="auto"/>
            <w:vAlign w:val="center"/>
            <w:hideMark/>
          </w:tcPr>
          <w:p w14:paraId="72A81373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WD moyen</w:t>
            </w:r>
          </w:p>
        </w:tc>
        <w:tc>
          <w:tcPr>
            <w:tcW w:w="0" w:type="auto"/>
            <w:vAlign w:val="center"/>
            <w:hideMark/>
          </w:tcPr>
          <w:p w14:paraId="34FF1139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proofErr w:type="gramStart"/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prop</w:t>
            </w:r>
            <w:proofErr w:type="gramEnd"/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_at_20m</w:t>
            </w:r>
          </w:p>
        </w:tc>
        <w:tc>
          <w:tcPr>
            <w:tcW w:w="0" w:type="auto"/>
            <w:vAlign w:val="center"/>
            <w:hideMark/>
          </w:tcPr>
          <w:p w14:paraId="384487A8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</w:pPr>
            <w:proofErr w:type="gramStart"/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h</w:t>
            </w:r>
            <w:proofErr w:type="gramEnd"/>
            <w:r w:rsidRPr="005622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BE"/>
              </w:rPr>
              <w:t>75</w:t>
            </w:r>
          </w:p>
        </w:tc>
      </w:tr>
      <w:tr w:rsidR="00562290" w:rsidRPr="00562290" w14:paraId="17CFE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4963B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Q1 (faible WD)</w:t>
            </w:r>
          </w:p>
        </w:tc>
        <w:tc>
          <w:tcPr>
            <w:tcW w:w="0" w:type="auto"/>
            <w:vAlign w:val="center"/>
            <w:hideMark/>
          </w:tcPr>
          <w:p w14:paraId="54441892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0.48</w:t>
            </w:r>
          </w:p>
        </w:tc>
        <w:tc>
          <w:tcPr>
            <w:tcW w:w="0" w:type="auto"/>
            <w:vAlign w:val="center"/>
            <w:hideMark/>
          </w:tcPr>
          <w:p w14:paraId="536F6949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59%</w:t>
            </w:r>
          </w:p>
        </w:tc>
        <w:tc>
          <w:tcPr>
            <w:tcW w:w="0" w:type="auto"/>
            <w:vAlign w:val="center"/>
            <w:hideMark/>
          </w:tcPr>
          <w:p w14:paraId="742703F6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23m</w:t>
            </w:r>
          </w:p>
        </w:tc>
      </w:tr>
      <w:tr w:rsidR="00562290" w:rsidRPr="00562290" w14:paraId="0ED26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281E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29C0D008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0.62</w:t>
            </w:r>
          </w:p>
        </w:tc>
        <w:tc>
          <w:tcPr>
            <w:tcW w:w="0" w:type="auto"/>
            <w:vAlign w:val="center"/>
            <w:hideMark/>
          </w:tcPr>
          <w:p w14:paraId="64F9812B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52DD4CA6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28m</w:t>
            </w:r>
          </w:p>
        </w:tc>
      </w:tr>
      <w:tr w:rsidR="00562290" w:rsidRPr="00562290" w14:paraId="39C06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38B7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565887D7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1D602843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19%</w:t>
            </w:r>
          </w:p>
        </w:tc>
        <w:tc>
          <w:tcPr>
            <w:tcW w:w="0" w:type="auto"/>
            <w:vAlign w:val="center"/>
            <w:hideMark/>
          </w:tcPr>
          <w:p w14:paraId="0CF54E10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33m</w:t>
            </w:r>
          </w:p>
        </w:tc>
      </w:tr>
      <w:tr w:rsidR="00562290" w:rsidRPr="00562290" w14:paraId="6D031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42AF2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Q4 (fort WD)</w:t>
            </w:r>
          </w:p>
        </w:tc>
        <w:tc>
          <w:tcPr>
            <w:tcW w:w="0" w:type="auto"/>
            <w:vAlign w:val="center"/>
            <w:hideMark/>
          </w:tcPr>
          <w:p w14:paraId="779056FC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0.71</w:t>
            </w:r>
          </w:p>
        </w:tc>
        <w:tc>
          <w:tcPr>
            <w:tcW w:w="0" w:type="auto"/>
            <w:vAlign w:val="center"/>
            <w:hideMark/>
          </w:tcPr>
          <w:p w14:paraId="7765EFEA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21%</w:t>
            </w:r>
          </w:p>
        </w:tc>
        <w:tc>
          <w:tcPr>
            <w:tcW w:w="0" w:type="auto"/>
            <w:vAlign w:val="center"/>
            <w:hideMark/>
          </w:tcPr>
          <w:p w14:paraId="1CB1D347" w14:textId="77777777" w:rsidR="00562290" w:rsidRPr="00562290" w:rsidRDefault="00562290" w:rsidP="00562290">
            <w:pPr>
              <w:suppressAutoHyphens w:val="0"/>
              <w:spacing w:before="0" w:after="0"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</w:pPr>
            <w:r w:rsidRPr="00562290">
              <w:rPr>
                <w:rFonts w:ascii="Times New Roman" w:eastAsia="Times New Roman" w:hAnsi="Times New Roman" w:cs="Times New Roman"/>
                <w:sz w:val="24"/>
                <w:szCs w:val="24"/>
                <w:lang w:eastAsia="fr-BE"/>
              </w:rPr>
              <w:t>33m</w:t>
            </w:r>
          </w:p>
        </w:tc>
      </w:tr>
    </w:tbl>
    <w:p w14:paraId="2B1FFDDB" w14:textId="77777777" w:rsidR="00562290" w:rsidRPr="00562290" w:rsidRDefault="00562290" w:rsidP="00562290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 xml:space="preserve">Conclusion </w:t>
      </w:r>
      <w:proofErr w:type="spellStart"/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Obj</w:t>
      </w:r>
      <w:proofErr w:type="spellEnd"/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. 3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: Les forêts à faible WD (succession précoce) ont une canopée plus ouverte et plus basse. La signature structurelle est claire et discriminante.</w:t>
      </w:r>
    </w:p>
    <w:p w14:paraId="055A7CB9" w14:textId="77777777" w:rsidR="00562290" w:rsidRPr="00562290" w:rsidRDefault="00562290" w:rsidP="00562290">
      <w:pPr>
        <w:suppressAutoHyphens w:val="0"/>
        <w:spacing w:before="0" w:after="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pict w14:anchorId="21E39DE5">
          <v:rect id="_x0000_i1027" style="width:0;height:1.5pt" o:hralign="center" o:hrstd="t" o:hr="t" fillcolor="#a0a0a0" stroked="f"/>
        </w:pict>
      </w:r>
    </w:p>
    <w:p w14:paraId="7B6F8797" w14:textId="77777777" w:rsidR="00562290" w:rsidRPr="00562290" w:rsidRDefault="00562290" w:rsidP="00562290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t>Autocorrélation spatiale</w:t>
      </w:r>
    </w:p>
    <w:p w14:paraId="00B1A984" w14:textId="77777777" w:rsidR="00562290" w:rsidRPr="00562290" w:rsidRDefault="00562290" w:rsidP="00562290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lastRenderedPageBreak/>
        <w:t>Résultat majeur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: Le modèle spatial améliore l'AIC de 19 points.</w:t>
      </w:r>
    </w:p>
    <w:p w14:paraId="3AC0D198" w14:textId="77777777" w:rsidR="00562290" w:rsidRPr="00562290" w:rsidRDefault="00562290" w:rsidP="00562290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>Cela signifie :</w:t>
      </w:r>
    </w:p>
    <w:p w14:paraId="1235873E" w14:textId="77777777" w:rsidR="00562290" w:rsidRPr="00562290" w:rsidRDefault="00562290" w:rsidP="00562290">
      <w:pPr>
        <w:numPr>
          <w:ilvl w:val="0"/>
          <w:numId w:val="16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>Il y a une structure spatiale significative dans les données</w:t>
      </w:r>
    </w:p>
    <w:p w14:paraId="2A921E5B" w14:textId="77777777" w:rsidR="00562290" w:rsidRPr="00562290" w:rsidRDefault="00562290" w:rsidP="00562290">
      <w:pPr>
        <w:numPr>
          <w:ilvl w:val="0"/>
          <w:numId w:val="16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>Les plots proches ont des WD plus similaires que prévu par la structure seule</w:t>
      </w:r>
    </w:p>
    <w:p w14:paraId="42A351D0" w14:textId="77777777" w:rsidR="00562290" w:rsidRPr="00562290" w:rsidRDefault="00562290" w:rsidP="00562290">
      <w:pPr>
        <w:numPr>
          <w:ilvl w:val="0"/>
          <w:numId w:val="16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Les analyses non-spatiales sous-estiment peut-être l'incertitude</w:t>
      </w:r>
    </w:p>
    <w:p w14:paraId="0E8680B7" w14:textId="77777777" w:rsidR="00562290" w:rsidRPr="00562290" w:rsidRDefault="00562290" w:rsidP="00562290">
      <w:pPr>
        <w:suppressAutoHyphens w:val="0"/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Les paramètres </w:t>
      </w:r>
      <w:proofErr w:type="spellStart"/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>Matérn</w:t>
      </w:r>
      <w:proofErr w:type="spellEnd"/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(nu = 0.14, rho très petit) suggèrent une corrélation à courte portée.</w:t>
      </w:r>
    </w:p>
    <w:p w14:paraId="5904B263" w14:textId="77777777" w:rsidR="00562290" w:rsidRPr="00562290" w:rsidRDefault="00562290" w:rsidP="00562290">
      <w:pPr>
        <w:suppressAutoHyphens w:val="0"/>
        <w:spacing w:before="0" w:after="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pict w14:anchorId="342D2725">
          <v:rect id="_x0000_i1028" style="width:0;height:1.5pt" o:hralign="center" o:hrstd="t" o:hr="t" fillcolor="#a0a0a0" stroked="f"/>
        </w:pict>
      </w:r>
    </w:p>
    <w:p w14:paraId="243C6BDD" w14:textId="77777777" w:rsidR="00562290" w:rsidRPr="00562290" w:rsidRDefault="00562290" w:rsidP="00562290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36"/>
          <w:szCs w:val="36"/>
          <w:lang w:eastAsia="fr-BE"/>
        </w:rPr>
        <w:t>3. Analyses complémentaires suggérées</w:t>
      </w:r>
    </w:p>
    <w:p w14:paraId="3D02C657" w14:textId="77777777" w:rsidR="00562290" w:rsidRPr="00562290" w:rsidRDefault="00562290" w:rsidP="00562290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t>Essentielles pour l'article</w:t>
      </w:r>
    </w:p>
    <w:p w14:paraId="2E7FD544" w14:textId="77777777" w:rsidR="00562290" w:rsidRPr="00562290" w:rsidRDefault="00562290" w:rsidP="00562290">
      <w:pPr>
        <w:numPr>
          <w:ilvl w:val="0"/>
          <w:numId w:val="17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 xml:space="preserve">Test de significativité des fractions </w:t>
      </w:r>
      <w:proofErr w:type="spellStart"/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varpart</w:t>
      </w:r>
      <w:proofErr w:type="spellEnd"/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: Utiliser </w:t>
      </w:r>
      <w:proofErr w:type="spellStart"/>
      <w:proofErr w:type="gramStart"/>
      <w:r w:rsidRPr="00562290">
        <w:rPr>
          <w:rFonts w:ascii="Courier New" w:eastAsia="Times New Roman" w:hAnsi="Courier New" w:cs="Courier New"/>
          <w:sz w:val="20"/>
          <w:szCs w:val="20"/>
          <w:lang w:eastAsia="fr-BE"/>
        </w:rPr>
        <w:t>rda</w:t>
      </w:r>
      <w:proofErr w:type="spellEnd"/>
      <w:r w:rsidRPr="00562290">
        <w:rPr>
          <w:rFonts w:ascii="Courier New" w:eastAsia="Times New Roman" w:hAnsi="Courier New" w:cs="Courier New"/>
          <w:sz w:val="20"/>
          <w:szCs w:val="20"/>
          <w:lang w:eastAsia="fr-BE"/>
        </w:rPr>
        <w:t>(</w:t>
      </w:r>
      <w:proofErr w:type="gramEnd"/>
      <w:r w:rsidRPr="00562290">
        <w:rPr>
          <w:rFonts w:ascii="Courier New" w:eastAsia="Times New Roman" w:hAnsi="Courier New" w:cs="Courier New"/>
          <w:sz w:val="20"/>
          <w:szCs w:val="20"/>
          <w:lang w:eastAsia="fr-BE"/>
        </w:rPr>
        <w:t>)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puis </w:t>
      </w:r>
      <w:proofErr w:type="spellStart"/>
      <w:proofErr w:type="gramStart"/>
      <w:r w:rsidRPr="00562290">
        <w:rPr>
          <w:rFonts w:ascii="Courier New" w:eastAsia="Times New Roman" w:hAnsi="Courier New" w:cs="Courier New"/>
          <w:sz w:val="20"/>
          <w:szCs w:val="20"/>
          <w:lang w:eastAsia="fr-BE"/>
        </w:rPr>
        <w:t>anova</w:t>
      </w:r>
      <w:proofErr w:type="spellEnd"/>
      <w:r w:rsidRPr="00562290">
        <w:rPr>
          <w:rFonts w:ascii="Courier New" w:eastAsia="Times New Roman" w:hAnsi="Courier New" w:cs="Courier New"/>
          <w:sz w:val="20"/>
          <w:szCs w:val="20"/>
          <w:lang w:eastAsia="fr-BE"/>
        </w:rPr>
        <w:t>(</w:t>
      </w:r>
      <w:proofErr w:type="gramEnd"/>
      <w:r w:rsidRPr="00562290">
        <w:rPr>
          <w:rFonts w:ascii="Courier New" w:eastAsia="Times New Roman" w:hAnsi="Courier New" w:cs="Courier New"/>
          <w:sz w:val="20"/>
          <w:szCs w:val="20"/>
          <w:lang w:eastAsia="fr-BE"/>
        </w:rPr>
        <w:t>)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pour tester si les 2.7% uniques sont significatifs (complémentaire au SEM)</w:t>
      </w:r>
    </w:p>
    <w:p w14:paraId="79256D7D" w14:textId="77777777" w:rsidR="00562290" w:rsidRPr="00562290" w:rsidRDefault="00562290" w:rsidP="00562290">
      <w:pPr>
        <w:numPr>
          <w:ilvl w:val="0"/>
          <w:numId w:val="17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Figure de synthèse SEM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: Un diagramme de type </w:t>
      </w:r>
      <w:proofErr w:type="spellStart"/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>path</w:t>
      </w:r>
      <w:proofErr w:type="spellEnd"/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</w:t>
      </w:r>
      <w:proofErr w:type="spellStart"/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>diagram</w:t>
      </w:r>
      <w:proofErr w:type="spellEnd"/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avec les coefficients standardisés</w:t>
      </w:r>
    </w:p>
    <w:p w14:paraId="2BE641CF" w14:textId="77777777" w:rsidR="00562290" w:rsidRPr="00562290" w:rsidRDefault="00562290" w:rsidP="00562290">
      <w:pPr>
        <w:numPr>
          <w:ilvl w:val="0"/>
          <w:numId w:val="17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Profils de courbes par quartile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: Montrer les courbes cumulatives moyennes par catégorie WD (tu as déjà fait ça dans tes figures précédentes, à intégrer)</w:t>
      </w:r>
    </w:p>
    <w:p w14:paraId="3B775D2B" w14:textId="77777777" w:rsidR="00562290" w:rsidRPr="00562290" w:rsidRDefault="00562290" w:rsidP="00562290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  <w:t>Optionnelles mais intéressantes</w:t>
      </w:r>
    </w:p>
    <w:p w14:paraId="6D3E1296" w14:textId="77777777" w:rsidR="00562290" w:rsidRPr="00562290" w:rsidRDefault="00562290" w:rsidP="00562290">
      <w:pPr>
        <w:numPr>
          <w:ilvl w:val="0"/>
          <w:numId w:val="18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Modèle spatial avec composition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: Tester si l'autocorrélation disparaît quand on ajoute CA1/CA2 → indiquerait que la structure spatiale vient de la composition</w:t>
      </w:r>
    </w:p>
    <w:p w14:paraId="015BE7C7" w14:textId="77777777" w:rsidR="00562290" w:rsidRPr="00562290" w:rsidRDefault="00562290" w:rsidP="00562290">
      <w:pPr>
        <w:numPr>
          <w:ilvl w:val="0"/>
          <w:numId w:val="18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 xml:space="preserve">Analyse des </w:t>
      </w:r>
      <w:proofErr w:type="spellStart"/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outliers</w:t>
      </w:r>
      <w:proofErr w:type="spellEnd"/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: Identifier les plots où la prédiction est mauvaise (résidus élevés) → probablement </w:t>
      </w:r>
      <w:proofErr w:type="spellStart"/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>Gilbertiodendron</w:t>
      </w:r>
      <w:proofErr w:type="spellEnd"/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ou forêts secondaires extrêmes</w:t>
      </w:r>
    </w:p>
    <w:p w14:paraId="3DD76455" w14:textId="77777777" w:rsidR="00562290" w:rsidRPr="00562290" w:rsidRDefault="00562290" w:rsidP="00562290">
      <w:pPr>
        <w:numPr>
          <w:ilvl w:val="0"/>
          <w:numId w:val="18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Bootstrap des coefficients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: Intervalles de confiance robustes pour le coefficient de </w:t>
      </w:r>
      <w:r w:rsidRPr="00562290">
        <w:rPr>
          <w:rFonts w:ascii="Courier New" w:eastAsia="Times New Roman" w:hAnsi="Courier New" w:cs="Courier New"/>
          <w:sz w:val="20"/>
          <w:szCs w:val="20"/>
          <w:lang w:eastAsia="fr-BE"/>
        </w:rPr>
        <w:t>prop_at_20m</w:t>
      </w:r>
    </w:p>
    <w:p w14:paraId="0B30DCB6" w14:textId="77777777" w:rsidR="00562290" w:rsidRPr="00562290" w:rsidRDefault="00562290" w:rsidP="00562290">
      <w:pPr>
        <w:suppressAutoHyphens w:val="0"/>
        <w:spacing w:before="0" w:after="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pict w14:anchorId="43437ED2">
          <v:rect id="_x0000_i1029" style="width:0;height:1.5pt" o:hralign="center" o:hrstd="t" o:hr="t" fillcolor="#a0a0a0" stroked="f"/>
        </w:pict>
      </w:r>
    </w:p>
    <w:p w14:paraId="6C8FEA29" w14:textId="77777777" w:rsidR="00562290" w:rsidRPr="00562290" w:rsidRDefault="00562290" w:rsidP="00562290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36"/>
          <w:szCs w:val="36"/>
          <w:lang w:eastAsia="fr-BE"/>
        </w:rPr>
        <w:t>4. Messages clés pour l'article</w:t>
      </w:r>
    </w:p>
    <w:p w14:paraId="68172200" w14:textId="77777777" w:rsidR="00562290" w:rsidRPr="00562290" w:rsidRDefault="00562290" w:rsidP="00562290">
      <w:pPr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 xml:space="preserve">La structure </w:t>
      </w:r>
      <w:proofErr w:type="spellStart"/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LiDAR</w:t>
      </w:r>
      <w:proofErr w:type="spellEnd"/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 xml:space="preserve"> prédit modérément le WD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(R² ~ 36%) avec une seule variable (</w:t>
      </w:r>
      <w:r w:rsidRPr="00562290">
        <w:rPr>
          <w:rFonts w:ascii="Courier New" w:eastAsia="Times New Roman" w:hAnsi="Courier New" w:cs="Courier New"/>
          <w:sz w:val="20"/>
          <w:szCs w:val="20"/>
          <w:lang w:eastAsia="fr-BE"/>
        </w:rPr>
        <w:t>prop_at_20m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>)</w:t>
      </w:r>
    </w:p>
    <w:p w14:paraId="5A80449F" w14:textId="77777777" w:rsidR="00562290" w:rsidRPr="00562290" w:rsidRDefault="00562290" w:rsidP="00562290">
      <w:pPr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Cette relation est majoritairement indirecte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: ~90% de la variance expliquée est partagée avec la composition floristique</w:t>
      </w:r>
    </w:p>
    <w:p w14:paraId="05D573D0" w14:textId="77777777" w:rsidR="00562290" w:rsidRPr="00562290" w:rsidRDefault="00562290" w:rsidP="00562290">
      <w:pPr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Mais un effet résiduel existe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: 2.7% de variance unique, statistiquement significatif — la structure capture quelque chose au-delà de nos mesures de composition</w:t>
      </w:r>
    </w:p>
    <w:p w14:paraId="68C8A330" w14:textId="77777777" w:rsidR="00562290" w:rsidRPr="00562290" w:rsidRDefault="00562290" w:rsidP="00562290">
      <w:pPr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Les signatures structurelles sont distinctes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: les forêts à faible WD (pionnières) ont des canopées plus ouvertes et plus basses</w:t>
      </w:r>
    </w:p>
    <w:p w14:paraId="74296437" w14:textId="77777777" w:rsidR="00562290" w:rsidRPr="00562290" w:rsidRDefault="00562290" w:rsidP="00562290">
      <w:pPr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fr-BE"/>
        </w:rPr>
      </w:pPr>
      <w:r w:rsidRPr="00562290"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L'autocorrélation spatiale est importante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 xml:space="preserve"> : les modèles doivent en tenir compte pour des prédictions fiables</w:t>
      </w:r>
    </w:p>
    <w:p w14:paraId="7A660F88" w14:textId="738DA364" w:rsidR="000F580E" w:rsidRDefault="00562290" w:rsidP="00562290">
      <w:pPr>
        <w:pStyle w:val="Paragraphedeliste"/>
        <w:numPr>
          <w:ilvl w:val="0"/>
          <w:numId w:val="20"/>
        </w:num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BE"/>
        </w:rPr>
        <w:t>À faire </w:t>
      </w:r>
      <w:r w:rsidRPr="00562290">
        <w:rPr>
          <w:rFonts w:ascii="Times New Roman" w:eastAsia="Times New Roman" w:hAnsi="Times New Roman" w:cs="Times New Roman"/>
          <w:sz w:val="24"/>
          <w:szCs w:val="24"/>
          <w:lang w:eastAsia="fr-BE"/>
        </w:rPr>
        <w:t>:</w:t>
      </w:r>
      <w:r>
        <w:t xml:space="preserve"> COMPARER AU TCH uniquement !</w:t>
      </w:r>
    </w:p>
    <w:sectPr w:rsidR="000F58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M Roman 12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3E01"/>
    <w:multiLevelType w:val="multilevel"/>
    <w:tmpl w:val="E7901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D5340"/>
    <w:multiLevelType w:val="multilevel"/>
    <w:tmpl w:val="3E2EBB42"/>
    <w:lvl w:ilvl="0">
      <w:start w:val="1"/>
      <w:numFmt w:val="decimal"/>
      <w:pStyle w:val="Sous-titr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E390A1E"/>
    <w:multiLevelType w:val="multilevel"/>
    <w:tmpl w:val="12304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7E2111A"/>
    <w:multiLevelType w:val="multilevel"/>
    <w:tmpl w:val="79B8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2510CF"/>
    <w:multiLevelType w:val="multilevel"/>
    <w:tmpl w:val="2C08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0F11C26"/>
    <w:multiLevelType w:val="multilevel"/>
    <w:tmpl w:val="33362BF2"/>
    <w:lvl w:ilvl="0">
      <w:start w:val="1"/>
      <w:numFmt w:val="none"/>
      <w:pStyle w:val="Titre1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itre3"/>
      <w:lvlText w:val="%2.%3."/>
      <w:lvlJc w:val="left"/>
      <w:pPr>
        <w:ind w:left="1080" w:hanging="360"/>
      </w:pPr>
    </w:lvl>
    <w:lvl w:ilvl="3">
      <w:start w:val="1"/>
      <w:numFmt w:val="lowerLetter"/>
      <w:lvlText w:val="%2.%3.%4."/>
      <w:lvlJc w:val="left"/>
      <w:pPr>
        <w:ind w:left="1440" w:hanging="36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35E0F9F"/>
    <w:multiLevelType w:val="multilevel"/>
    <w:tmpl w:val="026EA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463824"/>
    <w:multiLevelType w:val="hybridMultilevel"/>
    <w:tmpl w:val="36B87E1A"/>
    <w:lvl w:ilvl="0" w:tplc="32485292">
      <w:numFmt w:val="bullet"/>
      <w:lvlText w:val=""/>
      <w:lvlJc w:val="left"/>
      <w:pPr>
        <w:ind w:left="587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8" w15:restartNumberingAfterBreak="0">
    <w:nsid w:val="62E7008E"/>
    <w:multiLevelType w:val="multilevel"/>
    <w:tmpl w:val="E43ED5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2906E7"/>
    <w:multiLevelType w:val="multilevel"/>
    <w:tmpl w:val="F5C8C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6610884">
    <w:abstractNumId w:val="5"/>
  </w:num>
  <w:num w:numId="2" w16cid:durableId="231157051">
    <w:abstractNumId w:val="5"/>
  </w:num>
  <w:num w:numId="3" w16cid:durableId="93324799">
    <w:abstractNumId w:val="5"/>
  </w:num>
  <w:num w:numId="4" w16cid:durableId="39743105">
    <w:abstractNumId w:val="5"/>
  </w:num>
  <w:num w:numId="5" w16cid:durableId="1929072366">
    <w:abstractNumId w:val="1"/>
  </w:num>
  <w:num w:numId="6" w16cid:durableId="15233991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1672138">
    <w:abstractNumId w:val="2"/>
  </w:num>
  <w:num w:numId="8" w16cid:durableId="5484995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84079731">
    <w:abstractNumId w:val="5"/>
  </w:num>
  <w:num w:numId="10" w16cid:durableId="1421951685">
    <w:abstractNumId w:val="5"/>
  </w:num>
  <w:num w:numId="11" w16cid:durableId="1341616496">
    <w:abstractNumId w:val="5"/>
  </w:num>
  <w:num w:numId="12" w16cid:durableId="2025397400">
    <w:abstractNumId w:val="5"/>
  </w:num>
  <w:num w:numId="13" w16cid:durableId="1538662211">
    <w:abstractNumId w:val="1"/>
  </w:num>
  <w:num w:numId="14" w16cid:durableId="1943293929">
    <w:abstractNumId w:val="4"/>
  </w:num>
  <w:num w:numId="15" w16cid:durableId="1238711985">
    <w:abstractNumId w:val="9"/>
  </w:num>
  <w:num w:numId="16" w16cid:durableId="1449424221">
    <w:abstractNumId w:val="3"/>
  </w:num>
  <w:num w:numId="17" w16cid:durableId="76949445">
    <w:abstractNumId w:val="6"/>
  </w:num>
  <w:num w:numId="18" w16cid:durableId="1762872388">
    <w:abstractNumId w:val="8"/>
  </w:num>
  <w:num w:numId="19" w16cid:durableId="1838644808">
    <w:abstractNumId w:val="0"/>
  </w:num>
  <w:num w:numId="20" w16cid:durableId="392860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90"/>
    <w:rsid w:val="00016F1D"/>
    <w:rsid w:val="000F580E"/>
    <w:rsid w:val="00125484"/>
    <w:rsid w:val="00203744"/>
    <w:rsid w:val="00467BC4"/>
    <w:rsid w:val="00562290"/>
    <w:rsid w:val="006330CE"/>
    <w:rsid w:val="0065143B"/>
    <w:rsid w:val="006A1EBD"/>
    <w:rsid w:val="007C1AC7"/>
    <w:rsid w:val="009A1CFD"/>
    <w:rsid w:val="00B403BA"/>
    <w:rsid w:val="00EF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E536E"/>
  <w15:chartTrackingRefBased/>
  <w15:docId w15:val="{B5B5C2BA-F3BF-47AF-91E2-582C970A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3BA"/>
    <w:pPr>
      <w:suppressAutoHyphens/>
      <w:spacing w:before="160" w:line="360" w:lineRule="auto"/>
      <w:ind w:firstLine="227"/>
      <w:jc w:val="both"/>
    </w:pPr>
    <w:rPr>
      <w:rFonts w:ascii="LM Roman 12" w:hAnsi="LM Roman 12"/>
      <w:kern w:val="0"/>
      <w14:ligatures w14:val="none"/>
    </w:rPr>
  </w:style>
  <w:style w:type="paragraph" w:styleId="Titre1">
    <w:name w:val="heading 1"/>
    <w:basedOn w:val="Titre2"/>
    <w:next w:val="Normal"/>
    <w:link w:val="Titre1Car"/>
    <w:autoRedefine/>
    <w:uiPriority w:val="9"/>
    <w:qFormat/>
    <w:rsid w:val="0065143B"/>
    <w:pPr>
      <w:numPr>
        <w:ilvl w:val="0"/>
      </w:numPr>
      <w:spacing w:before="0"/>
      <w:outlineLvl w:val="0"/>
    </w:pPr>
    <w:rPr>
      <w:sz w:val="29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65143B"/>
    <w:pPr>
      <w:keepNext/>
      <w:keepLines/>
      <w:numPr>
        <w:ilvl w:val="1"/>
        <w:numId w:val="12"/>
      </w:numPr>
      <w:spacing w:before="240" w:after="240"/>
      <w:outlineLvl w:val="1"/>
    </w:pPr>
    <w:rPr>
      <w:rFonts w:eastAsiaTheme="majorEastAsia" w:cstheme="majorBidi"/>
      <w:b/>
      <w:kern w:val="2"/>
      <w:sz w:val="26"/>
      <w:szCs w:val="26"/>
      <w:lang w:val="fr-FR"/>
      <w14:ligatures w14:val="standardContextual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65143B"/>
    <w:pPr>
      <w:keepNext/>
      <w:keepLines/>
      <w:numPr>
        <w:ilvl w:val="2"/>
        <w:numId w:val="12"/>
      </w:numPr>
      <w:spacing w:before="200" w:after="200"/>
      <w:outlineLvl w:val="2"/>
    </w:pPr>
    <w:rPr>
      <w:rFonts w:eastAsiaTheme="majorEastAsia" w:cstheme="majorBidi"/>
      <w:b/>
      <w:i/>
      <w:iCs/>
      <w:kern w:val="2"/>
      <w:sz w:val="24"/>
      <w:szCs w:val="24"/>
      <w:lang w:val="en-GB"/>
      <w14:ligatures w14:val="standardContextual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65143B"/>
    <w:pPr>
      <w:keepNext/>
      <w:keepLines/>
      <w:numPr>
        <w:ilvl w:val="3"/>
        <w:numId w:val="14"/>
      </w:numPr>
      <w:spacing w:before="200" w:after="200"/>
      <w:ind w:left="1264" w:hanging="357"/>
      <w:outlineLvl w:val="3"/>
    </w:pPr>
    <w:rPr>
      <w:rFonts w:eastAsiaTheme="majorEastAsia" w:cstheme="majorBidi"/>
      <w:b/>
      <w:iCs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65143B"/>
    <w:pPr>
      <w:keepNext/>
      <w:keepLines/>
      <w:numPr>
        <w:ilvl w:val="4"/>
        <w:numId w:val="7"/>
      </w:numPr>
      <w:tabs>
        <w:tab w:val="clear" w:pos="3600"/>
      </w:tabs>
      <w:ind w:left="1604" w:hanging="357"/>
      <w:outlineLvl w:val="4"/>
    </w:pPr>
    <w:rPr>
      <w:rFonts w:eastAsiaTheme="majorEastAsia" w:cstheme="majorBidi"/>
      <w:b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22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22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229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229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egend">
    <w:name w:val="Legend"/>
    <w:basedOn w:val="Normal"/>
    <w:link w:val="LegendCar"/>
    <w:qFormat/>
    <w:rsid w:val="00B403BA"/>
    <w:pPr>
      <w:keepNext/>
      <w:keepLines/>
      <w:spacing w:before="40" w:after="40" w:line="192" w:lineRule="auto"/>
      <w:textboxTightWrap w:val="firstAndLastLine"/>
    </w:pPr>
    <w:rPr>
      <w:sz w:val="16"/>
      <w:lang w:val="fr-FR"/>
    </w:rPr>
  </w:style>
  <w:style w:type="character" w:customStyle="1" w:styleId="LegendCar">
    <w:name w:val="Legend Car"/>
    <w:basedOn w:val="Policepardfaut"/>
    <w:link w:val="Legend"/>
    <w:rsid w:val="00B403BA"/>
    <w:rPr>
      <w:rFonts w:ascii="LM Roman 12" w:hAnsi="LM Roman 12"/>
      <w:sz w:val="16"/>
      <w:lang w:val="fr-FR"/>
    </w:rPr>
  </w:style>
  <w:style w:type="paragraph" w:styleId="Sansinterligne">
    <w:name w:val="No Spacing"/>
    <w:uiPriority w:val="1"/>
    <w:qFormat/>
    <w:rsid w:val="00B403BA"/>
    <w:pPr>
      <w:suppressAutoHyphens/>
      <w:spacing w:after="0" w:line="240" w:lineRule="auto"/>
      <w:ind w:firstLine="227"/>
      <w:jc w:val="both"/>
    </w:pPr>
    <w:rPr>
      <w:rFonts w:ascii="LM Roman 12" w:hAnsi="LM Roman 12"/>
      <w:kern w:val="0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65143B"/>
    <w:rPr>
      <w:rFonts w:ascii="LM Roman 12" w:eastAsiaTheme="majorEastAsia" w:hAnsi="LM Roman 12" w:cstheme="majorBidi"/>
      <w:b/>
      <w:sz w:val="29"/>
      <w:szCs w:val="2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5143B"/>
    <w:rPr>
      <w:rFonts w:ascii="LM Roman 12" w:eastAsiaTheme="majorEastAsia" w:hAnsi="LM Roman 12" w:cstheme="majorBidi"/>
      <w:b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B403BA"/>
    <w:rPr>
      <w:rFonts w:ascii="LM Roman 12" w:eastAsiaTheme="majorEastAsia" w:hAnsi="LM Roman 12" w:cstheme="majorBidi"/>
      <w:b/>
      <w:i/>
      <w:iCs/>
      <w:sz w:val="24"/>
      <w:szCs w:val="24"/>
      <w:lang w:val="en-GB"/>
    </w:rPr>
  </w:style>
  <w:style w:type="character" w:customStyle="1" w:styleId="Titre4Car">
    <w:name w:val="Titre 4 Car"/>
    <w:basedOn w:val="Policepardfaut"/>
    <w:link w:val="Titre4"/>
    <w:uiPriority w:val="9"/>
    <w:rsid w:val="0065143B"/>
    <w:rPr>
      <w:rFonts w:ascii="LM Roman 12" w:eastAsiaTheme="majorEastAsia" w:hAnsi="LM Roman 12" w:cstheme="majorBidi"/>
      <w:b/>
      <w:iCs/>
    </w:rPr>
  </w:style>
  <w:style w:type="character" w:customStyle="1" w:styleId="Titre5Car">
    <w:name w:val="Titre 5 Car"/>
    <w:basedOn w:val="Policepardfaut"/>
    <w:link w:val="Titre5"/>
    <w:uiPriority w:val="9"/>
    <w:rsid w:val="0065143B"/>
    <w:rPr>
      <w:rFonts w:ascii="LM Roman 12" w:eastAsiaTheme="majorEastAsia" w:hAnsi="LM Roman 12" w:cstheme="majorBidi"/>
      <w:b/>
    </w:rPr>
  </w:style>
  <w:style w:type="paragraph" w:styleId="Titre">
    <w:name w:val="Title"/>
    <w:basedOn w:val="Normal"/>
    <w:next w:val="Normal"/>
    <w:link w:val="TitreCar"/>
    <w:autoRedefine/>
    <w:uiPriority w:val="10"/>
    <w:qFormat/>
    <w:rsid w:val="00B403BA"/>
    <w:pPr>
      <w:pBdr>
        <w:top w:val="inset" w:sz="6" w:space="1" w:color="auto"/>
        <w:bottom w:val="inset" w:sz="6" w:space="1" w:color="auto"/>
      </w:pBdr>
      <w:spacing w:before="120" w:line="240" w:lineRule="auto"/>
      <w:jc w:val="center"/>
    </w:pPr>
    <w:rPr>
      <w:rFonts w:eastAsiaTheme="majorEastAsia" w:cstheme="majorBidi"/>
      <w:b/>
      <w:spacing w:val="-10"/>
      <w:kern w:val="28"/>
      <w:sz w:val="38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B403BA"/>
    <w:rPr>
      <w:rFonts w:ascii="LM Roman 12" w:eastAsiaTheme="majorEastAsia" w:hAnsi="LM Roman 12" w:cstheme="majorBidi"/>
      <w:b/>
      <w:spacing w:val="-10"/>
      <w:kern w:val="28"/>
      <w:sz w:val="38"/>
      <w:szCs w:val="56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B403BA"/>
    <w:pPr>
      <w:numPr>
        <w:numId w:val="13"/>
      </w:numPr>
      <w:pBdr>
        <w:bottom w:val="inset" w:sz="6" w:space="1" w:color="auto"/>
      </w:pBdr>
    </w:pPr>
    <w:rPr>
      <w:rFonts w:eastAsiaTheme="minorEastAsia"/>
      <w:spacing w:val="15"/>
      <w:kern w:val="2"/>
      <w:sz w:val="24"/>
      <w:lang w:val="fr-FR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B403BA"/>
    <w:rPr>
      <w:rFonts w:ascii="LM Roman 12" w:eastAsiaTheme="minorEastAsia" w:hAnsi="LM Roman 12"/>
      <w:spacing w:val="15"/>
      <w:sz w:val="24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562290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562290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562290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562290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562290"/>
    <w:pPr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2290"/>
    <w:rPr>
      <w:rFonts w:ascii="LM Roman 12" w:hAnsi="LM Roman 12"/>
      <w:i/>
      <w:iCs/>
      <w:color w:val="404040" w:themeColor="text1" w:themeTint="BF"/>
      <w:kern w:val="0"/>
      <w14:ligatures w14:val="none"/>
    </w:rPr>
  </w:style>
  <w:style w:type="paragraph" w:styleId="Paragraphedeliste">
    <w:name w:val="List Paragraph"/>
    <w:basedOn w:val="Normal"/>
    <w:uiPriority w:val="34"/>
    <w:qFormat/>
    <w:rsid w:val="005622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22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2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2290"/>
    <w:rPr>
      <w:rFonts w:ascii="LM Roman 12" w:hAnsi="LM Roman 12"/>
      <w:i/>
      <w:iCs/>
      <w:color w:val="0F4761" w:themeColor="accent1" w:themeShade="BF"/>
      <w:kern w:val="0"/>
      <w14:ligatures w14:val="none"/>
    </w:rPr>
  </w:style>
  <w:style w:type="character" w:styleId="Rfrenceintense">
    <w:name w:val="Intense Reference"/>
    <w:basedOn w:val="Policepardfaut"/>
    <w:uiPriority w:val="32"/>
    <w:qFormat/>
    <w:rsid w:val="00562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770</Words>
  <Characters>4218</Characters>
  <Application>Microsoft Office Word</Application>
  <DocSecurity>0</DocSecurity>
  <Lines>168</Lines>
  <Paragraphs>155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 Linden Arthur</dc:creator>
  <cp:keywords/>
  <dc:description/>
  <cp:lastModifiedBy>Vander Linden Arthur</cp:lastModifiedBy>
  <cp:revision>1</cp:revision>
  <dcterms:created xsi:type="dcterms:W3CDTF">2025-11-27T20:45:00Z</dcterms:created>
  <dcterms:modified xsi:type="dcterms:W3CDTF">2025-11-27T20:46:00Z</dcterms:modified>
</cp:coreProperties>
</file>