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327B" w14:textId="4FCFD115" w:rsidR="000B2190" w:rsidRPr="00770D79" w:rsidRDefault="00770D79" w:rsidP="00770D79">
      <w:pPr>
        <w:pBdr>
          <w:bottom w:val="single" w:sz="8" w:space="6" w:color="000000"/>
        </w:pBdr>
        <w:rPr>
          <w:rFonts w:ascii="Book Antiqua" w:hAnsi="Book Antiqua"/>
          <w:sz w:val="21"/>
          <w:szCs w:val="21"/>
        </w:rPr>
      </w:pPr>
      <w:r w:rsidRPr="00770D79">
        <w:rPr>
          <w:rFonts w:ascii="Book Antiqua" w:hAnsi="Book Antiqua"/>
          <w:b/>
          <w:bCs/>
          <w:color w:val="000000"/>
          <w:sz w:val="32"/>
          <w:szCs w:val="32"/>
        </w:rPr>
        <w:t>QUANT</w:t>
      </w:r>
      <w:r w:rsidR="008D3D68" w:rsidRPr="00770D79">
        <w:rPr>
          <w:rFonts w:ascii="Book Antiqua" w:hAnsi="Book Antiqua"/>
          <w:b/>
          <w:bCs/>
          <w:color w:val="000000"/>
          <w:sz w:val="32"/>
          <w:szCs w:val="32"/>
        </w:rPr>
        <w:t xml:space="preserve"> FINANCE </w:t>
      </w:r>
      <w:r w:rsidR="008D3D68" w:rsidRPr="00770D79">
        <w:rPr>
          <w:rFonts w:ascii="Book Antiqua" w:hAnsi="Book Antiqua"/>
          <w:b/>
          <w:bCs/>
          <w:color w:val="000000"/>
          <w:sz w:val="32"/>
          <w:szCs w:val="32"/>
        </w:rPr>
        <w:t>KEY</w:t>
      </w:r>
      <w:r w:rsidRPr="00770D79">
        <w:rPr>
          <w:rFonts w:ascii="Book Antiqua" w:hAnsi="Book Antiqua"/>
          <w:b/>
          <w:bCs/>
          <w:color w:val="000000"/>
          <w:sz w:val="32"/>
          <w:szCs w:val="32"/>
        </w:rPr>
        <w:t xml:space="preserve"> MATHEMATICAL</w:t>
      </w:r>
      <w:r w:rsidR="008D3D68" w:rsidRPr="00770D79">
        <w:rPr>
          <w:rFonts w:ascii="Book Antiqua" w:hAnsi="Book Antiqua"/>
          <w:b/>
          <w:bCs/>
          <w:color w:val="000000"/>
          <w:sz w:val="32"/>
          <w:szCs w:val="32"/>
        </w:rPr>
        <w:t xml:space="preserve"> </w:t>
      </w:r>
      <w:r w:rsidR="008D3D68" w:rsidRPr="00770D79">
        <w:rPr>
          <w:rFonts w:ascii="Book Antiqua" w:hAnsi="Book Antiqua"/>
          <w:b/>
          <w:bCs/>
          <w:color w:val="000000"/>
          <w:sz w:val="32"/>
          <w:szCs w:val="32"/>
        </w:rPr>
        <w:t>FRAMEWORK</w:t>
      </w:r>
      <w:r w:rsidR="008D3D68" w:rsidRPr="00770D79">
        <w:rPr>
          <w:rFonts w:ascii="Book Antiqua" w:hAnsi="Book Antiqua"/>
          <w:b/>
          <w:bCs/>
          <w:color w:val="000000"/>
          <w:sz w:val="32"/>
          <w:szCs w:val="32"/>
        </w:rPr>
        <w:t>S</w:t>
      </w:r>
    </w:p>
    <w:p w14:paraId="3D274112" w14:textId="77777777" w:rsidR="000B2190" w:rsidRPr="00770D79" w:rsidRDefault="000B2190" w:rsidP="00770D79">
      <w:pPr>
        <w:rPr>
          <w:rFonts w:ascii="Book Antiqua" w:hAnsi="Book Antiqua"/>
        </w:rPr>
      </w:pPr>
    </w:p>
    <w:p w14:paraId="25F825B5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Statistical Arbitrage &amp; Pairs Trading</w:t>
      </w:r>
    </w:p>
    <w:p w14:paraId="3BCB663F" w14:textId="77777777" w:rsidR="000B2190" w:rsidRPr="00770D79" w:rsidRDefault="000B2190" w:rsidP="00770D79">
      <w:pPr>
        <w:rPr>
          <w:rFonts w:ascii="Book Antiqua" w:hAnsi="Book Antiqua"/>
        </w:rPr>
      </w:pPr>
    </w:p>
    <w:p w14:paraId="051E6265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Cointegration — tests whether two non-stationary price series have a stationary linear combination, i.e. a stable long-run relationship that mean-reverts</w:t>
      </w:r>
    </w:p>
    <w:p w14:paraId="79B1788E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Ornstein-</w:t>
      </w:r>
      <w:proofErr w:type="spellStart"/>
      <w:r w:rsidRPr="00770D79">
        <w:rPr>
          <w:rFonts w:ascii="Book Antiqua" w:hAnsi="Book Antiqua"/>
        </w:rPr>
        <w:t>Uhlenbeck</w:t>
      </w:r>
      <w:proofErr w:type="spellEnd"/>
      <w:r w:rsidRPr="00770D79">
        <w:rPr>
          <w:rFonts w:ascii="Book Antiqua" w:hAnsi="Book Antiqua"/>
        </w:rPr>
        <w:t xml:space="preserve"> process — formally models how a spread reverts to its mean; estimates the speed of reversion and the equilibrium level</w:t>
      </w:r>
    </w:p>
    <w:p w14:paraId="286AE4CF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Kalman filtering — dynamically estimates the hedge ratio in real time as new data arrives, rather than recalculating on a fixed schedule</w:t>
      </w:r>
    </w:p>
    <w:p w14:paraId="27D8B164" w14:textId="77777777" w:rsidR="000B2190" w:rsidRPr="00770D79" w:rsidRDefault="000B2190" w:rsidP="00770D79">
      <w:pPr>
        <w:rPr>
          <w:rFonts w:ascii="Book Antiqua" w:hAnsi="Book Antiqua"/>
        </w:rPr>
      </w:pPr>
    </w:p>
    <w:p w14:paraId="3F1A1B26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Fixed Income &amp; Interest Rate Models</w:t>
      </w:r>
    </w:p>
    <w:p w14:paraId="67906821" w14:textId="77777777" w:rsidR="000B2190" w:rsidRPr="00770D79" w:rsidRDefault="000B2190" w:rsidP="00770D79">
      <w:pPr>
        <w:rPr>
          <w:rFonts w:ascii="Book Antiqua" w:hAnsi="Book Antiqua"/>
        </w:rPr>
      </w:pPr>
    </w:p>
    <w:p w14:paraId="29F7A656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 xml:space="preserve">Vasicek model — </w:t>
      </w:r>
      <w:proofErr w:type="gramStart"/>
      <w:r w:rsidRPr="00770D79">
        <w:rPr>
          <w:rFonts w:ascii="Book Antiqua" w:hAnsi="Book Antiqua"/>
        </w:rPr>
        <w:t>models</w:t>
      </w:r>
      <w:proofErr w:type="gramEnd"/>
      <w:r w:rsidRPr="00770D79">
        <w:rPr>
          <w:rFonts w:ascii="Book Antiqua" w:hAnsi="Book Antiqua"/>
        </w:rPr>
        <w:t xml:space="preserve"> interest rates as mean-reverting with normally distributed shocks; admits closed-form bond pricing</w:t>
      </w:r>
    </w:p>
    <w:p w14:paraId="1CB4FDBF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Cox-Ingersoll-Ross (CIR) — extends Vasicek by ensuring rates stay non-</w:t>
      </w:r>
      <w:proofErr w:type="gramStart"/>
      <w:r w:rsidRPr="00770D79">
        <w:rPr>
          <w:rFonts w:ascii="Book Antiqua" w:hAnsi="Book Antiqua"/>
        </w:rPr>
        <w:t>negative;</w:t>
      </w:r>
      <w:proofErr w:type="gramEnd"/>
      <w:r w:rsidRPr="00770D79">
        <w:rPr>
          <w:rFonts w:ascii="Book Antiqua" w:hAnsi="Book Antiqua"/>
        </w:rPr>
        <w:t xml:space="preserve"> variance scales with the rate level</w:t>
      </w:r>
    </w:p>
    <w:p w14:paraId="66774D52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Heath-Jarrow-Morton (HJM) framework — models the entire forward rate curve as a stochastic process rather than a single rate</w:t>
      </w:r>
    </w:p>
    <w:p w14:paraId="09DE20D4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Nelson-Siegel — fits the yield curve using three factors interpreted as level, slope, and curvature</w:t>
      </w:r>
    </w:p>
    <w:p w14:paraId="299E16EB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Duration and convexity — first and second order sensitivities of bond prices to interest rate changes</w:t>
      </w:r>
    </w:p>
    <w:p w14:paraId="30E20E2A" w14:textId="77777777" w:rsidR="000B2190" w:rsidRPr="00770D79" w:rsidRDefault="000B2190" w:rsidP="00770D79">
      <w:pPr>
        <w:rPr>
          <w:rFonts w:ascii="Book Antiqua" w:hAnsi="Book Antiqua"/>
        </w:rPr>
      </w:pPr>
    </w:p>
    <w:p w14:paraId="6B461E19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Stochastic Calculus</w:t>
      </w:r>
    </w:p>
    <w:p w14:paraId="7BFD91CD" w14:textId="77777777" w:rsidR="000B2190" w:rsidRPr="00770D79" w:rsidRDefault="000B2190" w:rsidP="00770D79">
      <w:pPr>
        <w:rPr>
          <w:rFonts w:ascii="Book Antiqua" w:hAnsi="Book Antiqua"/>
        </w:rPr>
      </w:pPr>
    </w:p>
    <w:p w14:paraId="49CF54E4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Ito’s lemma — the chain rule for stochastic processes; foundational for deriving pricing equations from assumed price dynamics</w:t>
      </w:r>
    </w:p>
    <w:p w14:paraId="31F88C91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Geometric Brownian Motion (GBM) — the standard model for stock prices; log-returns are normally distributed with constant drift and volatility</w:t>
      </w:r>
    </w:p>
    <w:p w14:paraId="27355312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Stochastic differential equations (SDEs) — the general language for writing down how prices, rates, and volatilities evolve over time</w:t>
      </w:r>
    </w:p>
    <w:p w14:paraId="43C09C73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proofErr w:type="spellStart"/>
      <w:r w:rsidRPr="00770D79">
        <w:rPr>
          <w:rFonts w:ascii="Book Antiqua" w:hAnsi="Book Antiqua"/>
        </w:rPr>
        <w:t>Girsanov’s</w:t>
      </w:r>
      <w:proofErr w:type="spellEnd"/>
      <w:r w:rsidRPr="00770D79">
        <w:rPr>
          <w:rFonts w:ascii="Book Antiqua" w:hAnsi="Book Antiqua"/>
        </w:rPr>
        <w:t xml:space="preserve"> theorem — allows changing between probability measures, e.g. moving from the real-world measure to the risk-neutral measure used for pricing</w:t>
      </w:r>
    </w:p>
    <w:p w14:paraId="4F3EC97C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Feynman-Kac theorem — connects PDEs to expectations under stochastic processes; lets you price derivatives by either solving a PDE or simulating paths</w:t>
      </w:r>
    </w:p>
    <w:p w14:paraId="36C46E7E" w14:textId="77777777" w:rsidR="000B2190" w:rsidRPr="00770D79" w:rsidRDefault="000B2190" w:rsidP="00770D79">
      <w:pPr>
        <w:rPr>
          <w:rFonts w:ascii="Book Antiqua" w:hAnsi="Book Antiqua"/>
        </w:rPr>
      </w:pPr>
    </w:p>
    <w:p w14:paraId="28CFA673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Volatility Modeling</w:t>
      </w:r>
    </w:p>
    <w:p w14:paraId="413158FA" w14:textId="77777777" w:rsidR="000B2190" w:rsidRPr="00770D79" w:rsidRDefault="000B2190" w:rsidP="00770D79">
      <w:pPr>
        <w:rPr>
          <w:rFonts w:ascii="Book Antiqua" w:hAnsi="Book Antiqua"/>
        </w:rPr>
      </w:pPr>
    </w:p>
    <w:p w14:paraId="1D2F4870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 xml:space="preserve">GARCH family (GARCH, EGARCH, GJR-GARCH) — </w:t>
      </w:r>
      <w:proofErr w:type="gramStart"/>
      <w:r w:rsidRPr="00770D79">
        <w:rPr>
          <w:rFonts w:ascii="Book Antiqua" w:hAnsi="Book Antiqua"/>
        </w:rPr>
        <w:t>models</w:t>
      </w:r>
      <w:proofErr w:type="gramEnd"/>
      <w:r w:rsidRPr="00770D79">
        <w:rPr>
          <w:rFonts w:ascii="Book Antiqua" w:hAnsi="Book Antiqua"/>
        </w:rPr>
        <w:t xml:space="preserve"> volatility as time-varying and persistent, with asymmetric response to positive and negative returns</w:t>
      </w:r>
    </w:p>
    <w:p w14:paraId="39FAAD74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Realized volatility — estimates volatility from high-frequency intraday data rather than daily closes</w:t>
      </w:r>
    </w:p>
    <w:p w14:paraId="60DD20E4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lastRenderedPageBreak/>
        <w:t>Volatility surface modeling — fits implied volatilities across strikes and maturities; captures the smile and term structure</w:t>
      </w:r>
    </w:p>
    <w:p w14:paraId="1E43BE4C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Local volatility (Dupire) — constructs a deterministic volatility surface consistent with all observed option prices</w:t>
      </w:r>
    </w:p>
    <w:p w14:paraId="27E81991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VIX and variance swaps — instruments that allow direct trading of realized vs implied volatility</w:t>
      </w:r>
    </w:p>
    <w:p w14:paraId="0E298CBF" w14:textId="77777777" w:rsidR="000B2190" w:rsidRPr="00770D79" w:rsidRDefault="000B2190" w:rsidP="00770D79">
      <w:pPr>
        <w:rPr>
          <w:rFonts w:ascii="Book Antiqua" w:hAnsi="Book Antiqua"/>
        </w:rPr>
      </w:pPr>
    </w:p>
    <w:p w14:paraId="6B093049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Derivatives Pricing</w:t>
      </w:r>
    </w:p>
    <w:p w14:paraId="5A8E4380" w14:textId="77777777" w:rsidR="000B2190" w:rsidRPr="00770D79" w:rsidRDefault="000B2190" w:rsidP="00770D79">
      <w:pPr>
        <w:rPr>
          <w:rFonts w:ascii="Book Antiqua" w:hAnsi="Book Antiqua"/>
        </w:rPr>
      </w:pPr>
    </w:p>
    <w:p w14:paraId="1EC05D65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Black-Scholes — prices options using a PDE derived from no-arbitrage assumptions and geometric Brownian motion</w:t>
      </w:r>
    </w:p>
    <w:p w14:paraId="54CBA1A4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Risk-neutral pricing — values derivatives by taking expectations under a probability measure where all assets grow at the risk-free rate</w:t>
      </w:r>
    </w:p>
    <w:p w14:paraId="2304E207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Stochastic volatility models (Heston, SABR) — extends Black-Scholes by letting volatility itself follow a random process</w:t>
      </w:r>
    </w:p>
    <w:p w14:paraId="0D5FEB08" w14:textId="77777777" w:rsidR="000B2190" w:rsidRPr="00770D79" w:rsidRDefault="000B2190" w:rsidP="00770D79">
      <w:pPr>
        <w:rPr>
          <w:rFonts w:ascii="Book Antiqua" w:hAnsi="Book Antiqua"/>
        </w:rPr>
      </w:pPr>
    </w:p>
    <w:p w14:paraId="33C84622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Risk Management</w:t>
      </w:r>
    </w:p>
    <w:p w14:paraId="253750FB" w14:textId="77777777" w:rsidR="000B2190" w:rsidRPr="00770D79" w:rsidRDefault="000B2190" w:rsidP="00770D79">
      <w:pPr>
        <w:rPr>
          <w:rFonts w:ascii="Book Antiqua" w:hAnsi="Book Antiqua"/>
        </w:rPr>
      </w:pPr>
    </w:p>
    <w:p w14:paraId="562A83BA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Greeks (Delta, Gamma, Vega, Theta, Rho) — sensitivities of option or portfolio value to changes in underlying price, volatility, time, and rates</w:t>
      </w:r>
    </w:p>
    <w:p w14:paraId="380C488B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Value at Risk (</w:t>
      </w:r>
      <w:proofErr w:type="spellStart"/>
      <w:r w:rsidRPr="00770D79">
        <w:rPr>
          <w:rFonts w:ascii="Book Antiqua" w:hAnsi="Book Antiqua"/>
        </w:rPr>
        <w:t>VaR</w:t>
      </w:r>
      <w:proofErr w:type="spellEnd"/>
      <w:r w:rsidRPr="00770D79">
        <w:rPr>
          <w:rFonts w:ascii="Book Antiqua" w:hAnsi="Book Antiqua"/>
        </w:rPr>
        <w:t xml:space="preserve">) and Expected Shortfall — estimates how much a portfolio can lose </w:t>
      </w:r>
      <w:proofErr w:type="gramStart"/>
      <w:r w:rsidRPr="00770D79">
        <w:rPr>
          <w:rFonts w:ascii="Book Antiqua" w:hAnsi="Book Antiqua"/>
        </w:rPr>
        <w:t>in a given</w:t>
      </w:r>
      <w:proofErr w:type="gramEnd"/>
      <w:r w:rsidRPr="00770D79">
        <w:rPr>
          <w:rFonts w:ascii="Book Antiqua" w:hAnsi="Book Antiqua"/>
        </w:rPr>
        <w:t xml:space="preserve"> time window at a given confidence level; Expected Shortfall is the average loss beyond the </w:t>
      </w:r>
      <w:proofErr w:type="spellStart"/>
      <w:r w:rsidRPr="00770D79">
        <w:rPr>
          <w:rFonts w:ascii="Book Antiqua" w:hAnsi="Book Antiqua"/>
        </w:rPr>
        <w:t>VaR</w:t>
      </w:r>
      <w:proofErr w:type="spellEnd"/>
      <w:r w:rsidRPr="00770D79">
        <w:rPr>
          <w:rFonts w:ascii="Book Antiqua" w:hAnsi="Book Antiqua"/>
        </w:rPr>
        <w:t xml:space="preserve"> threshold</w:t>
      </w:r>
    </w:p>
    <w:p w14:paraId="4A47CB65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Stress testing and scenario analysis — evaluates portfolio performance under historical or hypothetical extreme events</w:t>
      </w:r>
    </w:p>
    <w:p w14:paraId="3F52C5CC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 xml:space="preserve">Coherent risk measures — axiomatic framework for what properties a good risk measure should satisfy; Expected Shortfall satisfies them, </w:t>
      </w:r>
      <w:proofErr w:type="spellStart"/>
      <w:r w:rsidRPr="00770D79">
        <w:rPr>
          <w:rFonts w:ascii="Book Antiqua" w:hAnsi="Book Antiqua"/>
        </w:rPr>
        <w:t>VaR</w:t>
      </w:r>
      <w:proofErr w:type="spellEnd"/>
      <w:r w:rsidRPr="00770D79">
        <w:rPr>
          <w:rFonts w:ascii="Book Antiqua" w:hAnsi="Book Antiqua"/>
        </w:rPr>
        <w:t xml:space="preserve"> does not</w:t>
      </w:r>
    </w:p>
    <w:p w14:paraId="657AF05C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Drawdown analysis — measures peak-to-trough losses; more relevant than volatility for strategies with asymmetric return profiles</w:t>
      </w:r>
    </w:p>
    <w:p w14:paraId="3863DDAD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Copulas — models the dependency structure between assets, especially during tail events when correlations spike</w:t>
      </w:r>
    </w:p>
    <w:p w14:paraId="6A3C1108" w14:textId="77777777" w:rsidR="000B2190" w:rsidRPr="00770D79" w:rsidRDefault="000B2190" w:rsidP="00770D79">
      <w:pPr>
        <w:rPr>
          <w:rFonts w:ascii="Book Antiqua" w:hAnsi="Book Antiqua"/>
        </w:rPr>
      </w:pPr>
    </w:p>
    <w:p w14:paraId="1D666249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High Frequency &amp; Market Microstructure</w:t>
      </w:r>
    </w:p>
    <w:p w14:paraId="7BD54017" w14:textId="77777777" w:rsidR="000B2190" w:rsidRPr="00770D79" w:rsidRDefault="000B2190" w:rsidP="00770D79">
      <w:pPr>
        <w:rPr>
          <w:rFonts w:ascii="Book Antiqua" w:hAnsi="Book Antiqua"/>
        </w:rPr>
      </w:pPr>
    </w:p>
    <w:p w14:paraId="3F08ADB0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Order book dynamics — models how limit orders arrive, cancel, and execute; directly affects execution quality</w:t>
      </w:r>
    </w:p>
    <w:p w14:paraId="4AFC1207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Kyle model — models how an informed trader moves prices through order flow; defines price impact and market depth</w:t>
      </w:r>
    </w:p>
    <w:p w14:paraId="434C6F42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Hawkes processes — self-exciting point processes that model clustering of trades and order arrivals; captures the fact that trades tend to beget more trades</w:t>
      </w:r>
    </w:p>
    <w:p w14:paraId="66551336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TWAP and VWAP execution — time-weighted and volume-weighted average price benchmarks for slicing large orders to minimize market impact</w:t>
      </w:r>
    </w:p>
    <w:p w14:paraId="68CEEF75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Adverse selection — the risk that the other side of your trade has better information than you</w:t>
      </w:r>
    </w:p>
    <w:p w14:paraId="65C54A79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Almgren-Chriss optimal execution — minimizes the tradeoff between market impact and timing risk when liquidating a large position</w:t>
      </w:r>
    </w:p>
    <w:p w14:paraId="5CC6DE2B" w14:textId="77777777" w:rsidR="000B2190" w:rsidRPr="00770D79" w:rsidRDefault="000B2190" w:rsidP="00770D79">
      <w:pPr>
        <w:rPr>
          <w:rFonts w:ascii="Book Antiqua" w:hAnsi="Book Antiqua"/>
        </w:rPr>
      </w:pPr>
    </w:p>
    <w:p w14:paraId="54460C22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Portfolio Optimization</w:t>
      </w:r>
    </w:p>
    <w:p w14:paraId="1E4C5F80" w14:textId="77777777" w:rsidR="000B2190" w:rsidRPr="00770D79" w:rsidRDefault="000B2190" w:rsidP="00770D79">
      <w:pPr>
        <w:rPr>
          <w:rFonts w:ascii="Book Antiqua" w:hAnsi="Book Antiqua"/>
        </w:rPr>
      </w:pPr>
    </w:p>
    <w:p w14:paraId="72F88198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Mean-variance optimization (Markowitz) — finds portfolio weights that maximize expected return for a given level of risk, or minimize risk for a given expected return</w:t>
      </w:r>
    </w:p>
    <w:p w14:paraId="4290AB17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Black-</w:t>
      </w:r>
      <w:proofErr w:type="spellStart"/>
      <w:r w:rsidRPr="00770D79">
        <w:rPr>
          <w:rFonts w:ascii="Book Antiqua" w:hAnsi="Book Antiqua"/>
        </w:rPr>
        <w:t>Litterman</w:t>
      </w:r>
      <w:proofErr w:type="spellEnd"/>
      <w:r w:rsidRPr="00770D79">
        <w:rPr>
          <w:rFonts w:ascii="Book Antiqua" w:hAnsi="Book Antiqua"/>
        </w:rPr>
        <w:t xml:space="preserve"> — combines market equilibrium returns with investor views in a Bayesian framework to produce more stable portfolio weights than raw Markowitz</w:t>
      </w:r>
    </w:p>
    <w:p w14:paraId="43006965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Risk parity — allocates capital so each asset contributes equally to total portfolio risk rather than equally by dollar value</w:t>
      </w:r>
    </w:p>
    <w:p w14:paraId="01D831F2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Kelly criterion — maximizes long-run geometric growth rate; gives the theoretically optimal fraction of capital to bet given edge and odds</w:t>
      </w:r>
    </w:p>
    <w:p w14:paraId="5E00B3C1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Robust optimization — finds portfolio weights that perform well across a range of possible return and covariance estimates rather than a single point estimate</w:t>
      </w:r>
    </w:p>
    <w:p w14:paraId="5BFCDEB6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Hierarchical Risk Parity (HRP) — uses clustering and graph theory to build diversified portfolios without inverting the covariance matrix, which is numerically unstable with many assets</w:t>
      </w:r>
    </w:p>
    <w:p w14:paraId="0EF8D6AB" w14:textId="77777777" w:rsidR="000B2190" w:rsidRPr="00770D79" w:rsidRDefault="000B2190" w:rsidP="00770D79">
      <w:pPr>
        <w:rPr>
          <w:rFonts w:ascii="Book Antiqua" w:hAnsi="Book Antiqua"/>
        </w:rPr>
      </w:pPr>
    </w:p>
    <w:p w14:paraId="7B501CD5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Factor Investing</w:t>
      </w:r>
    </w:p>
    <w:p w14:paraId="4B6F18DB" w14:textId="77777777" w:rsidR="000B2190" w:rsidRPr="00770D79" w:rsidRDefault="000B2190" w:rsidP="00770D79">
      <w:pPr>
        <w:rPr>
          <w:rFonts w:ascii="Book Antiqua" w:hAnsi="Book Antiqua"/>
        </w:rPr>
      </w:pPr>
    </w:p>
    <w:p w14:paraId="00195E9B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CAPM — decomposes returns into market beta and idiosyncratic alpha; the foundational single-factor model</w:t>
      </w:r>
    </w:p>
    <w:p w14:paraId="684F1A00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Arbitrage Pricing Theory (APT) — generalizes CAPM to multiple risk factors without specifying what they are</w:t>
      </w:r>
    </w:p>
    <w:p w14:paraId="3DA56CF6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Fama-French 3 and 5 factor models — adds size, value, profitability, and investment factors to the market factor</w:t>
      </w:r>
    </w:p>
    <w:p w14:paraId="0E51DD41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Momentum — the empirical finding that recent outperformers tend to continue outperforming over the next 3–12 months</w:t>
      </w:r>
    </w:p>
    <w:p w14:paraId="75A1CFD1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Alpha decay — the rate at which a signal’s predictive power diminishes over time; critical for determining how frequently to trade</w:t>
      </w:r>
    </w:p>
    <w:p w14:paraId="5BAE7085" w14:textId="77777777" w:rsidR="000B2190" w:rsidRPr="00770D79" w:rsidRDefault="000B2190" w:rsidP="00770D79">
      <w:pPr>
        <w:rPr>
          <w:rFonts w:ascii="Book Antiqua" w:hAnsi="Book Antiqua"/>
        </w:rPr>
      </w:pPr>
    </w:p>
    <w:p w14:paraId="4E1F9839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Bayesian &amp; Probabilistic Methods</w:t>
      </w:r>
    </w:p>
    <w:p w14:paraId="2D1FB0DA" w14:textId="77777777" w:rsidR="000B2190" w:rsidRPr="00770D79" w:rsidRDefault="000B2190" w:rsidP="00770D79">
      <w:pPr>
        <w:rPr>
          <w:rFonts w:ascii="Book Antiqua" w:hAnsi="Book Antiqua"/>
        </w:rPr>
      </w:pPr>
    </w:p>
    <w:p w14:paraId="33D0757C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Bayesian inference — updates probability estimates as new data arrives; naturally handles parameter uncertainty rather than treating estimates as fixed</w:t>
      </w:r>
    </w:p>
    <w:p w14:paraId="5F37EB2A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Markov Chain Monte Carlo (MCMC) — samples from complex posterior distributions that have no closed form; used for parameter estimation in rich models</w:t>
      </w:r>
    </w:p>
    <w:p w14:paraId="7F459148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 xml:space="preserve">Hidden Markov Models (HMM) — </w:t>
      </w:r>
      <w:proofErr w:type="gramStart"/>
      <w:r w:rsidRPr="00770D79">
        <w:rPr>
          <w:rFonts w:ascii="Book Antiqua" w:hAnsi="Book Antiqua"/>
        </w:rPr>
        <w:t>models</w:t>
      </w:r>
      <w:proofErr w:type="gramEnd"/>
      <w:r w:rsidRPr="00770D79">
        <w:rPr>
          <w:rFonts w:ascii="Book Antiqua" w:hAnsi="Book Antiqua"/>
        </w:rPr>
        <w:t xml:space="preserve"> markets as switching between hidden states such as bull, bear, and crisis regimes, each with its own return distribution</w:t>
      </w:r>
    </w:p>
    <w:p w14:paraId="2AE36DFE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Gaussian processes — non-parametric probabilistic models for functions; used for return prediction and volatility surface interpolation</w:t>
      </w:r>
    </w:p>
    <w:p w14:paraId="71FF8642" w14:textId="77777777" w:rsidR="000B2190" w:rsidRPr="00770D79" w:rsidRDefault="000B2190" w:rsidP="00770D79">
      <w:pPr>
        <w:rPr>
          <w:rFonts w:ascii="Book Antiqua" w:hAnsi="Book Antiqua"/>
        </w:rPr>
      </w:pPr>
    </w:p>
    <w:p w14:paraId="72CE7BC6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Time Series &amp; Signal Processing</w:t>
      </w:r>
    </w:p>
    <w:p w14:paraId="766F470C" w14:textId="77777777" w:rsidR="000B2190" w:rsidRPr="00770D79" w:rsidRDefault="000B2190" w:rsidP="00770D79">
      <w:pPr>
        <w:rPr>
          <w:rFonts w:ascii="Book Antiqua" w:hAnsi="Book Antiqua"/>
        </w:rPr>
      </w:pPr>
    </w:p>
    <w:p w14:paraId="26059BC2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 xml:space="preserve">ARIMA — </w:t>
      </w:r>
      <w:proofErr w:type="gramStart"/>
      <w:r w:rsidRPr="00770D79">
        <w:rPr>
          <w:rFonts w:ascii="Book Antiqua" w:hAnsi="Book Antiqua"/>
        </w:rPr>
        <w:t>models</w:t>
      </w:r>
      <w:proofErr w:type="gramEnd"/>
      <w:r w:rsidRPr="00770D79">
        <w:rPr>
          <w:rFonts w:ascii="Book Antiqua" w:hAnsi="Book Antiqua"/>
        </w:rPr>
        <w:t xml:space="preserve"> autocorrelation in returns; combines autoregression, differencing, and moving average components</w:t>
      </w:r>
    </w:p>
    <w:p w14:paraId="403539D1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lastRenderedPageBreak/>
        <w:t>GARCH — models time-varying volatility that clusters; high-volatility periods tend to be followed by more high volatility</w:t>
      </w:r>
    </w:p>
    <w:p w14:paraId="54F7E6AF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Spectral analysis — decomposes a price series into frequency components to identify cyclical patterns</w:t>
      </w:r>
    </w:p>
    <w:p w14:paraId="4559A6A9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 xml:space="preserve">Regime switching models (Hamilton) — </w:t>
      </w:r>
      <w:proofErr w:type="gramStart"/>
      <w:r w:rsidRPr="00770D79">
        <w:rPr>
          <w:rFonts w:ascii="Book Antiqua" w:hAnsi="Book Antiqua"/>
        </w:rPr>
        <w:t>models</w:t>
      </w:r>
      <w:proofErr w:type="gramEnd"/>
      <w:r w:rsidRPr="00770D79">
        <w:rPr>
          <w:rFonts w:ascii="Book Antiqua" w:hAnsi="Book Antiqua"/>
        </w:rPr>
        <w:t xml:space="preserve"> markets as alternating between distinct states with different statistical properties</w:t>
      </w:r>
    </w:p>
    <w:p w14:paraId="1B5B6821" w14:textId="77777777" w:rsidR="000B2190" w:rsidRPr="00770D79" w:rsidRDefault="000B2190" w:rsidP="00770D79">
      <w:pPr>
        <w:rPr>
          <w:rFonts w:ascii="Book Antiqua" w:hAnsi="Book Antiqua"/>
        </w:rPr>
      </w:pPr>
    </w:p>
    <w:p w14:paraId="1CB67F73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Numerical Methods</w:t>
      </w:r>
    </w:p>
    <w:p w14:paraId="204420DE" w14:textId="77777777" w:rsidR="000B2190" w:rsidRPr="00770D79" w:rsidRDefault="000B2190" w:rsidP="00770D79">
      <w:pPr>
        <w:rPr>
          <w:rFonts w:ascii="Book Antiqua" w:hAnsi="Book Antiqua"/>
        </w:rPr>
      </w:pPr>
    </w:p>
    <w:p w14:paraId="70ADA010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Monte Carlo simulation — prices complex derivatives and estimates risk measures by simulating thousands of possible future paths</w:t>
      </w:r>
    </w:p>
    <w:p w14:paraId="4FE28796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Finite difference methods — solves PDEs numerically on a grid; used to price American options and other path-dependent instruments</w:t>
      </w:r>
    </w:p>
    <w:p w14:paraId="40787669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Fourier transform methods (FFT) — prices options extremely quickly by working in frequency space; exploits closed-form characteristic functions of many stochastic processes</w:t>
      </w:r>
    </w:p>
    <w:p w14:paraId="686369B7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Quasi-Monte Carlo — uses low-discrepancy sequences instead of random numbers to achieve faster convergence than standard Monte Carlo</w:t>
      </w:r>
    </w:p>
    <w:p w14:paraId="48DB8DF0" w14:textId="77777777" w:rsidR="000B2190" w:rsidRPr="00770D79" w:rsidRDefault="000B2190" w:rsidP="00770D79">
      <w:pPr>
        <w:rPr>
          <w:rFonts w:ascii="Book Antiqua" w:hAnsi="Book Antiqua"/>
        </w:rPr>
      </w:pPr>
    </w:p>
    <w:p w14:paraId="29E0FEB7" w14:textId="77777777" w:rsidR="000B2190" w:rsidRPr="00770D79" w:rsidRDefault="00000000" w:rsidP="00770D79">
      <w:pPr>
        <w:pStyle w:val="Heading1"/>
        <w:spacing w:line="240" w:lineRule="auto"/>
        <w:rPr>
          <w:rFonts w:ascii="Book Antiqua" w:hAnsi="Book Antiqua"/>
        </w:rPr>
      </w:pPr>
      <w:r w:rsidRPr="00770D79">
        <w:rPr>
          <w:rFonts w:ascii="Book Antiqua" w:hAnsi="Book Antiqua"/>
        </w:rPr>
        <w:t>Machine Learning Applications</w:t>
      </w:r>
    </w:p>
    <w:p w14:paraId="379873BE" w14:textId="77777777" w:rsidR="000B2190" w:rsidRPr="00770D79" w:rsidRDefault="000B2190" w:rsidP="00770D79">
      <w:pPr>
        <w:rPr>
          <w:rFonts w:ascii="Book Antiqua" w:hAnsi="Book Antiqua"/>
        </w:rPr>
      </w:pPr>
    </w:p>
    <w:p w14:paraId="6E9D21E1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Regularized regression (Lasso, Ridge) — builds return-predicting models while penalizing complexity to reduce overfitting</w:t>
      </w:r>
    </w:p>
    <w:p w14:paraId="1D29971F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Principal component analysis (PCA) — extracts the dominant factors driving a universe of stock returns; reduces dimensionality of the covariance matrix</w:t>
      </w:r>
    </w:p>
    <w:p w14:paraId="5F9746C5" w14:textId="77777777" w:rsidR="000B2190" w:rsidRPr="00770D79" w:rsidRDefault="00000000" w:rsidP="00770D79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770D79">
        <w:rPr>
          <w:rFonts w:ascii="Book Antiqua" w:hAnsi="Book Antiqua"/>
        </w:rPr>
        <w:t>Reinforcement learning — frames portfolio management or execution as a sequential decision problem and learns a policy through trial and error</w:t>
      </w:r>
    </w:p>
    <w:sectPr w:rsidR="000B2190" w:rsidRPr="00770D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4ABA"/>
    <w:multiLevelType w:val="hybridMultilevel"/>
    <w:tmpl w:val="21EC9FDE"/>
    <w:lvl w:ilvl="0" w:tplc="7A3CBA9C">
      <w:start w:val="1"/>
      <w:numFmt w:val="bullet"/>
      <w:lvlText w:val="●"/>
      <w:lvlJc w:val="left"/>
      <w:pPr>
        <w:ind w:left="720" w:hanging="360"/>
      </w:pPr>
    </w:lvl>
    <w:lvl w:ilvl="1" w:tplc="A710B890">
      <w:start w:val="1"/>
      <w:numFmt w:val="bullet"/>
      <w:lvlText w:val="○"/>
      <w:lvlJc w:val="left"/>
      <w:pPr>
        <w:ind w:left="1440" w:hanging="360"/>
      </w:pPr>
    </w:lvl>
    <w:lvl w:ilvl="2" w:tplc="EC96EA6E">
      <w:start w:val="1"/>
      <w:numFmt w:val="bullet"/>
      <w:lvlText w:val="■"/>
      <w:lvlJc w:val="left"/>
      <w:pPr>
        <w:ind w:left="2160" w:hanging="360"/>
      </w:pPr>
    </w:lvl>
    <w:lvl w:ilvl="3" w:tplc="2B8C0EC4">
      <w:start w:val="1"/>
      <w:numFmt w:val="bullet"/>
      <w:lvlText w:val="●"/>
      <w:lvlJc w:val="left"/>
      <w:pPr>
        <w:ind w:left="2880" w:hanging="360"/>
      </w:pPr>
    </w:lvl>
    <w:lvl w:ilvl="4" w:tplc="EAD0CFA8">
      <w:start w:val="1"/>
      <w:numFmt w:val="bullet"/>
      <w:lvlText w:val="○"/>
      <w:lvlJc w:val="left"/>
      <w:pPr>
        <w:ind w:left="3600" w:hanging="360"/>
      </w:pPr>
    </w:lvl>
    <w:lvl w:ilvl="5" w:tplc="17FA2EF8">
      <w:start w:val="1"/>
      <w:numFmt w:val="bullet"/>
      <w:lvlText w:val="■"/>
      <w:lvlJc w:val="left"/>
      <w:pPr>
        <w:ind w:left="4320" w:hanging="360"/>
      </w:pPr>
    </w:lvl>
    <w:lvl w:ilvl="6" w:tplc="38208F6C">
      <w:start w:val="1"/>
      <w:numFmt w:val="bullet"/>
      <w:lvlText w:val="●"/>
      <w:lvlJc w:val="left"/>
      <w:pPr>
        <w:ind w:left="5040" w:hanging="360"/>
      </w:pPr>
    </w:lvl>
    <w:lvl w:ilvl="7" w:tplc="9DEE5574">
      <w:start w:val="1"/>
      <w:numFmt w:val="bullet"/>
      <w:lvlText w:val="●"/>
      <w:lvlJc w:val="left"/>
      <w:pPr>
        <w:ind w:left="5760" w:hanging="360"/>
      </w:pPr>
    </w:lvl>
    <w:lvl w:ilvl="8" w:tplc="DAA0C6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E0FB4"/>
    <w:multiLevelType w:val="hybridMultilevel"/>
    <w:tmpl w:val="3BFC8168"/>
    <w:lvl w:ilvl="0" w:tplc="FFF05E3C">
      <w:start w:val="1"/>
      <w:numFmt w:val="bullet"/>
      <w:lvlText w:val="•"/>
      <w:lvlJc w:val="left"/>
      <w:pPr>
        <w:ind w:left="720" w:hanging="360"/>
      </w:pPr>
    </w:lvl>
    <w:lvl w:ilvl="1" w:tplc="8C0E9E4E">
      <w:numFmt w:val="decimal"/>
      <w:lvlText w:val=""/>
      <w:lvlJc w:val="left"/>
    </w:lvl>
    <w:lvl w:ilvl="2" w:tplc="90324B0A">
      <w:numFmt w:val="decimal"/>
      <w:lvlText w:val=""/>
      <w:lvlJc w:val="left"/>
    </w:lvl>
    <w:lvl w:ilvl="3" w:tplc="3EA46572">
      <w:numFmt w:val="decimal"/>
      <w:lvlText w:val=""/>
      <w:lvlJc w:val="left"/>
    </w:lvl>
    <w:lvl w:ilvl="4" w:tplc="1F9C2C46">
      <w:numFmt w:val="decimal"/>
      <w:lvlText w:val=""/>
      <w:lvlJc w:val="left"/>
    </w:lvl>
    <w:lvl w:ilvl="5" w:tplc="DC7AEE12">
      <w:numFmt w:val="decimal"/>
      <w:lvlText w:val=""/>
      <w:lvlJc w:val="left"/>
    </w:lvl>
    <w:lvl w:ilvl="6" w:tplc="E4E82C00">
      <w:numFmt w:val="decimal"/>
      <w:lvlText w:val=""/>
      <w:lvlJc w:val="left"/>
    </w:lvl>
    <w:lvl w:ilvl="7" w:tplc="82C677D0">
      <w:numFmt w:val="decimal"/>
      <w:lvlText w:val=""/>
      <w:lvlJc w:val="left"/>
    </w:lvl>
    <w:lvl w:ilvl="8" w:tplc="09A42530">
      <w:numFmt w:val="decimal"/>
      <w:lvlText w:val=""/>
      <w:lvlJc w:val="left"/>
    </w:lvl>
  </w:abstractNum>
  <w:num w:numId="1" w16cid:durableId="1978298643">
    <w:abstractNumId w:val="0"/>
    <w:lvlOverride w:ilvl="0">
      <w:startOverride w:val="1"/>
    </w:lvlOverride>
  </w:num>
  <w:num w:numId="2" w16cid:durableId="20045062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190"/>
    <w:rsid w:val="000B2190"/>
    <w:rsid w:val="001339E9"/>
    <w:rsid w:val="0044544C"/>
    <w:rsid w:val="00770D79"/>
    <w:rsid w:val="008D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C46BA"/>
  <w15:docId w15:val="{ED5CF86C-FAA2-4F4B-B387-12E398BA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0000"/>
      </w:pBdr>
      <w:spacing w:line="276" w:lineRule="auto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line="276" w:lineRule="auto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Blatnoy, Aaron Matthew</cp:lastModifiedBy>
  <cp:revision>2</cp:revision>
  <dcterms:created xsi:type="dcterms:W3CDTF">2026-03-01T01:31:00Z</dcterms:created>
  <dcterms:modified xsi:type="dcterms:W3CDTF">2026-03-01T01:31:00Z</dcterms:modified>
</cp:coreProperties>
</file>