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  <w:gridCol w:w="1200"/>
      </w:tblGrid>
      <w:tr w:rsidR="005A0E4F" w:rsidRPr="00745DC0" w14:paraId="0EBF7620" w14:textId="77777777">
        <w:tc>
          <w:tcPr>
            <w:tcW w:w="9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29B738" w14:textId="3A9B8441" w:rsidR="005A0E4F" w:rsidRPr="00745DC0" w:rsidRDefault="00257CB4">
            <w:p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32"/>
                <w:szCs w:val="32"/>
              </w:rPr>
              <w:t>TAMID QUANT — STRATEGY ONE PAGER</w:t>
            </w:r>
          </w:p>
          <w:p w14:paraId="7666BFD9" w14:textId="77777777" w:rsidR="005A0E4F" w:rsidRPr="00745DC0" w:rsidRDefault="00257CB4">
            <w:pPr>
              <w:spacing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26"/>
                <w:szCs w:val="26"/>
              </w:rPr>
              <w:t>MSGS Playoff Volatility Trade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AE63C" w14:textId="77777777" w:rsidR="005A0E4F" w:rsidRPr="00745DC0" w:rsidRDefault="00257CB4">
            <w:pPr>
              <w:spacing w:line="276" w:lineRule="auto"/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  <w:noProof/>
              </w:rPr>
              <w:drawing>
                <wp:inline distT="0" distB="0" distL="0" distR="0" wp14:anchorId="29A2A235" wp14:editId="5F35A671">
                  <wp:extent cx="666750" cy="60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3536F" w14:textId="4939A27C" w:rsidR="005A0E4F" w:rsidRPr="00745DC0" w:rsidRDefault="00257CB4">
      <w:pPr>
        <w:pBdr>
          <w:bottom w:val="single" w:sz="8" w:space="6" w:color="000000"/>
        </w:pBdr>
        <w:spacing w:after="60" w:line="276" w:lineRule="auto"/>
        <w:rPr>
          <w:rFonts w:ascii="Book Antiqua" w:hAnsi="Book Antiqua"/>
        </w:rPr>
      </w:pPr>
      <w:r>
        <w:rPr>
          <w:rFonts w:ascii="Book Antiqua" w:hAnsi="Book Antiqua"/>
          <w:color w:val="000000"/>
        </w:rPr>
        <w:t>Date: March 2026  |   Presenter: Andy Samuels</w:t>
      </w:r>
    </w:p>
    <w:p w14:paraId="0044B0CE" w14:textId="77777777" w:rsidR="005A0E4F" w:rsidRPr="00745DC0" w:rsidRDefault="005A0E4F">
      <w:pPr>
        <w:spacing w:line="276" w:lineRule="auto"/>
        <w:rPr>
          <w:rFonts w:ascii="Book Antiqua" w:hAnsi="Book Antiqua"/>
        </w:rPr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0"/>
        <w:gridCol w:w="3920"/>
      </w:tblGrid>
      <w:tr w:rsidR="005A0E4F" w:rsidRPr="00745DC0" w14:paraId="50FB0A13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663F7C64" w14:textId="77777777" w:rsidR="005A0E4F" w:rsidRPr="00745DC0" w:rsidRDefault="00257CB4">
            <w:pPr>
              <w:pBdr>
                <w:bottom w:val="single" w:sz="6" w:space="3" w:color="000000"/>
              </w:pBdr>
              <w:spacing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22"/>
                <w:szCs w:val="22"/>
              </w:rPr>
              <w:t>The Idea</w:t>
            </w:r>
          </w:p>
          <w:p w14:paraId="2C93F2F4" w14:textId="77777777" w:rsidR="005A0E4F" w:rsidRPr="00745DC0" w:rsidRDefault="00257CB4">
            <w:pPr>
              <w:spacing w:after="60"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i/>
                <w:iCs/>
                <w:color w:val="000000"/>
                <w:sz w:val="18"/>
                <w:szCs w:val="18"/>
              </w:rPr>
              <w:t>MSGS owns the Knicks and Rangers — revenue is directly tied to playoff depth, with more games meaning more tickets, suites, and merch. MSGS options become unusually cheap before playoffs as the market underprices a deep Knicks run. We buy straddles before the bracket sets and exit once volatility spikes.</w:t>
            </w:r>
          </w:p>
          <w:p w14:paraId="42DC4EB6" w14:textId="77777777" w:rsidR="005A0E4F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5626B769" w14:textId="77777777" w:rsidR="00402BD3" w:rsidRPr="00745DC0" w:rsidRDefault="00402BD3">
            <w:pPr>
              <w:spacing w:line="276" w:lineRule="auto"/>
              <w:rPr>
                <w:rFonts w:ascii="Book Antiqua" w:hAnsi="Book Antiqua"/>
              </w:rPr>
            </w:pPr>
          </w:p>
          <w:p w14:paraId="18C46E51" w14:textId="5DBB1B2D" w:rsidR="005A0E4F" w:rsidRPr="00745DC0" w:rsidRDefault="00745DC0">
            <w:pPr>
              <w:pBdr>
                <w:bottom w:val="single" w:sz="6" w:space="3" w:color="000000"/>
              </w:pBdr>
              <w:spacing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22"/>
                <w:szCs w:val="22"/>
              </w:rPr>
              <w:t>Mathematical Framework</w:t>
            </w:r>
          </w:p>
          <w:p w14:paraId="42C8D6DE" w14:textId="77777777" w:rsidR="005A0E4F" w:rsidRPr="00745DC0" w:rsidRDefault="00257CB4">
            <w:pPr>
              <w:spacing w:after="50"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18"/>
                <w:szCs w:val="18"/>
              </w:rPr>
              <w:t xml:space="preserve">Core Model:  </w:t>
            </w:r>
            <w:r>
              <w:rPr>
                <w:rFonts w:ascii="Book Antiqua" w:hAnsi="Book Antiqua"/>
                <w:i/>
                <w:iCs/>
                <w:color w:val="000000"/>
                <w:sz w:val="18"/>
                <w:szCs w:val="18"/>
              </w:rPr>
              <w:t>GJR-GARCH(1,1) — captures asymmetric volatility: a first-round Knicks exit collapses revenue expectations sharply, while a deep run builds gradually. The model estimates time-varying σ_t and flags when realized vol is unusually low heading into playoffs — the setup for a long straddle.</w:t>
            </w:r>
          </w:p>
          <w:p w14:paraId="2DE7DA64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32B1FCB4" w14:textId="77777777" w:rsidR="005A0E4F" w:rsidRPr="00745DC0" w:rsidRDefault="00257CB4">
            <w:pPr>
              <w:spacing w:after="50"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18"/>
                <w:szCs w:val="18"/>
              </w:rPr>
              <w:t xml:space="preserve">Signal Construction:  </w:t>
            </w:r>
            <w:r>
              <w:rPr>
                <w:rFonts w:ascii="Book Antiqua" w:hAnsi="Book Antiqua"/>
                <w:i/>
                <w:iCs/>
                <w:color w:val="000000"/>
                <w:sz w:val="18"/>
                <w:szCs w:val="18"/>
              </w:rPr>
              <w:t>GJR-GARCH conditional variance equation:</w:t>
            </w:r>
          </w:p>
          <w:p w14:paraId="71385F14" w14:textId="2DB7793E" w:rsidR="005A0E4F" w:rsidRPr="00745DC0" w:rsidRDefault="007651CD">
            <w:pPr>
              <w:pBdr>
                <w:left w:val="single" w:sz="12" w:space="8" w:color="AAAAAA"/>
              </w:pBdr>
              <w:spacing w:before="40" w:after="40" w:line="260" w:lineRule="auto"/>
              <w:ind w:left="480"/>
              <w:rPr>
                <w:rFonts w:ascii="Book Antiqua" w:hAnsi="Book Antiqua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/>
                  <w:sz w:val="18"/>
                  <w:szCs w:val="18"/>
                </w:rPr>
                <m:t xml:space="preserve">= ω +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α + γ</m:t>
                  </m:r>
                  <m:r>
                    <w:rPr>
                      <w:rFonts w:ascii="Cambria Math" w:hAnsi="Cambria Math" w:cs="Cambria Math"/>
                      <w:color w:val="000000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</w:rPr>
                        <m:t>I</m:t>
                      </m:r>
                      <m:ctrlPr>
                        <w:rPr>
                          <w:rFonts w:ascii="Cambria Math" w:hAnsi="Cambria Math" w:cs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18"/>
                              <w:szCs w:val="18"/>
                            </w:rPr>
                            <m:t>t-1</m:t>
                          </m:r>
                        </m:e>
                      </m:d>
                    </m:sub>
                  </m:sSub>
                </m:e>
              </m:d>
              <m:r>
                <w:rPr>
                  <w:rFonts w:ascii="Cambria Math" w:hAnsi="Cambria Math" w:cs="Cambria Math"/>
                  <w:color w:val="000000"/>
                  <w:sz w:val="18"/>
                  <w:szCs w:val="18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ε</m:t>
                  </m:r>
                  <m:ctrlPr>
                    <w:rPr>
                      <w:rFonts w:ascii="Cambria Math" w:hAnsi="Cambria Math" w:cs="Cambria Math"/>
                      <w:i/>
                      <w:color w:val="000000"/>
                      <w:sz w:val="18"/>
                      <w:szCs w:val="18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</w:rPr>
                        <m:t>t-1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/>
                  <w:sz w:val="18"/>
                  <w:szCs w:val="18"/>
                </w:rPr>
                <m:t>+ β</m:t>
              </m:r>
              <m:r>
                <w:rPr>
                  <w:rFonts w:ascii="Cambria Math" w:hAnsi="Cambria Math" w:cs="Cambria Math"/>
                  <w:color w:val="000000"/>
                  <w:sz w:val="18"/>
                  <w:szCs w:val="18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σ</m:t>
                  </m:r>
                  <m:ctrlPr>
                    <w:rPr>
                      <w:rFonts w:ascii="Cambria Math" w:hAnsi="Cambria Math" w:cs="Cambria Math"/>
                      <w:i/>
                      <w:color w:val="000000"/>
                      <w:sz w:val="18"/>
                      <w:szCs w:val="18"/>
                    </w:rPr>
                  </m:ctrlP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</w:rPr>
                        <m:t>t-1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  <w:lang w:val="de-DE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000000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  <w:lang w:val="de-D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  <w:lang w:val="de-DE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</w:rPr>
                    <m:t>-</m:t>
                  </m:r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  <w:lang w:val="de-DE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color w:val="000000"/>
                          <w:sz w:val="18"/>
                          <w:szCs w:val="18"/>
                          <w:lang w:val="de-DE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18"/>
                          <w:szCs w:val="18"/>
                          <w:lang w:val="de-DE"/>
                        </w:rPr>
                        <m:t>t</m:t>
                      </m:r>
                    </m:sub>
                  </m:sSub>
                </m:e>
              </m:d>
              <m:r>
                <m:rPr>
                  <m:lit/>
                </m:rPr>
                <w:rPr>
                  <w:rFonts w:ascii="Cambria Math" w:hAnsi="Cambria Math"/>
                  <w:color w:val="000000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color w:val="000000"/>
                  <w:sz w:val="18"/>
                  <w:szCs w:val="18"/>
                  <w:lang w:val="de-DE"/>
                </w:rPr>
                <m:t>sigm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18"/>
                      <w:szCs w:val="18"/>
                      <w:lang w:val="de-DE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/>
                      <w:sz w:val="18"/>
                      <w:szCs w:val="18"/>
                      <w:lang w:val="de-DE"/>
                    </w:rPr>
                    <m:t>t</m:t>
                  </m:r>
                </m:sub>
              </m:sSub>
            </m:oMath>
            <w:r w:rsidR="00257CB4">
              <w:rPr>
                <w:rFonts w:ascii="Book Antiqua" w:eastAsia="Courier New" w:hAnsi="Book Antiqua" w:cs="Courier New"/>
                <w:color w:val="000000"/>
                <w:sz w:val="18"/>
                <w:szCs w:val="18"/>
              </w:rPr>
              <w:t xml:space="preserve"> </w:t>
            </w:r>
            <w:r w:rsidR="00257CB4">
              <w:rPr>
                <w:rFonts w:ascii="Book Antiqua" w:eastAsia="Courier New" w:hAnsi="Book Antiqua" w:cs="Courier New"/>
                <w:color w:val="000000"/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Courier New" w:hAnsi="Cambria Math" w:cs="Courier New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Courier New" w:hAnsi="Cambria Math" w:cs="Courier New"/>
                          <w:color w:val="000000"/>
                          <w:sz w:val="18"/>
                          <w:szCs w:val="18"/>
                        </w:rPr>
                        <m:t>t-1</m:t>
                      </m:r>
                    </m:e>
                  </m:d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 xml:space="preserve">= 1 if </m:t>
              </m:r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ε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Courier New" w:hAnsi="Cambria Math" w:cs="Courier New"/>
                          <w:i/>
                          <w:color w:val="00000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Courier New" w:hAnsi="Cambria Math" w:cs="Courier New"/>
                          <w:color w:val="000000"/>
                          <w:sz w:val="18"/>
                          <w:szCs w:val="18"/>
                        </w:rPr>
                        <m:t>t-1</m:t>
                      </m:r>
                    </m:e>
                  </m:d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 xml:space="preserve">&lt; 0 </m:t>
              </m:r>
            </m:oMath>
            <w:r w:rsidR="00257CB4">
              <w:rPr>
                <w:rFonts w:ascii="Book Antiqua" w:eastAsia="Courier New" w:hAnsi="Book Antiqua" w:cs="Courier New"/>
                <w:color w:val="000000"/>
                <w:sz w:val="18"/>
                <w:szCs w:val="18"/>
              </w:rPr>
              <w:t xml:space="preserve">(bad news). Signal: enter when 30-day realized vol &lt; 20th percentile of 2-year history, in the 3-week window before NBA playoff start.  </w:t>
            </w:r>
            <m:oMath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-</m:t>
              </m:r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β</m:t>
              </m:r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·</m:t>
              </m:r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B</m:t>
                  </m:r>
                </m:sub>
              </m:sSub>
            </m:oMath>
          </w:p>
          <w:p w14:paraId="1AA46C5E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30DE0D6B" w14:textId="77777777" w:rsidR="005A0E4F" w:rsidRPr="00745DC0" w:rsidRDefault="00257CB4">
            <w:pPr>
              <w:spacing w:after="50"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18"/>
                <w:szCs w:val="18"/>
              </w:rPr>
              <w:t xml:space="preserve">Entry / Exit Logic:  </w:t>
            </w:r>
            <w:r>
              <w:rPr>
                <w:rFonts w:ascii="Book Antiqua" w:hAnsi="Book Antiqua"/>
                <w:i/>
                <w:iCs/>
                <w:color w:val="000000"/>
                <w:sz w:val="18"/>
                <w:szCs w:val="18"/>
              </w:rPr>
              <w:t>Triggered by calendar + vol regime — not a price level:</w:t>
            </w:r>
          </w:p>
          <w:p w14:paraId="51B58F59" w14:textId="6D046EAB" w:rsidR="005A0E4F" w:rsidRPr="00745DC0" w:rsidRDefault="00257CB4">
            <w:pPr>
              <w:pBdr>
                <w:left w:val="single" w:sz="12" w:space="8" w:color="AAAAAA"/>
              </w:pBdr>
              <w:spacing w:before="40" w:after="40" w:line="260" w:lineRule="auto"/>
              <w:ind w:left="480"/>
              <w:rPr>
                <w:rFonts w:ascii="Book Antiqua" w:hAnsi="Book Antiqua"/>
              </w:rPr>
            </w:pPr>
            <w:r>
              <w:rPr>
                <w:rFonts w:ascii="Book Antiqua" w:eastAsia="Courier New" w:hAnsi="Book Antiqua" w:cs="Courier New"/>
                <w:color w:val="000000"/>
                <w:sz w:val="18"/>
                <w:szCs w:val="18"/>
              </w:rPr>
              <w:t xml:space="preserve">Enter long straddle (ATM call + put) 3 weeks before NBA playoff start </w:t>
            </w:r>
            <m:oMath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&lt;-2</m:t>
              </m:r>
            </m:oMath>
            <w:r>
              <w:rPr>
                <w:rFonts w:ascii="Book Antiqua" w:eastAsia="Courier New" w:hAnsi="Book Antiqua" w:cs="Courier New"/>
                <w:color w:val="000000"/>
                <w:sz w:val="18"/>
                <w:szCs w:val="18"/>
              </w:rPr>
              <w:t xml:space="preserve">Exit when IV rises 30%+ above entry, or on Knicks elimination   |   Close by end of Round 1 if no expansion </w:t>
            </w:r>
            <m:oMath>
              <m:sSub>
                <m:sSubPr>
                  <m:ctrlPr>
                    <w:rPr>
                      <w:rFonts w:ascii="Cambria Math" w:eastAsia="Courier New" w:hAnsi="Cambria Math" w:cs="Courier New"/>
                      <w:i/>
                      <w:color w:val="00000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eastAsia="Courier New" w:hAnsi="Cambria Math" w:cs="Courier New"/>
                      <w:color w:val="000000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eastAsia="Courier New" w:hAnsi="Cambria Math" w:cs="Courier New"/>
                  <w:color w:val="000000"/>
                  <w:sz w:val="18"/>
                  <w:szCs w:val="18"/>
                </w:rPr>
                <m:t>&gt;-0.5</m:t>
              </m:r>
            </m:oMath>
          </w:p>
          <w:p w14:paraId="0F31C4B4" w14:textId="77777777" w:rsidR="005A0E4F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6A672CDC" w14:textId="77777777" w:rsidR="00402BD3" w:rsidRPr="00745DC0" w:rsidRDefault="00402BD3">
            <w:pPr>
              <w:spacing w:line="276" w:lineRule="auto"/>
              <w:rPr>
                <w:rFonts w:ascii="Book Antiqua" w:hAnsi="Book Antiqua"/>
              </w:rPr>
            </w:pPr>
          </w:p>
          <w:p w14:paraId="0353D867" w14:textId="77777777" w:rsidR="005A0E4F" w:rsidRPr="00745DC0" w:rsidRDefault="00257CB4">
            <w:pPr>
              <w:pBdr>
                <w:bottom w:val="single" w:sz="6" w:space="3" w:color="000000"/>
              </w:pBdr>
              <w:spacing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22"/>
                <w:szCs w:val="22"/>
              </w:rPr>
              <w:t>Key Assumptions</w:t>
            </w:r>
          </w:p>
          <w:p w14:paraId="42A1A4EF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NBA playoff schedule is fixed and public — entry timing is fully predictable</w:t>
            </w:r>
          </w:p>
          <w:p w14:paraId="4E414389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MSGS options underPrice playoff vol due to low analyst coverage and thin trading</w:t>
            </w:r>
          </w:p>
          <w:p w14:paraId="38C8C007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Deep playoff runs materially lift MSGS revenue — 2024 Knicks run added ~$100M in Q4</w:t>
            </w:r>
          </w:p>
          <w:p w14:paraId="2414A0BA" w14:textId="6FB884F5" w:rsidR="00402BD3" w:rsidRDefault="00402BD3" w:rsidP="00402BD3">
            <w:pPr>
              <w:spacing w:line="276" w:lineRule="auto"/>
              <w:rPr>
                <w:rFonts w:ascii="Book Antiqua" w:hAnsi="Book Antiqua"/>
              </w:rPr>
            </w:pPr>
          </w:p>
          <w:p w14:paraId="46E1CD32" w14:textId="77777777" w:rsidR="00402BD3" w:rsidRPr="00745DC0" w:rsidRDefault="00402BD3" w:rsidP="00402BD3">
            <w:pPr>
              <w:spacing w:line="276" w:lineRule="auto"/>
              <w:rPr>
                <w:rFonts w:ascii="Book Antiqua" w:hAnsi="Book Antiqua"/>
              </w:rPr>
            </w:pPr>
          </w:p>
          <w:p w14:paraId="09579E8A" w14:textId="77777777" w:rsidR="005A0E4F" w:rsidRPr="00745DC0" w:rsidRDefault="00257CB4">
            <w:pPr>
              <w:pBdr>
                <w:bottom w:val="single" w:sz="6" w:space="3" w:color="000000"/>
              </w:pBdr>
              <w:spacing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  <w:sz w:val="22"/>
                <w:szCs w:val="22"/>
              </w:rPr>
              <w:t>Key Risks</w:t>
            </w:r>
          </w:p>
          <w:p w14:paraId="0169BABA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First-round Knicks exit collapses the vol thesis before the straddle profits</w:t>
            </w:r>
          </w:p>
          <w:p w14:paraId="502D1396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One trade per year — tiny sample makes all backtest statistics unreliable</w:t>
            </w:r>
          </w:p>
          <w:p w14:paraId="6C554D2A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Thin MSGS options market — wide bid-ask spreads may erode the edge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E2A3D" w14:textId="77777777" w:rsidR="005A0E4F" w:rsidRPr="00745DC0" w:rsidRDefault="00257CB4">
            <w:pPr>
              <w:spacing w:before="80"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At a Glance</w:t>
            </w:r>
          </w:p>
          <w:tbl>
            <w:tblPr>
              <w:tblW w:w="368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23"/>
              <w:gridCol w:w="1457"/>
            </w:tblGrid>
            <w:tr w:rsidR="005A0E4F" w:rsidRPr="00745DC0" w14:paraId="7A5384D3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462721E1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Asset Class: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64B85A9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U.S. Equities / Options</w:t>
                  </w:r>
                </w:p>
              </w:tc>
            </w:tr>
            <w:tr w:rsidR="005A0E4F" w:rsidRPr="00745DC0" w14:paraId="721D24B0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711B8A16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Strategy Type: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88D5C5D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Volatility / Event-Driven</w:t>
                  </w:r>
                </w:p>
              </w:tc>
            </w:tr>
            <w:tr w:rsidR="005A0E4F" w:rsidRPr="00745DC0" w14:paraId="2C2579E7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63156A06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Direction: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47914C35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Long Volatility</w:t>
                  </w:r>
                </w:p>
              </w:tc>
            </w:tr>
            <w:tr w:rsidR="005A0E4F" w:rsidRPr="00745DC0" w14:paraId="400DA1F7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34C254EE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Holding Period: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1E410947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Days to Weeks</w:t>
                  </w:r>
                </w:p>
              </w:tc>
            </w:tr>
            <w:tr w:rsidR="005A0E4F" w:rsidRPr="00745DC0" w14:paraId="3C0E005C" w14:textId="77777777">
              <w:tc>
                <w:tcPr>
                  <w:tcW w:w="2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60" w:type="dxa"/>
                  </w:tcMar>
                </w:tcPr>
                <w:p w14:paraId="660B4AE8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>Universe:</w:t>
                  </w:r>
                </w:p>
              </w:tc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5A459FBD" w14:textId="77777777" w:rsidR="005A0E4F" w:rsidRPr="00745DC0" w:rsidRDefault="00257CB4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Book Antiqua" w:hAnsi="Book Antiqua"/>
                      <w:i/>
                      <w:iCs/>
                      <w:color w:val="000000"/>
                      <w:sz w:val="18"/>
                      <w:szCs w:val="18"/>
                    </w:rPr>
                    <w:t>MSGS</w:t>
                  </w:r>
                </w:p>
              </w:tc>
            </w:tr>
          </w:tbl>
          <w:p w14:paraId="00309614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62FA29C5" w14:textId="77777777" w:rsidR="005A0E4F" w:rsidRPr="00745DC0" w:rsidRDefault="00257CB4">
            <w:pPr>
              <w:spacing w:before="80"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Data Requirements</w:t>
            </w:r>
          </w:p>
          <w:p w14:paraId="322166BA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Daily OHLCV for MSGS — Yahoo Finance / Bloomberg</w:t>
            </w:r>
          </w:p>
          <w:p w14:paraId="466EAE9C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MSGS options chain (IV, bid-ask) — CBOE / Bloomberg</w:t>
            </w:r>
          </w:p>
          <w:p w14:paraId="1F2D63A0" w14:textId="62D73646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NBA playoff schedule and results — NBA.com</w:t>
            </w:r>
          </w:p>
          <w:p w14:paraId="2B53B982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MSGS earnings transcripts for per-game revenue data</w:t>
            </w:r>
          </w:p>
          <w:p w14:paraId="46007589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1AA9E349" w14:textId="77777777" w:rsidR="005A0E4F" w:rsidRPr="00745DC0" w:rsidRDefault="00257CB4">
            <w:pPr>
              <w:spacing w:before="80"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Key Parameters</w:t>
            </w:r>
          </w:p>
          <w:p w14:paraId="02812B2F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Vol lookback: 2-year rolling window</w:t>
            </w:r>
          </w:p>
          <w:p w14:paraId="30625E60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Entry: realized vol &lt; 20th percentile</w:t>
            </w:r>
          </w:p>
          <w:p w14:paraId="48CB5A79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Exit: IV expansion &gt; 30% or elimination</w:t>
            </w:r>
          </w:p>
          <w:p w14:paraId="3C5ABD62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Frequency: once per year (playoff window)</w:t>
            </w:r>
          </w:p>
          <w:p w14:paraId="002021E3" w14:textId="77777777" w:rsidR="005A0E4F" w:rsidRPr="00745DC0" w:rsidRDefault="005A0E4F">
            <w:pPr>
              <w:spacing w:line="276" w:lineRule="auto"/>
              <w:rPr>
                <w:rFonts w:ascii="Book Antiqua" w:hAnsi="Book Antiqua"/>
              </w:rPr>
            </w:pPr>
          </w:p>
          <w:p w14:paraId="6BC0A74D" w14:textId="77777777" w:rsidR="005A0E4F" w:rsidRPr="00745DC0" w:rsidRDefault="00257CB4">
            <w:pPr>
              <w:spacing w:before="80" w:after="60" w:line="276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Open Questions</w:t>
            </w:r>
          </w:p>
          <w:p w14:paraId="58DF2AC3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Are MSGS options liquid enough to enter/exit without excessive slippage?</w:t>
            </w:r>
          </w:p>
          <w:p w14:paraId="04785163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Does GJR-GARCH reliably identify low-vol regimes with only ~5 years of MSGS data?</w:t>
            </w:r>
          </w:p>
          <w:p w14:paraId="16D6EE93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Does the vol signal hold if Rangers (not Knicks) are the primary playoff driver in a given year?</w:t>
            </w:r>
          </w:p>
          <w:p w14:paraId="4E8B4C4D" w14:textId="77777777" w:rsidR="005A0E4F" w:rsidRPr="00745DC0" w:rsidRDefault="00257CB4">
            <w:pPr>
              <w:pStyle w:val="ListParagraph"/>
              <w:numPr>
                <w:ilvl w:val="0"/>
                <w:numId w:val="2"/>
              </w:numPr>
              <w:spacing w:line="260" w:lineRule="auto"/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000000"/>
                <w:sz w:val="18"/>
                <w:szCs w:val="18"/>
              </w:rPr>
              <w:t>Should the Knicks/Rangers spinoff (announced Feb 2026) change the underlying asset entirely?</w:t>
            </w:r>
          </w:p>
        </w:tc>
      </w:tr>
    </w:tbl>
    <w:p w14:paraId="49BE6E84" w14:textId="77777777" w:rsidR="006F1CBA" w:rsidRPr="00745DC0" w:rsidRDefault="006F1CBA">
      <w:pPr>
        <w:rPr>
          <w:rFonts w:ascii="Book Antiqua" w:hAnsi="Book Antiqua"/>
        </w:rPr>
      </w:pPr>
    </w:p>
    <w:sectPr w:rsidR="006F1CBA" w:rsidRPr="00745DC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05CB9"/>
    <w:multiLevelType w:val="hybridMultilevel"/>
    <w:tmpl w:val="E3001DFC"/>
    <w:lvl w:ilvl="0" w:tplc="90300652">
      <w:start w:val="1"/>
      <w:numFmt w:val="bullet"/>
      <w:lvlText w:val="•"/>
      <w:lvlJc w:val="left"/>
      <w:pPr>
        <w:ind w:left="360" w:hanging="200"/>
      </w:pPr>
    </w:lvl>
    <w:lvl w:ilvl="1" w:tplc="CFB278C6">
      <w:numFmt w:val="decimal"/>
      <w:lvlText w:val=""/>
      <w:lvlJc w:val="left"/>
    </w:lvl>
    <w:lvl w:ilvl="2" w:tplc="A0AED636">
      <w:numFmt w:val="decimal"/>
      <w:lvlText w:val=""/>
      <w:lvlJc w:val="left"/>
    </w:lvl>
    <w:lvl w:ilvl="3" w:tplc="81CC098C">
      <w:numFmt w:val="decimal"/>
      <w:lvlText w:val=""/>
      <w:lvlJc w:val="left"/>
    </w:lvl>
    <w:lvl w:ilvl="4" w:tplc="8C04F144">
      <w:numFmt w:val="decimal"/>
      <w:lvlText w:val=""/>
      <w:lvlJc w:val="left"/>
    </w:lvl>
    <w:lvl w:ilvl="5" w:tplc="883CD2F2">
      <w:numFmt w:val="decimal"/>
      <w:lvlText w:val=""/>
      <w:lvlJc w:val="left"/>
    </w:lvl>
    <w:lvl w:ilvl="6" w:tplc="28DCC7C4">
      <w:numFmt w:val="decimal"/>
      <w:lvlText w:val=""/>
      <w:lvlJc w:val="left"/>
    </w:lvl>
    <w:lvl w:ilvl="7" w:tplc="28824CC0">
      <w:numFmt w:val="decimal"/>
      <w:lvlText w:val=""/>
      <w:lvlJc w:val="left"/>
    </w:lvl>
    <w:lvl w:ilvl="8" w:tplc="F03CDAD2">
      <w:numFmt w:val="decimal"/>
      <w:lvlText w:val=""/>
      <w:lvlJc w:val="left"/>
    </w:lvl>
  </w:abstractNum>
  <w:abstractNum w:abstractNumId="1" w15:restartNumberingAfterBreak="0">
    <w:nsid w:val="2CFC08B6"/>
    <w:multiLevelType w:val="hybridMultilevel"/>
    <w:tmpl w:val="C7DAA1FE"/>
    <w:lvl w:ilvl="0" w:tplc="11CC4056">
      <w:start w:val="1"/>
      <w:numFmt w:val="bullet"/>
      <w:lvlText w:val="●"/>
      <w:lvlJc w:val="left"/>
      <w:pPr>
        <w:ind w:left="720" w:hanging="360"/>
      </w:pPr>
    </w:lvl>
    <w:lvl w:ilvl="1" w:tplc="6D0CE810">
      <w:start w:val="1"/>
      <w:numFmt w:val="bullet"/>
      <w:lvlText w:val="○"/>
      <w:lvlJc w:val="left"/>
      <w:pPr>
        <w:ind w:left="1440" w:hanging="360"/>
      </w:pPr>
    </w:lvl>
    <w:lvl w:ilvl="2" w:tplc="5B28A714">
      <w:start w:val="1"/>
      <w:numFmt w:val="bullet"/>
      <w:lvlText w:val="■"/>
      <w:lvlJc w:val="left"/>
      <w:pPr>
        <w:ind w:left="2160" w:hanging="360"/>
      </w:pPr>
    </w:lvl>
    <w:lvl w:ilvl="3" w:tplc="2434331A">
      <w:start w:val="1"/>
      <w:numFmt w:val="bullet"/>
      <w:lvlText w:val="●"/>
      <w:lvlJc w:val="left"/>
      <w:pPr>
        <w:ind w:left="2880" w:hanging="360"/>
      </w:pPr>
    </w:lvl>
    <w:lvl w:ilvl="4" w:tplc="B532E510">
      <w:start w:val="1"/>
      <w:numFmt w:val="bullet"/>
      <w:lvlText w:val="○"/>
      <w:lvlJc w:val="left"/>
      <w:pPr>
        <w:ind w:left="3600" w:hanging="360"/>
      </w:pPr>
    </w:lvl>
    <w:lvl w:ilvl="5" w:tplc="1B529090">
      <w:start w:val="1"/>
      <w:numFmt w:val="bullet"/>
      <w:lvlText w:val="■"/>
      <w:lvlJc w:val="left"/>
      <w:pPr>
        <w:ind w:left="4320" w:hanging="360"/>
      </w:pPr>
    </w:lvl>
    <w:lvl w:ilvl="6" w:tplc="4DEEFEF0">
      <w:start w:val="1"/>
      <w:numFmt w:val="bullet"/>
      <w:lvlText w:val="●"/>
      <w:lvlJc w:val="left"/>
      <w:pPr>
        <w:ind w:left="5040" w:hanging="360"/>
      </w:pPr>
    </w:lvl>
    <w:lvl w:ilvl="7" w:tplc="07A6D07E">
      <w:start w:val="1"/>
      <w:numFmt w:val="bullet"/>
      <w:lvlText w:val="●"/>
      <w:lvlJc w:val="left"/>
      <w:pPr>
        <w:ind w:left="5760" w:hanging="360"/>
      </w:pPr>
    </w:lvl>
    <w:lvl w:ilvl="8" w:tplc="F6B2B50E">
      <w:start w:val="1"/>
      <w:numFmt w:val="bullet"/>
      <w:lvlText w:val="●"/>
      <w:lvlJc w:val="left"/>
      <w:pPr>
        <w:ind w:left="6480" w:hanging="360"/>
      </w:pPr>
    </w:lvl>
  </w:abstractNum>
  <w:num w:numId="1" w16cid:durableId="454910381">
    <w:abstractNumId w:val="1"/>
    <w:lvlOverride w:ilvl="0">
      <w:startOverride w:val="1"/>
    </w:lvlOverride>
  </w:num>
  <w:num w:numId="2" w16cid:durableId="1842741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E4F"/>
    <w:rsid w:val="000F51F4"/>
    <w:rsid w:val="001339E9"/>
    <w:rsid w:val="00257CB4"/>
    <w:rsid w:val="00371855"/>
    <w:rsid w:val="00402BD3"/>
    <w:rsid w:val="0046086F"/>
    <w:rsid w:val="0058574A"/>
    <w:rsid w:val="005A0E4F"/>
    <w:rsid w:val="006F1CBA"/>
    <w:rsid w:val="00745DC0"/>
    <w:rsid w:val="007651CD"/>
    <w:rsid w:val="007912F1"/>
    <w:rsid w:val="00933049"/>
    <w:rsid w:val="00B57706"/>
    <w:rsid w:val="00C50977"/>
    <w:rsid w:val="00CE68FF"/>
    <w:rsid w:val="00D9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BE3EF"/>
  <w15:docId w15:val="{ED5CF86C-FAA2-4F4B-B387-12E398BA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0B5C7B-EAF6-434A-B96C-39496AC03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Samuels</cp:lastModifiedBy>
  <cp:revision>2</cp:revision>
  <cp:lastPrinted>2026-03-05T18:09:00Z</cp:lastPrinted>
  <dcterms:created xsi:type="dcterms:W3CDTF">2026-03-05T18:09:00Z</dcterms:created>
  <dcterms:modified xsi:type="dcterms:W3CDTF">2026-03-05T18:09:00Z</dcterms:modified>
</cp:coreProperties>
</file>