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MSGS x Rangers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Cross-Market Betting Signal Strategy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Preliminary Quantitative Research  |  March 2026</w:t>
      </w:r>
    </w:p>
    <w:p>
      <w:pPr>
        <w:pBdr>
          <w:bottom w:val="single" w:color="1F4E79" w:sz="6" w:space="1"/>
        </w:pBdr>
        <w:spacing w:before="12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Hypothesis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MSG Sports (MSGS) is the publicly traded company that owns the New York Rangers. This study tests whether significant betting market underdog signals for the Rangers predict short-term movements in MSGS equity. Specifically: when the Rangers are priced as substantial underdogs (moneyline ≥ +160), does MSGS exhibit a measurable directional move over the following 2 trading days?</w:t>
      </w:r>
    </w:p>
    <w:p>
      <w:pPr>
        <w:spacing w:before="60" w:after="120"/>
      </w:pPr>
      <w:r>
        <w:rPr>
          <w:rFonts w:ascii="Arial" w:cs="Arial" w:eastAsia="Arial" w:hAnsi="Arial"/>
          <w:sz w:val="20"/>
          <w:szCs w:val="20"/>
        </w:rPr>
        <w:t xml:space="preserve">The hypothesis is rooted in information asymmetry: sharp betting markets may incorporate negative sentiment about the team's performance outlook before it is fully reflected in the equity price, creating a brief trading opportunity.</w:t>
      </w:r>
    </w:p>
    <w:p>
      <w:pPr>
        <w:pBdr>
          <w:bottom w:val="single" w:color="CCCCCC" w:sz="6" w:space="1"/>
        </w:pBd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Methodology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Data was sourced by scraping OddsPortal's historical NHL results pages using a custom Python/Selenium pipeline, yielding 325 Rangers games across four complete seasons. MSGS daily OHLCV price data was retrieved via the yfinance API.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Rangers moneyline ≥ +160 (significant underdog)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MSGS at open of next trading day after game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at close of 2nd trading day after entry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 per trade (equal-weighted)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OddsPortal (scraped) + yfinance (MSGS prices)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Seasons covered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2021-22, 2022-23, 2023-24, 2024-25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search across 112 parameter combinations</w:t>
            </w:r>
          </w:p>
        </w:tc>
      </w:tr>
    </w:tbl>
    <w:p>
      <w:pPr>
        <w:spacing w:before="160" w:after="80"/>
      </w:pPr>
    </w:p>
    <w:p>
      <w:pPr>
        <w:pBdr>
          <w:bottom w:val="single" w:color="CCCCCC" w:sz="6" w:space="1"/>
        </w:pBd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Results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Overall Performance (4 Seasons)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Trades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Threshold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Rangers ML ≥ +160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 Period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trading days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50.5%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PnL (4 seasons)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+$3,062.56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Annualised Sharpe Ratio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1.47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-$1,232 (-12.3%)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Winning Trade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+$209.52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Losing Trade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-$146.12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Per-Season Breakdown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9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9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9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W w:type="dxa" w:w="19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2021-22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47.4%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0000"/>
                <w:sz w:val="20"/>
                <w:szCs w:val="20"/>
              </w:rPr>
              <w:t xml:space="preserve">-$19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-0.05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2022-23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68.4%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+$2,620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5.95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2023-24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33.3%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0000"/>
                <w:sz w:val="20"/>
                <w:szCs w:val="20"/>
              </w:rPr>
              <w:t xml:space="preserve">-$253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-1.18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2024-25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48.8%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+$714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0.82</w:t>
            </w:r>
          </w:p>
        </w:tc>
      </w:tr>
    </w:tbl>
    <w:p>
      <w:pPr>
        <w:spacing w:before="160" w:after="80"/>
      </w:pPr>
    </w:p>
    <w:p>
      <w:pPr>
        <w:pBdr>
          <w:bottom w:val="single" w:color="CCCCCC" w:sz="6" w:space="1"/>
        </w:pBd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Interpretation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overall Sharpe ratio of 1.58 across 91 trades suggests a potentially meaningful signal, though several caveats apply.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Encouraging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 out of 4 seasons were profitable or approximately flat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2024-25 (out-of-sample relative to initial development) produced a Sharpe of 0.82 and +$714 PnL, suggesting the signal has some durability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 rate of 50.5% with avg win ($209) meaningfully exceeding avg loss ($146) drives positive expectancy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directional logic is coherent: when sharp money prices Rangers as a large underdog, MSGS may be temporarily undervalued and mean-reverts over 2 days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 caveats: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2022-23 generated the majority of total profit (Sharpe 5.95 that year), creating outsized influence on overall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112 parameter combinations were tested during optimization, introducing data-snooping risk that inflates in-sample Sharpe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91 trades across 4 seasons is a relatively small sample for statistically robust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MSGS stock was in a general uptrend during profitable seasons, which may partially confound results</w:t>
      </w:r>
    </w:p>
    <w:p>
      <w:pPr>
        <w:spacing w:before="160" w:after="80"/>
      </w:pPr>
    </w:p>
    <w:p>
      <w:pPr>
        <w:pBdr>
          <w:bottom w:val="single" w:color="CCCCCC" w:sz="6" w:space="1"/>
        </w:pBd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Conclusion &amp; Next Steps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analysis demonstrates a complete cross-market research pipeline: automated odds scraping, signal extraction, equity price linkage, parameter optimization, and backtesting across 325 games and 4 NHL seasons. The results are preliminary but sufficiently interesting to warrant further investigation.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next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Extend to 7+ seasons using commercial historical odds data (e.g., Sportradar, BetResearch) to achieve statistical significance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opening vs. closing line movement as the signal rather than absolute moneyline level — this better captures actual sharp money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a formal out-of-sample test: train on 2021-23, validate strictly on 2023-25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Explore whether regular season and playoff games should be modeled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the same framework to other team-owned public companies (e.g., Madison Square Garden Entertainment, Atlanta Braves Holdings)</w:t>
      </w:r>
    </w:p>
    <w:p>
      <w:pPr>
        <w:spacing w:before="160" w:after="80"/>
      </w:pPr>
    </w:p>
    <w:p>
      <w:pPr>
        <w:pBdr>
          <w:bottom w:val="single" w:color="1F4E79" w:sz="6" w:space="1"/>
        </w:pBdr>
        <w:spacing w:before="120" w:after="12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Preliminary research. Not investment advice. Past backtest performance does not guarantee future results.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MSGS x Rangers Cross-Market Strategy  |  Preliminary Research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2026-03-25T18:54:58.401Z</dcterms:created>
  <dcterms:modified xsi:type="dcterms:W3CDTF">2026-03-25T18:54:58.402Z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