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gridCol w:w="1200"/>
      </w:tblGrid>
      <w:tr w:rsidR="005023CE" w:rsidRPr="005023CE" w14:paraId="0EBF7620" w14:textId="77777777">
        <w:tc>
          <w:tcPr>
            <w:tcW w:w="9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bottom"/>
          </w:tcPr>
          <w:p w14:paraId="5729B738" w14:textId="3A9B8441" w:rsidR="005A0E4F" w:rsidRPr="005023CE" w:rsidRDefault="00000000">
            <w:pPr>
              <w:rPr>
                <w:rFonts w:ascii="Book Antiqua" w:hAnsi="Book Antiqua"/>
                <w:color w:val="000000" w:themeColor="text1"/>
              </w:rPr>
            </w:pPr>
            <w:r w:rsidRPr="005023CE">
              <w:rPr>
                <w:rFonts w:ascii="Book Antiqua" w:hAnsi="Book Antiqua"/>
                <w:b/>
                <w:bCs/>
                <w:color w:val="000000" w:themeColor="text1"/>
                <w:sz w:val="32"/>
                <w:szCs w:val="32"/>
              </w:rPr>
              <w:t>TAMID QUANT — STRATEGY ONE PAGER</w:t>
            </w:r>
          </w:p>
          <w:p w14:paraId="7666BFD9" w14:textId="77777777" w:rsidR="005A0E4F" w:rsidRPr="005023CE" w:rsidRDefault="00000000">
            <w:pPr>
              <w:rPr>
                <w:rFonts w:ascii="Book Antiqua" w:hAnsi="Book Antiqua"/>
                <w:color w:val="000000" w:themeColor="text1"/>
              </w:rPr>
            </w:pPr>
            <w:r w:rsidRPr="005023CE">
              <w:rPr>
                <w:rFonts w:ascii="Book Antiqua" w:hAnsi="Book Antiqua"/>
                <w:color w:val="000000" w:themeColor="text1"/>
                <w:sz w:val="26"/>
                <w:szCs w:val="26"/>
              </w:rPr>
              <w:t>JEDI — Political Beta Factor Model for U.S. Defense Equities</w:t>
            </w:r>
          </w:p>
        </w:tc>
        <w:tc>
          <w:tcPr>
            <w:tcW w:w="1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EDAE63C" w14:textId="77777777" w:rsidR="005A0E4F" w:rsidRPr="005023CE" w:rsidRDefault="00000000">
            <w:pPr>
              <w:jc w:val="right"/>
              <w:rPr>
                <w:rFonts w:ascii="Book Antiqua" w:hAnsi="Book Antiqua"/>
                <w:color w:val="000000" w:themeColor="text1"/>
              </w:rPr>
            </w:pPr>
            <w:r w:rsidRPr="005023CE">
              <w:rPr>
                <w:rFonts w:ascii="Book Antiqua" w:hAnsi="Book Antiqua"/>
                <w:noProof/>
                <w:color w:val="000000" w:themeColor="text1"/>
              </w:rPr>
              <w:drawing>
                <wp:inline distT="0" distB="0" distL="0" distR="0" wp14:anchorId="29A2A235" wp14:editId="5F35A671">
                  <wp:extent cx="66675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66750" cy="609600"/>
                          </a:xfrm>
                          <a:prstGeom prst="rect">
                            <a:avLst/>
                          </a:prstGeom>
                        </pic:spPr>
                      </pic:pic>
                    </a:graphicData>
                  </a:graphic>
                </wp:inline>
              </w:drawing>
            </w:r>
          </w:p>
        </w:tc>
      </w:tr>
    </w:tbl>
    <w:p w14:paraId="6223536F" w14:textId="4CCB35EE" w:rsidR="005A0E4F" w:rsidRPr="005023CE" w:rsidRDefault="00000000">
      <w:pPr>
        <w:pBdr>
          <w:bottom w:val="single" w:sz="8" w:space="6" w:color="000000"/>
        </w:pBdr>
        <w:spacing w:after="30"/>
        <w:rPr>
          <w:rFonts w:ascii="Book Antiqua" w:hAnsi="Book Antiqua"/>
          <w:color w:val="000000" w:themeColor="text1"/>
        </w:rPr>
      </w:pPr>
      <w:r w:rsidRPr="005023CE">
        <w:rPr>
          <w:rFonts w:ascii="Book Antiqua" w:hAnsi="Book Antiqua"/>
          <w:color w:val="000000" w:themeColor="text1"/>
        </w:rPr>
        <w:t>Date: 03/</w:t>
      </w:r>
      <w:r w:rsidR="00593F96">
        <w:rPr>
          <w:rFonts w:ascii="Book Antiqua" w:hAnsi="Book Antiqua"/>
          <w:color w:val="000000" w:themeColor="text1"/>
        </w:rPr>
        <w:t>09/</w:t>
      </w:r>
      <w:r w:rsidR="005023CE" w:rsidRPr="005023CE">
        <w:rPr>
          <w:rFonts w:ascii="Book Antiqua" w:hAnsi="Book Antiqua"/>
          <w:color w:val="000000" w:themeColor="text1"/>
        </w:rPr>
        <w:t>2026 |</w:t>
      </w:r>
      <w:r w:rsidRPr="005023CE">
        <w:rPr>
          <w:rFonts w:ascii="Book Antiqua" w:hAnsi="Book Antiqua"/>
          <w:color w:val="000000" w:themeColor="text1"/>
        </w:rPr>
        <w:t xml:space="preserve"> Presenter: </w:t>
      </w:r>
      <w:r w:rsidR="00D67C08">
        <w:rPr>
          <w:rFonts w:ascii="Book Antiqua" w:hAnsi="Book Antiqua"/>
          <w:color w:val="000000" w:themeColor="text1"/>
        </w:rPr>
        <w:t>Aaron Blatnoy</w:t>
      </w:r>
    </w:p>
    <w:p w14:paraId="0044B0CE" w14:textId="77777777" w:rsidR="005A0E4F" w:rsidRPr="005023CE" w:rsidRDefault="005A0E4F">
      <w:pPr>
        <w:rPr>
          <w:rFonts w:ascii="Book Antiqua" w:hAnsi="Book Antiqua"/>
          <w:color w:val="000000" w:themeColor="text1"/>
        </w:rPr>
      </w:pPr>
    </w:p>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80"/>
        <w:gridCol w:w="3920"/>
      </w:tblGrid>
      <w:tr w:rsidR="005A0E4F" w:rsidRPr="005023CE" w14:paraId="50FB0A13" w14:textId="77777777">
        <w:tc>
          <w:tcPr>
            <w:tcW w:w="70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663F7C64" w14:textId="77777777" w:rsidR="005A0E4F" w:rsidRPr="005023CE" w:rsidRDefault="00000000">
            <w:pPr>
              <w:pBdr>
                <w:bottom w:val="single" w:sz="6" w:space="3" w:color="000000"/>
              </w:pBdr>
              <w:spacing w:after="30"/>
              <w:rPr>
                <w:rFonts w:ascii="Book Antiqua" w:hAnsi="Book Antiqua"/>
                <w:color w:val="000000" w:themeColor="text1"/>
              </w:rPr>
            </w:pPr>
            <w:r w:rsidRPr="005023CE">
              <w:rPr>
                <w:rFonts w:ascii="Book Antiqua" w:hAnsi="Book Antiqua"/>
                <w:b/>
                <w:bCs/>
                <w:color w:val="000000" w:themeColor="text1"/>
                <w:sz w:val="22"/>
                <w:szCs w:val="22"/>
              </w:rPr>
              <w:t>The Idea</w:t>
            </w:r>
          </w:p>
          <w:p w14:paraId="2C93F2F4" w14:textId="77777777" w:rsidR="005A0E4F" w:rsidRPr="005023CE" w:rsidRDefault="00000000">
            <w:pPr>
              <w:spacing w:after="30"/>
              <w:rPr>
                <w:rFonts w:ascii="Book Antiqua" w:hAnsi="Book Antiqua"/>
                <w:color w:val="000000" w:themeColor="text1"/>
              </w:rPr>
            </w:pPr>
            <w:r w:rsidRPr="005023CE">
              <w:rPr>
                <w:rFonts w:ascii="Book Antiqua" w:hAnsi="Book Antiqua"/>
                <w:i/>
                <w:iCs/>
                <w:color w:val="000000" w:themeColor="text1"/>
                <w:sz w:val="16"/>
                <w:szCs w:val="16"/>
              </w:rPr>
              <w:t xml:space="preserve">Daily changes in Kalshi political prediction market probabilities — covering budget risk, geopolitical demand, and fiscal stability — are hypothesized to predict next-day log returns of a custom defense equity index (“JEDI”) comprising LMT, RTX, NOC, GD, HII, BAH, and LDOS. The core bet is that political information is priced into prediction markets before it fully reaches defense stocks, creating a one-day exploitable lag. Because defense revenues are directly tied to appropriations, contract awards, and geopolitical demand, the causal mechanism is explicit and economically grounded rather than </w:t>
            </w:r>
            <w:proofErr w:type="gramStart"/>
            <w:r w:rsidRPr="005023CE">
              <w:rPr>
                <w:rFonts w:ascii="Book Antiqua" w:hAnsi="Book Antiqua"/>
                <w:i/>
                <w:iCs/>
                <w:color w:val="000000" w:themeColor="text1"/>
                <w:sz w:val="16"/>
                <w:szCs w:val="16"/>
              </w:rPr>
              <w:t>data-mined</w:t>
            </w:r>
            <w:proofErr w:type="gramEnd"/>
            <w:r w:rsidRPr="005023CE">
              <w:rPr>
                <w:rFonts w:ascii="Book Antiqua" w:hAnsi="Book Antiqua"/>
                <w:i/>
                <w:iCs/>
                <w:color w:val="000000" w:themeColor="text1"/>
                <w:sz w:val="16"/>
                <w:szCs w:val="16"/>
              </w:rPr>
              <w:t>.</w:t>
            </w:r>
          </w:p>
          <w:p w14:paraId="42DC4EB6" w14:textId="77777777" w:rsidR="005A0E4F" w:rsidRPr="005023CE" w:rsidRDefault="005A0E4F">
            <w:pPr>
              <w:rPr>
                <w:rFonts w:ascii="Book Antiqua" w:hAnsi="Book Antiqua"/>
                <w:color w:val="000000" w:themeColor="text1"/>
              </w:rPr>
            </w:pPr>
          </w:p>
          <w:p w14:paraId="5626B769" w14:textId="77777777" w:rsidR="00402BD3" w:rsidRPr="005023CE" w:rsidRDefault="00402BD3">
            <w:pPr>
              <w:rPr>
                <w:rFonts w:ascii="Book Antiqua" w:hAnsi="Book Antiqua"/>
                <w:color w:val="000000" w:themeColor="text1"/>
              </w:rPr>
            </w:pPr>
          </w:p>
          <w:p w14:paraId="18C46E51" w14:textId="5DBB1B2D" w:rsidR="005A0E4F" w:rsidRPr="005023CE" w:rsidRDefault="00745DC0">
            <w:pPr>
              <w:pBdr>
                <w:bottom w:val="single" w:sz="6" w:space="3" w:color="000000"/>
              </w:pBdr>
              <w:spacing w:after="30"/>
              <w:rPr>
                <w:rFonts w:ascii="Book Antiqua" w:hAnsi="Book Antiqua"/>
                <w:color w:val="000000" w:themeColor="text1"/>
              </w:rPr>
            </w:pPr>
            <w:r w:rsidRPr="005023CE">
              <w:rPr>
                <w:rFonts w:ascii="Book Antiqua" w:hAnsi="Book Antiqua"/>
                <w:b/>
                <w:bCs/>
                <w:color w:val="000000" w:themeColor="text1"/>
                <w:sz w:val="22"/>
                <w:szCs w:val="22"/>
              </w:rPr>
              <w:t>Trading Strategy</w:t>
            </w:r>
          </w:p>
          <w:p w14:paraId="42C8D6DE" w14:textId="6C38B321" w:rsidR="005A0E4F" w:rsidRPr="005023CE" w:rsidRDefault="00000000">
            <w:pPr>
              <w:spacing w:after="20"/>
              <w:rPr>
                <w:rFonts w:ascii="Book Antiqua" w:hAnsi="Book Antiqua"/>
                <w:color w:val="000000" w:themeColor="text1"/>
              </w:rPr>
            </w:pPr>
            <w:r w:rsidRPr="005023CE">
              <w:rPr>
                <w:rFonts w:ascii="Book Antiqua" w:hAnsi="Book Antiqua"/>
                <w:b/>
                <w:bCs/>
                <w:color w:val="000000" w:themeColor="text1"/>
                <w:sz w:val="16"/>
                <w:szCs w:val="16"/>
              </w:rPr>
              <w:t xml:space="preserve">Core Model:  </w:t>
            </w:r>
            <w:r w:rsidRPr="005023CE">
              <w:rPr>
                <w:rFonts w:ascii="Book Antiqua" w:hAnsi="Book Antiqua"/>
                <w:color w:val="000000" w:themeColor="text1"/>
                <w:sz w:val="16"/>
                <w:szCs w:val="16"/>
              </w:rPr>
              <w:t>Arbitrage Pricing Theory (APT) multifactor model. Kalshi probability changes serve as empirically</w:t>
            </w:r>
            <w:r w:rsidR="005023CE">
              <w:rPr>
                <w:rFonts w:ascii="Book Antiqua" w:hAnsi="Book Antiqua"/>
                <w:color w:val="000000" w:themeColor="text1"/>
                <w:sz w:val="16"/>
                <w:szCs w:val="16"/>
              </w:rPr>
              <w:t xml:space="preserve"> </w:t>
            </w:r>
            <w:r w:rsidRPr="005023CE">
              <w:rPr>
                <w:rFonts w:ascii="Book Antiqua" w:hAnsi="Book Antiqua"/>
                <w:color w:val="000000" w:themeColor="text1"/>
                <w:sz w:val="16"/>
                <w:szCs w:val="16"/>
              </w:rPr>
              <w:t>identified risk factors rather than theory-specified ones. Elastic Net regression (L1+L2 regularization) estimates sparse, stable factor weights via walk-forward cross-validation. PCA pre-processing on raw Kalshi markets removes multicollinearity before regression. Factor loadings re-estimated monthly on a rolling 252-day window.</w:t>
            </w:r>
          </w:p>
          <w:p w14:paraId="2DE7DA64" w14:textId="77777777" w:rsidR="005A0E4F" w:rsidRPr="005023CE" w:rsidRDefault="005A0E4F">
            <w:pPr>
              <w:rPr>
                <w:rFonts w:ascii="Book Antiqua" w:hAnsi="Book Antiqua"/>
                <w:color w:val="000000" w:themeColor="text1"/>
              </w:rPr>
            </w:pPr>
          </w:p>
          <w:p w14:paraId="32B1FCB4" w14:textId="01FD29F8" w:rsidR="005A0E4F" w:rsidRPr="005023CE" w:rsidRDefault="00000000">
            <w:pPr>
              <w:spacing w:after="20"/>
              <w:rPr>
                <w:rFonts w:ascii="Book Antiqua" w:hAnsi="Book Antiqua"/>
                <w:color w:val="000000" w:themeColor="text1"/>
              </w:rPr>
            </w:pPr>
            <w:r w:rsidRPr="005023CE">
              <w:rPr>
                <w:rFonts w:ascii="Book Antiqua" w:hAnsi="Book Antiqua"/>
                <w:b/>
                <w:bCs/>
                <w:color w:val="000000" w:themeColor="text1"/>
                <w:sz w:val="16"/>
                <w:szCs w:val="16"/>
              </w:rPr>
              <w:t xml:space="preserve">Signal Construction:  </w:t>
            </w:r>
            <w:r w:rsidR="005023CE">
              <w:rPr>
                <w:rFonts w:ascii="Book Antiqua" w:hAnsi="Book Antiqua"/>
                <w:b/>
                <w:bCs/>
                <w:color w:val="000000" w:themeColor="text1"/>
                <w:sz w:val="16"/>
                <w:szCs w:val="16"/>
              </w:rPr>
              <w:t>E</w:t>
            </w:r>
            <w:r w:rsidR="005023CE" w:rsidRPr="005023CE">
              <w:rPr>
                <w:rFonts w:ascii="Book Antiqua" w:hAnsi="Book Antiqua"/>
                <w:color w:val="000000" w:themeColor="text1"/>
                <w:sz w:val="16"/>
                <w:szCs w:val="16"/>
              </w:rPr>
              <w:t>ach day: (1) compute ΔP for each Kalshi market; (2) project through the fitted PCA transformation to obtain orthogonal political factor scores; (3) multiply factor scores by the current Elastic Net beta vector</w:t>
            </w:r>
            <w:r w:rsidR="005023CE">
              <w:rPr>
                <w:rFonts w:ascii="Book Antiqua" w:hAnsi="Book Antiqua"/>
                <w:color w:val="000000" w:themeColor="text1"/>
                <w:sz w:val="16"/>
                <w:szCs w:val="16"/>
              </w:rPr>
              <w:t xml:space="preserve"> </w:t>
            </w:r>
            <w:r w:rsidR="005023CE" w:rsidRPr="005023CE">
              <w:rPr>
                <w:rFonts w:ascii="Book Antiqua" w:hAnsi="Book Antiqua"/>
                <w:color w:val="000000" w:themeColor="text1"/>
                <w:sz w:val="16"/>
                <w:szCs w:val="16"/>
              </w:rPr>
              <w:t>to produce a predicted next-day log return. Signal direction = sign of predicted return; position size = quarter-Kelly scaled by rolling 21-day IC.</w:t>
            </w:r>
          </w:p>
          <w:p w14:paraId="11CBAA23" w14:textId="77777777" w:rsidR="00DD72AD" w:rsidRDefault="00DD72AD">
            <w:pPr>
              <w:rPr>
                <w:rFonts w:ascii="Book Antiqua" w:eastAsia="Courier New" w:hAnsi="Book Antiqua" w:cs="Courier New"/>
                <w:color w:val="000000" w:themeColor="text1"/>
                <w:sz w:val="16"/>
                <w:szCs w:val="16"/>
              </w:rPr>
            </w:pPr>
          </w:p>
          <w:p w14:paraId="1AA46C5E" w14:textId="705F90C0" w:rsidR="005A0E4F" w:rsidRDefault="00DD72AD">
            <w:pPr>
              <w:rPr>
                <w:rFonts w:ascii="Book Antiqua" w:eastAsia="Courier New" w:hAnsi="Book Antiqua" w:cs="Courier New"/>
                <w:color w:val="000000" w:themeColor="text1"/>
                <w:sz w:val="16"/>
                <w:szCs w:val="16"/>
              </w:rPr>
            </w:pPr>
            <w:r>
              <w:rPr>
                <w:rFonts w:ascii="Book Antiqua" w:eastAsia="Courier New" w:hAnsi="Book Antiqua" w:cs="Courier New"/>
                <w:color w:val="000000" w:themeColor="text1"/>
                <w:sz w:val="16"/>
                <w:szCs w:val="16"/>
              </w:rPr>
              <w:t xml:space="preserve">Returns are modeled by </w:t>
            </w:r>
            <w:r w:rsidRPr="00DD72AD">
              <w:rPr>
                <w:rFonts w:ascii="Book Antiqua" w:eastAsia="Courier New" w:hAnsi="Book Antiqua" w:cs="Courier New"/>
                <w:color w:val="000000" w:themeColor="text1"/>
                <w:sz w:val="16"/>
                <w:szCs w:val="16"/>
              </w:rPr>
              <w:t>r</w:t>
            </w:r>
            <w:r w:rsidRPr="00DD72AD">
              <w:rPr>
                <w:rFonts w:ascii="Times New Roman" w:eastAsia="Courier New" w:hAnsi="Times New Roman" w:cs="Times New Roman"/>
                <w:color w:val="000000" w:themeColor="text1"/>
                <w:sz w:val="16"/>
                <w:szCs w:val="16"/>
              </w:rPr>
              <w:t>̂</w:t>
            </w:r>
            <w:r w:rsidRPr="00DD72AD">
              <w:rPr>
                <w:rFonts w:ascii="Book Antiqua" w:eastAsia="Courier New" w:hAnsi="Book Antiqua" w:cs="Courier New"/>
                <w:color w:val="000000" w:themeColor="text1"/>
                <w:sz w:val="16"/>
                <w:szCs w:val="16"/>
              </w:rPr>
              <w:t>(t+1) = α + β</w:t>
            </w:r>
            <w:r w:rsidRPr="00DD72AD">
              <w:rPr>
                <w:rFonts w:ascii="Cambria Math" w:eastAsia="Courier New" w:hAnsi="Cambria Math" w:cs="Cambria Math"/>
                <w:color w:val="000000" w:themeColor="text1"/>
                <w:sz w:val="16"/>
                <w:szCs w:val="16"/>
              </w:rPr>
              <w:t>₁</w:t>
            </w:r>
            <w:r w:rsidRPr="00DD72AD">
              <w:rPr>
                <w:rFonts w:ascii="Book Antiqua" w:eastAsia="Courier New" w:hAnsi="Book Antiqua" w:cs="Courier New"/>
                <w:color w:val="000000" w:themeColor="text1"/>
                <w:sz w:val="16"/>
                <w:szCs w:val="16"/>
              </w:rPr>
              <w:t>F</w:t>
            </w:r>
            <w:r w:rsidRPr="00DD72AD">
              <w:rPr>
                <w:rFonts w:ascii="Cambria Math" w:eastAsia="Courier New" w:hAnsi="Cambria Math" w:cs="Cambria Math"/>
                <w:color w:val="000000" w:themeColor="text1"/>
                <w:sz w:val="16"/>
                <w:szCs w:val="16"/>
              </w:rPr>
              <w:t>₁</w:t>
            </w:r>
            <w:r w:rsidRPr="00DD72AD">
              <w:rPr>
                <w:rFonts w:ascii="Book Antiqua" w:eastAsia="Courier New" w:hAnsi="Book Antiqua" w:cs="Courier New"/>
                <w:color w:val="000000" w:themeColor="text1"/>
                <w:sz w:val="16"/>
                <w:szCs w:val="16"/>
              </w:rPr>
              <w:t>(t) + β</w:t>
            </w:r>
            <w:r w:rsidRPr="00DD72AD">
              <w:rPr>
                <w:rFonts w:ascii="Cambria Math" w:eastAsia="Courier New" w:hAnsi="Cambria Math" w:cs="Cambria Math"/>
                <w:color w:val="000000" w:themeColor="text1"/>
                <w:sz w:val="16"/>
                <w:szCs w:val="16"/>
              </w:rPr>
              <w:t>₂</w:t>
            </w:r>
            <w:r w:rsidRPr="00DD72AD">
              <w:rPr>
                <w:rFonts w:ascii="Book Antiqua" w:eastAsia="Courier New" w:hAnsi="Book Antiqua" w:cs="Courier New"/>
                <w:color w:val="000000" w:themeColor="text1"/>
                <w:sz w:val="16"/>
                <w:szCs w:val="16"/>
              </w:rPr>
              <w:t>F</w:t>
            </w:r>
            <w:r w:rsidRPr="00DD72AD">
              <w:rPr>
                <w:rFonts w:ascii="Cambria Math" w:eastAsia="Courier New" w:hAnsi="Cambria Math" w:cs="Cambria Math"/>
                <w:color w:val="000000" w:themeColor="text1"/>
                <w:sz w:val="16"/>
                <w:szCs w:val="16"/>
              </w:rPr>
              <w:t>₂</w:t>
            </w:r>
            <w:r w:rsidRPr="00DD72AD">
              <w:rPr>
                <w:rFonts w:ascii="Book Antiqua" w:eastAsia="Courier New" w:hAnsi="Book Antiqua" w:cs="Courier New"/>
                <w:color w:val="000000" w:themeColor="text1"/>
                <w:sz w:val="16"/>
                <w:szCs w:val="16"/>
              </w:rPr>
              <w:t>(t) + ... + β</w:t>
            </w:r>
            <w:r w:rsidRPr="00DD72AD">
              <w:rPr>
                <w:rFonts w:ascii="Segoe UI Symbol" w:eastAsia="Courier New" w:hAnsi="Segoe UI Symbol" w:cs="Segoe UI Symbol"/>
                <w:color w:val="000000" w:themeColor="text1"/>
                <w:sz w:val="16"/>
                <w:szCs w:val="16"/>
              </w:rPr>
              <w:t>ₖ</w:t>
            </w:r>
            <w:r w:rsidRPr="00DD72AD">
              <w:rPr>
                <w:rFonts w:ascii="Book Antiqua" w:eastAsia="Courier New" w:hAnsi="Book Antiqua" w:cs="Courier New"/>
                <w:color w:val="000000" w:themeColor="text1"/>
                <w:sz w:val="16"/>
                <w:szCs w:val="16"/>
              </w:rPr>
              <w:t>F</w:t>
            </w:r>
            <w:r w:rsidRPr="00DD72AD">
              <w:rPr>
                <w:rFonts w:ascii="Segoe UI Symbol" w:eastAsia="Courier New" w:hAnsi="Segoe UI Symbol" w:cs="Segoe UI Symbol"/>
                <w:color w:val="000000" w:themeColor="text1"/>
                <w:sz w:val="16"/>
                <w:szCs w:val="16"/>
              </w:rPr>
              <w:t>ₖ</w:t>
            </w:r>
            <w:r w:rsidRPr="00DD72AD">
              <w:rPr>
                <w:rFonts w:ascii="Book Antiqua" w:eastAsia="Courier New" w:hAnsi="Book Antiqua" w:cs="Courier New"/>
                <w:color w:val="000000" w:themeColor="text1"/>
                <w:sz w:val="16"/>
                <w:szCs w:val="16"/>
              </w:rPr>
              <w:t>(t)</w:t>
            </w:r>
          </w:p>
          <w:p w14:paraId="4614E3F1" w14:textId="77777777" w:rsidR="00DD72AD" w:rsidRPr="005023CE" w:rsidRDefault="00DD72AD">
            <w:pPr>
              <w:rPr>
                <w:rFonts w:ascii="Book Antiqua" w:hAnsi="Book Antiqua"/>
                <w:color w:val="000000" w:themeColor="text1"/>
              </w:rPr>
            </w:pPr>
          </w:p>
          <w:p w14:paraId="30DE0D6B" w14:textId="77777777" w:rsidR="005A0E4F" w:rsidRPr="005023CE" w:rsidRDefault="00000000">
            <w:pPr>
              <w:spacing w:after="20"/>
              <w:rPr>
                <w:rFonts w:ascii="Book Antiqua" w:hAnsi="Book Antiqua"/>
                <w:color w:val="000000" w:themeColor="text1"/>
              </w:rPr>
            </w:pPr>
            <w:r w:rsidRPr="005023CE">
              <w:rPr>
                <w:rFonts w:ascii="Book Antiqua" w:hAnsi="Book Antiqua"/>
                <w:b/>
                <w:bCs/>
                <w:color w:val="000000" w:themeColor="text1"/>
                <w:sz w:val="16"/>
                <w:szCs w:val="16"/>
              </w:rPr>
              <w:t xml:space="preserve">Entry / Exit Logic:  </w:t>
            </w:r>
            <w:r w:rsidRPr="005023CE">
              <w:rPr>
                <w:rFonts w:ascii="Book Antiqua" w:hAnsi="Book Antiqua"/>
                <w:color w:val="000000" w:themeColor="text1"/>
                <w:sz w:val="16"/>
                <w:szCs w:val="16"/>
              </w:rPr>
              <w:t>Long JEDI index when predicted return &gt; +0.15% (above transaction cost threshold); short when &lt; −0.15%; flat otherwise. Position size scales linearly with |predicted return| up to a 2x gross leverage cap. Drawdown stop at −5% from rolling peak reduces position to 50%; at −10% go flat and re-evaluate. Rebalance daily at open using prior-day Kalshi close.</w:t>
            </w:r>
          </w:p>
          <w:p w14:paraId="35F47B42" w14:textId="77777777" w:rsidR="00DD72AD" w:rsidRDefault="00DD72AD" w:rsidP="00DD72AD">
            <w:pPr>
              <w:pBdr>
                <w:left w:val="single" w:sz="12" w:space="8" w:color="AAAAAA"/>
              </w:pBdr>
              <w:spacing w:before="20" w:after="40"/>
              <w:rPr>
                <w:rFonts w:ascii="Book Antiqua" w:eastAsia="Courier New" w:hAnsi="Book Antiqua" w:cs="Courier New"/>
                <w:color w:val="000000" w:themeColor="text1"/>
                <w:sz w:val="16"/>
                <w:szCs w:val="16"/>
              </w:rPr>
            </w:pPr>
          </w:p>
          <w:p w14:paraId="6A672CDC" w14:textId="19D86A96" w:rsidR="00402BD3" w:rsidRDefault="00DD72AD">
            <w:pPr>
              <w:rPr>
                <w:rFonts w:ascii="Book Antiqua" w:eastAsia="Courier New" w:hAnsi="Book Antiqua" w:cs="Courier New"/>
                <w:color w:val="000000" w:themeColor="text1"/>
                <w:sz w:val="16"/>
                <w:szCs w:val="16"/>
              </w:rPr>
            </w:pPr>
            <w:r w:rsidRPr="00DD72AD">
              <w:rPr>
                <w:rFonts w:ascii="Book Antiqua" w:eastAsia="Courier New" w:hAnsi="Book Antiqua" w:cs="Courier New"/>
                <w:color w:val="000000" w:themeColor="text1"/>
                <w:sz w:val="16"/>
                <w:szCs w:val="16"/>
              </w:rPr>
              <w:t>Enter long when r</w:t>
            </w:r>
            <w:r w:rsidRPr="00DD72AD">
              <w:rPr>
                <w:rFonts w:ascii="Times New Roman" w:eastAsia="Courier New" w:hAnsi="Times New Roman" w:cs="Times New Roman"/>
                <w:color w:val="000000" w:themeColor="text1"/>
                <w:sz w:val="16"/>
                <w:szCs w:val="16"/>
              </w:rPr>
              <w:t>̂</w:t>
            </w:r>
            <w:r w:rsidRPr="00DD72AD">
              <w:rPr>
                <w:rFonts w:ascii="Book Antiqua" w:eastAsia="Courier New" w:hAnsi="Book Antiqua" w:cs="Courier New"/>
                <w:color w:val="000000" w:themeColor="text1"/>
                <w:sz w:val="16"/>
                <w:szCs w:val="16"/>
              </w:rPr>
              <w:t>(t+1) &gt; +0.15%; exit / go short when r</w:t>
            </w:r>
            <w:r w:rsidRPr="00DD72AD">
              <w:rPr>
                <w:rFonts w:ascii="Times New Roman" w:eastAsia="Courier New" w:hAnsi="Times New Roman" w:cs="Times New Roman"/>
                <w:color w:val="000000" w:themeColor="text1"/>
                <w:sz w:val="16"/>
                <w:szCs w:val="16"/>
              </w:rPr>
              <w:t>̂</w:t>
            </w:r>
            <w:r w:rsidRPr="00DD72AD">
              <w:rPr>
                <w:rFonts w:ascii="Book Antiqua" w:eastAsia="Courier New" w:hAnsi="Book Antiqua" w:cs="Courier New"/>
                <w:color w:val="000000" w:themeColor="text1"/>
                <w:sz w:val="16"/>
                <w:szCs w:val="16"/>
              </w:rPr>
              <w:t>(t+1) &lt; −0.15%</w:t>
            </w:r>
          </w:p>
          <w:p w14:paraId="2C0825F6" w14:textId="77777777" w:rsidR="00DD72AD" w:rsidRDefault="00DD72AD">
            <w:pPr>
              <w:rPr>
                <w:rFonts w:ascii="Book Antiqua" w:hAnsi="Book Antiqua"/>
                <w:color w:val="000000" w:themeColor="text1"/>
              </w:rPr>
            </w:pPr>
          </w:p>
          <w:p w14:paraId="0BC29BED" w14:textId="77777777" w:rsidR="00DD72AD" w:rsidRPr="005023CE" w:rsidRDefault="00DD72AD">
            <w:pPr>
              <w:rPr>
                <w:rFonts w:ascii="Book Antiqua" w:hAnsi="Book Antiqua"/>
                <w:color w:val="000000" w:themeColor="text1"/>
              </w:rPr>
            </w:pPr>
          </w:p>
          <w:p w14:paraId="0353D867" w14:textId="77777777" w:rsidR="005A0E4F" w:rsidRPr="005023CE" w:rsidRDefault="00000000">
            <w:pPr>
              <w:pBdr>
                <w:bottom w:val="single" w:sz="6" w:space="3" w:color="000000"/>
              </w:pBdr>
              <w:spacing w:after="30"/>
              <w:rPr>
                <w:rFonts w:ascii="Book Antiqua" w:hAnsi="Book Antiqua"/>
                <w:color w:val="000000" w:themeColor="text1"/>
              </w:rPr>
            </w:pPr>
            <w:r w:rsidRPr="005023CE">
              <w:rPr>
                <w:rFonts w:ascii="Book Antiqua" w:hAnsi="Book Antiqua"/>
                <w:b/>
                <w:bCs/>
                <w:color w:val="000000" w:themeColor="text1"/>
                <w:sz w:val="22"/>
                <w:szCs w:val="22"/>
              </w:rPr>
              <w:t>Key Assumptions</w:t>
            </w:r>
          </w:p>
          <w:p w14:paraId="42A1A4EF" w14:textId="77777777" w:rsidR="005A0E4F" w:rsidRPr="005023CE" w:rsidRDefault="00000000">
            <w:pPr>
              <w:pStyle w:val="ListParagraph"/>
              <w:numPr>
                <w:ilvl w:val="0"/>
                <w:numId w:val="2"/>
              </w:numPr>
              <w:rPr>
                <w:rFonts w:ascii="Book Antiqua" w:hAnsi="Book Antiqua"/>
                <w:color w:val="000000" w:themeColor="text1"/>
              </w:rPr>
            </w:pPr>
            <w:r w:rsidRPr="005023CE">
              <w:rPr>
                <w:rFonts w:ascii="Book Antiqua" w:hAnsi="Book Antiqua"/>
                <w:color w:val="000000" w:themeColor="text1"/>
                <w:sz w:val="16"/>
                <w:szCs w:val="16"/>
              </w:rPr>
              <w:t>Kalshi probability changes lead defense stock returns by at least one trading day — the information transmission lag is real and persistent</w:t>
            </w:r>
          </w:p>
          <w:p w14:paraId="4E414389" w14:textId="77777777" w:rsidR="005A0E4F" w:rsidRPr="005023CE" w:rsidRDefault="00000000">
            <w:pPr>
              <w:pStyle w:val="ListParagraph"/>
              <w:numPr>
                <w:ilvl w:val="0"/>
                <w:numId w:val="2"/>
              </w:numPr>
              <w:rPr>
                <w:rFonts w:ascii="Book Antiqua" w:hAnsi="Book Antiqua"/>
                <w:color w:val="000000" w:themeColor="text1"/>
              </w:rPr>
            </w:pPr>
            <w:r w:rsidRPr="005023CE">
              <w:rPr>
                <w:rFonts w:ascii="Book Antiqua" w:hAnsi="Book Antiqua"/>
                <w:color w:val="000000" w:themeColor="text1"/>
                <w:sz w:val="16"/>
                <w:szCs w:val="16"/>
              </w:rPr>
              <w:t>Factor loadings (betas) are sufficiently stable within a 252-day rolling window to support monthly re-estimation without excessive regime drift</w:t>
            </w:r>
          </w:p>
          <w:p w14:paraId="38C8C007" w14:textId="77777777" w:rsidR="005A0E4F" w:rsidRPr="005023CE" w:rsidRDefault="00000000">
            <w:pPr>
              <w:pStyle w:val="ListParagraph"/>
              <w:numPr>
                <w:ilvl w:val="0"/>
                <w:numId w:val="2"/>
              </w:numPr>
              <w:rPr>
                <w:rFonts w:ascii="Book Antiqua" w:hAnsi="Book Antiqua"/>
                <w:color w:val="000000" w:themeColor="text1"/>
              </w:rPr>
            </w:pPr>
            <w:r w:rsidRPr="005023CE">
              <w:rPr>
                <w:rFonts w:ascii="Book Antiqua" w:hAnsi="Book Antiqua"/>
                <w:color w:val="000000" w:themeColor="text1"/>
                <w:sz w:val="16"/>
                <w:szCs w:val="16"/>
              </w:rPr>
              <w:t>Predicted return signal is large enough relative to bid-ask spread and market impact to generate positive net alpha at daily rebalancing frequency</w:t>
            </w:r>
          </w:p>
          <w:p w14:paraId="2414A0BA" w14:textId="6FB884F5" w:rsidR="00402BD3" w:rsidRPr="005023CE" w:rsidRDefault="00402BD3" w:rsidP="00402BD3">
            <w:pPr>
              <w:rPr>
                <w:rFonts w:ascii="Book Antiqua" w:hAnsi="Book Antiqua"/>
                <w:color w:val="000000" w:themeColor="text1"/>
              </w:rPr>
            </w:pPr>
          </w:p>
          <w:p w14:paraId="46E1CD32" w14:textId="77777777" w:rsidR="00402BD3" w:rsidRPr="005023CE" w:rsidRDefault="00402BD3" w:rsidP="00402BD3">
            <w:pPr>
              <w:rPr>
                <w:rFonts w:ascii="Book Antiqua" w:hAnsi="Book Antiqua"/>
                <w:color w:val="000000" w:themeColor="text1"/>
              </w:rPr>
            </w:pPr>
          </w:p>
          <w:p w14:paraId="09579E8A" w14:textId="77777777" w:rsidR="005A0E4F" w:rsidRPr="005023CE" w:rsidRDefault="00000000">
            <w:pPr>
              <w:pBdr>
                <w:bottom w:val="single" w:sz="6" w:space="3" w:color="000000"/>
              </w:pBdr>
              <w:spacing w:after="30"/>
              <w:rPr>
                <w:rFonts w:ascii="Book Antiqua" w:hAnsi="Book Antiqua"/>
                <w:color w:val="000000" w:themeColor="text1"/>
              </w:rPr>
            </w:pPr>
            <w:r w:rsidRPr="005023CE">
              <w:rPr>
                <w:rFonts w:ascii="Book Antiqua" w:hAnsi="Book Antiqua"/>
                <w:b/>
                <w:bCs/>
                <w:color w:val="000000" w:themeColor="text1"/>
                <w:sz w:val="22"/>
                <w:szCs w:val="22"/>
              </w:rPr>
              <w:t>Key Risks</w:t>
            </w:r>
          </w:p>
          <w:p w14:paraId="0169BABA" w14:textId="77777777" w:rsidR="005A0E4F" w:rsidRPr="005023CE" w:rsidRDefault="00000000">
            <w:pPr>
              <w:pStyle w:val="ListParagraph"/>
              <w:numPr>
                <w:ilvl w:val="0"/>
                <w:numId w:val="2"/>
              </w:numPr>
              <w:rPr>
                <w:rFonts w:ascii="Book Antiqua" w:hAnsi="Book Antiqua"/>
                <w:color w:val="000000" w:themeColor="text1"/>
              </w:rPr>
            </w:pPr>
            <w:r w:rsidRPr="005023CE">
              <w:rPr>
                <w:rFonts w:ascii="Book Antiqua" w:hAnsi="Book Antiqua"/>
                <w:color w:val="000000" w:themeColor="text1"/>
                <w:sz w:val="16"/>
                <w:szCs w:val="16"/>
              </w:rPr>
              <w:t>Data sparsity: Kalshi history is ~18–24 months, limiting statistical power; short-history overfitting may produce spurious in-sample betas that fail out-of-sample</w:t>
            </w:r>
          </w:p>
          <w:p w14:paraId="502D1396" w14:textId="77777777" w:rsidR="005A0E4F" w:rsidRPr="005023CE" w:rsidRDefault="00000000">
            <w:pPr>
              <w:pStyle w:val="ListParagraph"/>
              <w:numPr>
                <w:ilvl w:val="0"/>
                <w:numId w:val="2"/>
              </w:numPr>
              <w:rPr>
                <w:rFonts w:ascii="Book Antiqua" w:hAnsi="Book Antiqua"/>
                <w:color w:val="000000" w:themeColor="text1"/>
              </w:rPr>
            </w:pPr>
            <w:r w:rsidRPr="005023CE">
              <w:rPr>
                <w:rFonts w:ascii="Book Antiqua" w:hAnsi="Book Antiqua"/>
                <w:color w:val="000000" w:themeColor="text1"/>
                <w:sz w:val="16"/>
                <w:szCs w:val="16"/>
              </w:rPr>
              <w:t>Regime non-stationarity: political factor loadings estimated in one administration may not persist under a different fiscal or geopolitical environment</w:t>
            </w:r>
          </w:p>
          <w:p w14:paraId="6C554D2A" w14:textId="77777777" w:rsidR="005A0E4F" w:rsidRPr="005023CE" w:rsidRDefault="00000000">
            <w:pPr>
              <w:pStyle w:val="ListParagraph"/>
              <w:numPr>
                <w:ilvl w:val="0"/>
                <w:numId w:val="2"/>
              </w:numPr>
              <w:rPr>
                <w:rFonts w:ascii="Book Antiqua" w:hAnsi="Book Antiqua"/>
                <w:color w:val="000000" w:themeColor="text1"/>
              </w:rPr>
            </w:pPr>
            <w:r w:rsidRPr="005023CE">
              <w:rPr>
                <w:rFonts w:ascii="Book Antiqua" w:hAnsi="Book Antiqua"/>
                <w:color w:val="000000" w:themeColor="text1"/>
                <w:sz w:val="16"/>
                <w:szCs w:val="16"/>
              </w:rPr>
              <w:t>Simultaneity / arbitrage: sophisticated traders may already use Kalshi to trade defense stocks, compressing or eliminating the lag; Kalshi contract gaps and episodic availability create unbalanced factor panels</w:t>
            </w:r>
          </w:p>
        </w:tc>
        <w:tc>
          <w:tcPr>
            <w:tcW w:w="3800" w:type="dxa"/>
            <w:tcBorders>
              <w:top w:val="none" w:sz="0" w:space="0" w:color="FFFFFF"/>
              <w:left w:val="none" w:sz="0" w:space="0" w:color="FFFFFF"/>
              <w:bottom w:val="none" w:sz="0" w:space="0" w:color="FFFFFF"/>
              <w:right w:val="none" w:sz="0" w:space="0" w:color="FFFFFF"/>
            </w:tcBorders>
            <w:shd w:val="clear" w:color="auto" w:fill="F2F2F2"/>
            <w:tcMar>
              <w:top w:w="120" w:type="dxa"/>
              <w:left w:w="120" w:type="dxa"/>
              <w:bottom w:w="120" w:type="dxa"/>
              <w:right w:w="120" w:type="dxa"/>
            </w:tcMar>
          </w:tcPr>
          <w:p w14:paraId="1F7E2A3D" w14:textId="77777777" w:rsidR="005A0E4F" w:rsidRPr="005023CE" w:rsidRDefault="00000000">
            <w:pPr>
              <w:spacing w:before="20" w:after="30"/>
              <w:rPr>
                <w:rFonts w:ascii="Book Antiqua" w:hAnsi="Book Antiqua"/>
                <w:color w:val="000000" w:themeColor="text1"/>
              </w:rPr>
            </w:pPr>
            <w:r w:rsidRPr="005023CE">
              <w:rPr>
                <w:rFonts w:ascii="Book Antiqua" w:hAnsi="Book Antiqua"/>
                <w:b/>
                <w:bCs/>
                <w:color w:val="000000" w:themeColor="text1"/>
              </w:rPr>
              <w:t>At a Glance</w:t>
            </w:r>
          </w:p>
          <w:tbl>
            <w:tblPr>
              <w:tblW w:w="36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1454"/>
            </w:tblGrid>
            <w:tr w:rsidR="005023CE" w:rsidRPr="005023CE" w14:paraId="7A5384D3" w14:textId="77777777">
              <w:tc>
                <w:tcPr>
                  <w:tcW w:w="2300"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462721E1" w14:textId="77777777" w:rsidR="005A0E4F" w:rsidRPr="005023CE" w:rsidRDefault="00000000">
                  <w:pPr>
                    <w:rPr>
                      <w:rFonts w:ascii="Book Antiqua" w:hAnsi="Book Antiqua"/>
                      <w:color w:val="000000" w:themeColor="text1"/>
                    </w:rPr>
                  </w:pPr>
                  <w:r w:rsidRPr="005023CE">
                    <w:rPr>
                      <w:rFonts w:ascii="Book Antiqua" w:hAnsi="Book Antiqua"/>
                      <w:color w:val="000000" w:themeColor="text1"/>
                      <w:sz w:val="16"/>
                      <w:szCs w:val="16"/>
                    </w:rPr>
                    <w:t>Asset Class:</w:t>
                  </w:r>
                </w:p>
              </w:tc>
              <w:tc>
                <w:tcPr>
                  <w:tcW w:w="1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64B85A9" w14:textId="77777777" w:rsidR="005A0E4F" w:rsidRPr="005023CE" w:rsidRDefault="00000000">
                  <w:pPr>
                    <w:rPr>
                      <w:rFonts w:ascii="Book Antiqua" w:hAnsi="Book Antiqua"/>
                      <w:color w:val="000000" w:themeColor="text1"/>
                    </w:rPr>
                  </w:pPr>
                  <w:r w:rsidRPr="005023CE">
                    <w:rPr>
                      <w:rFonts w:ascii="Book Antiqua" w:hAnsi="Book Antiqua"/>
                      <w:i/>
                      <w:iCs/>
                      <w:color w:val="000000" w:themeColor="text1"/>
                      <w:sz w:val="16"/>
                      <w:szCs w:val="16"/>
                    </w:rPr>
                    <w:t>U.S. Equities</w:t>
                  </w:r>
                </w:p>
              </w:tc>
            </w:tr>
            <w:tr w:rsidR="005023CE" w:rsidRPr="005023CE" w14:paraId="721D24B0" w14:textId="77777777">
              <w:tc>
                <w:tcPr>
                  <w:tcW w:w="2300"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711B8A16" w14:textId="77777777" w:rsidR="005A0E4F" w:rsidRPr="005023CE" w:rsidRDefault="00000000">
                  <w:pPr>
                    <w:rPr>
                      <w:rFonts w:ascii="Book Antiqua" w:hAnsi="Book Antiqua"/>
                      <w:color w:val="000000" w:themeColor="text1"/>
                    </w:rPr>
                  </w:pPr>
                  <w:r w:rsidRPr="005023CE">
                    <w:rPr>
                      <w:rFonts w:ascii="Book Antiqua" w:hAnsi="Book Antiqua"/>
                      <w:color w:val="000000" w:themeColor="text1"/>
                      <w:sz w:val="16"/>
                      <w:szCs w:val="16"/>
                    </w:rPr>
                    <w:t>Strategy Type:</w:t>
                  </w:r>
                </w:p>
              </w:tc>
              <w:tc>
                <w:tcPr>
                  <w:tcW w:w="1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88D5C5D" w14:textId="77777777" w:rsidR="005A0E4F" w:rsidRPr="005023CE" w:rsidRDefault="00000000">
                  <w:pPr>
                    <w:rPr>
                      <w:rFonts w:ascii="Book Antiqua" w:hAnsi="Book Antiqua"/>
                      <w:color w:val="000000" w:themeColor="text1"/>
                    </w:rPr>
                  </w:pPr>
                  <w:r w:rsidRPr="005023CE">
                    <w:rPr>
                      <w:rFonts w:ascii="Book Antiqua" w:hAnsi="Book Antiqua"/>
                      <w:i/>
                      <w:iCs/>
                      <w:color w:val="000000" w:themeColor="text1"/>
                      <w:sz w:val="16"/>
                      <w:szCs w:val="16"/>
                    </w:rPr>
                    <w:t>Factor (APT)</w:t>
                  </w:r>
                </w:p>
              </w:tc>
            </w:tr>
            <w:tr w:rsidR="005023CE" w:rsidRPr="005023CE" w14:paraId="2C2579E7" w14:textId="77777777">
              <w:tc>
                <w:tcPr>
                  <w:tcW w:w="2300"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63156A06" w14:textId="77777777" w:rsidR="005A0E4F" w:rsidRPr="005023CE" w:rsidRDefault="00000000">
                  <w:pPr>
                    <w:rPr>
                      <w:rFonts w:ascii="Book Antiqua" w:hAnsi="Book Antiqua"/>
                      <w:color w:val="000000" w:themeColor="text1"/>
                    </w:rPr>
                  </w:pPr>
                  <w:r w:rsidRPr="005023CE">
                    <w:rPr>
                      <w:rFonts w:ascii="Book Antiqua" w:hAnsi="Book Antiqua"/>
                      <w:color w:val="000000" w:themeColor="text1"/>
                      <w:sz w:val="16"/>
                      <w:szCs w:val="16"/>
                    </w:rPr>
                    <w:t>Direction:</w:t>
                  </w:r>
                </w:p>
              </w:tc>
              <w:tc>
                <w:tcPr>
                  <w:tcW w:w="1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7914C35" w14:textId="77777777" w:rsidR="005A0E4F" w:rsidRPr="005023CE" w:rsidRDefault="00000000">
                  <w:pPr>
                    <w:rPr>
                      <w:rFonts w:ascii="Book Antiqua" w:hAnsi="Book Antiqua"/>
                      <w:color w:val="000000" w:themeColor="text1"/>
                    </w:rPr>
                  </w:pPr>
                  <w:r w:rsidRPr="005023CE">
                    <w:rPr>
                      <w:rFonts w:ascii="Book Antiqua" w:hAnsi="Book Antiqua"/>
                      <w:i/>
                      <w:iCs/>
                      <w:color w:val="000000" w:themeColor="text1"/>
                      <w:sz w:val="16"/>
                      <w:szCs w:val="16"/>
                    </w:rPr>
                    <w:t>Long / Short</w:t>
                  </w:r>
                </w:p>
              </w:tc>
            </w:tr>
            <w:tr w:rsidR="005023CE" w:rsidRPr="005023CE" w14:paraId="400DA1F7" w14:textId="77777777">
              <w:tc>
                <w:tcPr>
                  <w:tcW w:w="2300"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34C254EE" w14:textId="77777777" w:rsidR="005A0E4F" w:rsidRPr="005023CE" w:rsidRDefault="00000000">
                  <w:pPr>
                    <w:rPr>
                      <w:rFonts w:ascii="Book Antiqua" w:hAnsi="Book Antiqua"/>
                      <w:color w:val="000000" w:themeColor="text1"/>
                    </w:rPr>
                  </w:pPr>
                  <w:r w:rsidRPr="005023CE">
                    <w:rPr>
                      <w:rFonts w:ascii="Book Antiqua" w:hAnsi="Book Antiqua"/>
                      <w:color w:val="000000" w:themeColor="text1"/>
                      <w:sz w:val="16"/>
                      <w:szCs w:val="16"/>
                    </w:rPr>
                    <w:t>Holding Period:</w:t>
                  </w:r>
                </w:p>
              </w:tc>
              <w:tc>
                <w:tcPr>
                  <w:tcW w:w="1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E410947" w14:textId="77777777" w:rsidR="005A0E4F" w:rsidRPr="005023CE" w:rsidRDefault="00000000">
                  <w:pPr>
                    <w:rPr>
                      <w:rFonts w:ascii="Book Antiqua" w:hAnsi="Book Antiqua"/>
                      <w:color w:val="000000" w:themeColor="text1"/>
                    </w:rPr>
                  </w:pPr>
                  <w:r w:rsidRPr="005023CE">
                    <w:rPr>
                      <w:rFonts w:ascii="Book Antiqua" w:hAnsi="Book Antiqua"/>
                      <w:i/>
                      <w:iCs/>
                      <w:color w:val="000000" w:themeColor="text1"/>
                      <w:sz w:val="16"/>
                      <w:szCs w:val="16"/>
                    </w:rPr>
                    <w:t>Daily</w:t>
                  </w:r>
                </w:p>
              </w:tc>
            </w:tr>
            <w:tr w:rsidR="005023CE" w:rsidRPr="005023CE" w14:paraId="3C0E005C" w14:textId="77777777">
              <w:tc>
                <w:tcPr>
                  <w:tcW w:w="2300"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660B4AE8" w14:textId="77777777" w:rsidR="005A0E4F" w:rsidRPr="005023CE" w:rsidRDefault="00000000">
                  <w:pPr>
                    <w:rPr>
                      <w:rFonts w:ascii="Book Antiqua" w:hAnsi="Book Antiqua"/>
                      <w:color w:val="000000" w:themeColor="text1"/>
                    </w:rPr>
                  </w:pPr>
                  <w:r w:rsidRPr="005023CE">
                    <w:rPr>
                      <w:rFonts w:ascii="Book Antiqua" w:hAnsi="Book Antiqua"/>
                      <w:color w:val="000000" w:themeColor="text1"/>
                      <w:sz w:val="16"/>
                      <w:szCs w:val="16"/>
                    </w:rPr>
                    <w:t>Universe:</w:t>
                  </w:r>
                </w:p>
              </w:tc>
              <w:tc>
                <w:tcPr>
                  <w:tcW w:w="1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A459FBD" w14:textId="77777777" w:rsidR="005A0E4F" w:rsidRPr="005023CE" w:rsidRDefault="00000000">
                  <w:pPr>
                    <w:rPr>
                      <w:rFonts w:ascii="Book Antiqua" w:hAnsi="Book Antiqua"/>
                      <w:color w:val="000000" w:themeColor="text1"/>
                    </w:rPr>
                  </w:pPr>
                  <w:r w:rsidRPr="005023CE">
                    <w:rPr>
                      <w:rFonts w:ascii="Book Antiqua" w:hAnsi="Book Antiqua"/>
                      <w:i/>
                      <w:iCs/>
                      <w:color w:val="000000" w:themeColor="text1"/>
                      <w:sz w:val="16"/>
                      <w:szCs w:val="16"/>
                    </w:rPr>
                    <w:t>JEDI Index (7 names)</w:t>
                  </w:r>
                </w:p>
              </w:tc>
            </w:tr>
          </w:tbl>
          <w:p w14:paraId="00309614" w14:textId="77777777" w:rsidR="005A0E4F" w:rsidRPr="005023CE" w:rsidRDefault="005A0E4F">
            <w:pPr>
              <w:rPr>
                <w:rFonts w:ascii="Book Antiqua" w:hAnsi="Book Antiqua"/>
                <w:color w:val="000000" w:themeColor="text1"/>
              </w:rPr>
            </w:pPr>
          </w:p>
          <w:p w14:paraId="62FA29C5" w14:textId="77777777" w:rsidR="005A0E4F" w:rsidRPr="005023CE" w:rsidRDefault="00000000">
            <w:pPr>
              <w:spacing w:before="20" w:after="30"/>
              <w:rPr>
                <w:rFonts w:ascii="Book Antiqua" w:hAnsi="Book Antiqua"/>
                <w:color w:val="000000" w:themeColor="text1"/>
              </w:rPr>
            </w:pPr>
            <w:r w:rsidRPr="005023CE">
              <w:rPr>
                <w:rFonts w:ascii="Book Antiqua" w:hAnsi="Book Antiqua"/>
                <w:b/>
                <w:bCs/>
                <w:color w:val="000000" w:themeColor="text1"/>
              </w:rPr>
              <w:t>Data Requirements</w:t>
            </w:r>
          </w:p>
          <w:p w14:paraId="322166BA" w14:textId="77777777" w:rsidR="005A0E4F" w:rsidRPr="005023CE" w:rsidRDefault="00000000">
            <w:pPr>
              <w:pStyle w:val="ListParagraph"/>
              <w:numPr>
                <w:ilvl w:val="0"/>
                <w:numId w:val="2"/>
              </w:numPr>
              <w:rPr>
                <w:rFonts w:ascii="Book Antiqua" w:hAnsi="Book Antiqua"/>
                <w:color w:val="000000" w:themeColor="text1"/>
              </w:rPr>
            </w:pPr>
            <w:r w:rsidRPr="005023CE">
              <w:rPr>
                <w:rFonts w:ascii="Book Antiqua" w:hAnsi="Book Antiqua"/>
                <w:color w:val="000000" w:themeColor="text1"/>
                <w:sz w:val="16"/>
                <w:szCs w:val="16"/>
              </w:rPr>
              <w:t>Daily OHLCV for JEDI constituents — Yahoo Finance / Bloomberg</w:t>
            </w:r>
          </w:p>
          <w:p w14:paraId="466EAE9C" w14:textId="77777777" w:rsidR="005A0E4F" w:rsidRPr="005023CE" w:rsidRDefault="00000000">
            <w:pPr>
              <w:pStyle w:val="ListParagraph"/>
              <w:numPr>
                <w:ilvl w:val="0"/>
                <w:numId w:val="2"/>
              </w:numPr>
              <w:rPr>
                <w:rFonts w:ascii="Book Antiqua" w:hAnsi="Book Antiqua"/>
                <w:color w:val="000000" w:themeColor="text1"/>
              </w:rPr>
            </w:pPr>
            <w:r w:rsidRPr="005023CE">
              <w:rPr>
                <w:rFonts w:ascii="Book Antiqua" w:hAnsi="Book Antiqua"/>
                <w:color w:val="000000" w:themeColor="text1"/>
                <w:sz w:val="16"/>
                <w:szCs w:val="16"/>
              </w:rPr>
              <w:t>Kalshi daily closing probabilities — Kalshi API (primary alternative data source)</w:t>
            </w:r>
          </w:p>
          <w:p w14:paraId="1F2D63A0" w14:textId="62D73646" w:rsidR="005A0E4F" w:rsidRPr="005023CE" w:rsidRDefault="00000000">
            <w:pPr>
              <w:pStyle w:val="ListParagraph"/>
              <w:numPr>
                <w:ilvl w:val="0"/>
                <w:numId w:val="2"/>
              </w:numPr>
              <w:rPr>
                <w:rFonts w:ascii="Book Antiqua" w:hAnsi="Book Antiqua"/>
                <w:color w:val="000000" w:themeColor="text1"/>
              </w:rPr>
            </w:pPr>
            <w:r w:rsidRPr="005023CE">
              <w:rPr>
                <w:rFonts w:ascii="Book Antiqua" w:hAnsi="Book Antiqua"/>
                <w:color w:val="000000" w:themeColor="text1"/>
                <w:sz w:val="16"/>
                <w:szCs w:val="16"/>
              </w:rPr>
              <w:t>Polymarket probabilities — supplemental geopolitical factor data</w:t>
            </w:r>
          </w:p>
          <w:p w14:paraId="2B53B982" w14:textId="77777777" w:rsidR="005A0E4F" w:rsidRPr="005023CE" w:rsidRDefault="00000000">
            <w:pPr>
              <w:pStyle w:val="ListParagraph"/>
              <w:numPr>
                <w:ilvl w:val="0"/>
                <w:numId w:val="2"/>
              </w:numPr>
              <w:rPr>
                <w:rFonts w:ascii="Book Antiqua" w:hAnsi="Book Antiqua"/>
                <w:color w:val="000000" w:themeColor="text1"/>
              </w:rPr>
            </w:pPr>
            <w:r w:rsidRPr="005023CE">
              <w:rPr>
                <w:rFonts w:ascii="Book Antiqua" w:hAnsi="Book Antiqua"/>
                <w:color w:val="000000" w:themeColor="text1"/>
                <w:sz w:val="16"/>
                <w:szCs w:val="16"/>
              </w:rPr>
              <w:t>ITA ETF returns — benchmark for excess return calculation</w:t>
            </w:r>
          </w:p>
          <w:p w14:paraId="46007589" w14:textId="77777777" w:rsidR="005A0E4F" w:rsidRPr="005023CE" w:rsidRDefault="005A0E4F">
            <w:pPr>
              <w:rPr>
                <w:rFonts w:ascii="Book Antiqua" w:hAnsi="Book Antiqua"/>
                <w:color w:val="000000" w:themeColor="text1"/>
              </w:rPr>
            </w:pPr>
          </w:p>
          <w:p w14:paraId="1AA9E349" w14:textId="77777777" w:rsidR="005A0E4F" w:rsidRPr="005023CE" w:rsidRDefault="00000000">
            <w:pPr>
              <w:spacing w:before="20" w:after="30"/>
              <w:rPr>
                <w:rFonts w:ascii="Book Antiqua" w:hAnsi="Book Antiqua"/>
                <w:color w:val="000000" w:themeColor="text1"/>
              </w:rPr>
            </w:pPr>
            <w:r w:rsidRPr="005023CE">
              <w:rPr>
                <w:rFonts w:ascii="Book Antiqua" w:hAnsi="Book Antiqua"/>
                <w:b/>
                <w:bCs/>
                <w:color w:val="000000" w:themeColor="text1"/>
              </w:rPr>
              <w:t>Key Parameters</w:t>
            </w:r>
          </w:p>
          <w:p w14:paraId="02812B2F" w14:textId="77777777" w:rsidR="005A0E4F" w:rsidRPr="005023CE" w:rsidRDefault="00000000">
            <w:pPr>
              <w:pStyle w:val="ListParagraph"/>
              <w:numPr>
                <w:ilvl w:val="0"/>
                <w:numId w:val="2"/>
              </w:numPr>
              <w:rPr>
                <w:rFonts w:ascii="Book Antiqua" w:hAnsi="Book Antiqua"/>
                <w:color w:val="000000" w:themeColor="text1"/>
              </w:rPr>
            </w:pPr>
            <w:r w:rsidRPr="005023CE">
              <w:rPr>
                <w:rFonts w:ascii="Book Antiqua" w:hAnsi="Book Antiqua"/>
                <w:color w:val="000000" w:themeColor="text1"/>
                <w:sz w:val="16"/>
                <w:szCs w:val="16"/>
              </w:rPr>
              <w:t>Training window: 252 trading days (rolling)</w:t>
            </w:r>
          </w:p>
          <w:p w14:paraId="30625E60" w14:textId="77777777" w:rsidR="005A0E4F" w:rsidRPr="005023CE" w:rsidRDefault="00000000">
            <w:pPr>
              <w:pStyle w:val="ListParagraph"/>
              <w:numPr>
                <w:ilvl w:val="0"/>
                <w:numId w:val="2"/>
              </w:numPr>
              <w:rPr>
                <w:rFonts w:ascii="Book Antiqua" w:hAnsi="Book Antiqua"/>
                <w:color w:val="000000" w:themeColor="text1"/>
              </w:rPr>
            </w:pPr>
            <w:r w:rsidRPr="005023CE">
              <w:rPr>
                <w:rFonts w:ascii="Book Antiqua" w:hAnsi="Book Antiqua"/>
                <w:color w:val="000000" w:themeColor="text1"/>
                <w:sz w:val="16"/>
                <w:szCs w:val="16"/>
              </w:rPr>
              <w:t>Signal threshold: ±0.15% predicted return</w:t>
            </w:r>
          </w:p>
          <w:p w14:paraId="48CB5A79" w14:textId="77777777" w:rsidR="005A0E4F" w:rsidRPr="005023CE" w:rsidRDefault="00000000">
            <w:pPr>
              <w:pStyle w:val="ListParagraph"/>
              <w:numPr>
                <w:ilvl w:val="0"/>
                <w:numId w:val="2"/>
              </w:numPr>
              <w:rPr>
                <w:rFonts w:ascii="Book Antiqua" w:hAnsi="Book Antiqua"/>
                <w:color w:val="000000" w:themeColor="text1"/>
              </w:rPr>
            </w:pPr>
            <w:r w:rsidRPr="005023CE">
              <w:rPr>
                <w:rFonts w:ascii="Book Antiqua" w:hAnsi="Book Antiqua"/>
                <w:color w:val="000000" w:themeColor="text1"/>
                <w:sz w:val="16"/>
                <w:szCs w:val="16"/>
              </w:rPr>
              <w:t>Elastic Net lambda: tuned via TimeSeriesSplit CV</w:t>
            </w:r>
          </w:p>
          <w:p w14:paraId="3C5ABD62" w14:textId="77777777" w:rsidR="005A0E4F" w:rsidRPr="005023CE" w:rsidRDefault="00000000">
            <w:pPr>
              <w:pStyle w:val="ListParagraph"/>
              <w:numPr>
                <w:ilvl w:val="0"/>
                <w:numId w:val="2"/>
              </w:numPr>
              <w:rPr>
                <w:rFonts w:ascii="Book Antiqua" w:hAnsi="Book Antiqua"/>
                <w:color w:val="000000" w:themeColor="text1"/>
              </w:rPr>
            </w:pPr>
            <w:r w:rsidRPr="005023CE">
              <w:rPr>
                <w:rFonts w:ascii="Book Antiqua" w:hAnsi="Book Antiqua"/>
                <w:color w:val="000000" w:themeColor="text1"/>
                <w:sz w:val="16"/>
                <w:szCs w:val="16"/>
              </w:rPr>
              <w:t>Rebalance: daily at open; beta re-fit: monthly</w:t>
            </w:r>
          </w:p>
          <w:p w14:paraId="002021E3" w14:textId="77777777" w:rsidR="005A0E4F" w:rsidRPr="005023CE" w:rsidRDefault="005A0E4F">
            <w:pPr>
              <w:rPr>
                <w:rFonts w:ascii="Book Antiqua" w:hAnsi="Book Antiqua"/>
                <w:color w:val="000000" w:themeColor="text1"/>
              </w:rPr>
            </w:pPr>
          </w:p>
          <w:p w14:paraId="6BC0A74D" w14:textId="77777777" w:rsidR="005A0E4F" w:rsidRPr="005023CE" w:rsidRDefault="00000000">
            <w:pPr>
              <w:spacing w:before="20" w:after="30"/>
              <w:rPr>
                <w:rFonts w:ascii="Book Antiqua" w:hAnsi="Book Antiqua"/>
                <w:color w:val="000000" w:themeColor="text1"/>
              </w:rPr>
            </w:pPr>
            <w:r w:rsidRPr="005023CE">
              <w:rPr>
                <w:rFonts w:ascii="Book Antiqua" w:hAnsi="Book Antiqua"/>
                <w:b/>
                <w:bCs/>
                <w:color w:val="000000" w:themeColor="text1"/>
              </w:rPr>
              <w:t>Open Questions</w:t>
            </w:r>
          </w:p>
          <w:p w14:paraId="58DF2AC3" w14:textId="77777777" w:rsidR="005A0E4F" w:rsidRPr="005023CE" w:rsidRDefault="00000000">
            <w:pPr>
              <w:pStyle w:val="ListParagraph"/>
              <w:numPr>
                <w:ilvl w:val="0"/>
                <w:numId w:val="2"/>
              </w:numPr>
              <w:rPr>
                <w:rFonts w:ascii="Book Antiqua" w:hAnsi="Book Antiqua"/>
                <w:color w:val="000000" w:themeColor="text1"/>
              </w:rPr>
            </w:pPr>
            <w:r w:rsidRPr="005023CE">
              <w:rPr>
                <w:rFonts w:ascii="Book Antiqua" w:hAnsi="Book Antiqua"/>
                <w:color w:val="000000" w:themeColor="text1"/>
                <w:sz w:val="16"/>
                <w:szCs w:val="16"/>
              </w:rPr>
              <w:t>Does out-of-sample IC remain positive after Elastic Net factor selection? Does the Kalshi-to-stock lag persist once controlling for same-day co-movement?</w:t>
            </w:r>
          </w:p>
          <w:p w14:paraId="04785163" w14:textId="77777777" w:rsidR="005A0E4F" w:rsidRPr="005023CE" w:rsidRDefault="00000000">
            <w:pPr>
              <w:pStyle w:val="ListParagraph"/>
              <w:numPr>
                <w:ilvl w:val="0"/>
                <w:numId w:val="2"/>
              </w:numPr>
              <w:rPr>
                <w:rFonts w:ascii="Book Antiqua" w:hAnsi="Book Antiqua"/>
                <w:color w:val="000000" w:themeColor="text1"/>
              </w:rPr>
            </w:pPr>
            <w:r w:rsidRPr="005023CE">
              <w:rPr>
                <w:rFonts w:ascii="Book Antiqua" w:hAnsi="Book Antiqua"/>
                <w:color w:val="000000" w:themeColor="text1"/>
                <w:sz w:val="16"/>
                <w:szCs w:val="16"/>
              </w:rPr>
              <w:t>Kalshi contract episodic availability creates unbalanced panels; missing factor data strategy (forward-fill vs. drop period) materially affects results</w:t>
            </w:r>
          </w:p>
          <w:p w14:paraId="4E8B4C4D" w14:textId="32648B11" w:rsidR="005A0E4F" w:rsidRPr="005023CE" w:rsidRDefault="005A0E4F" w:rsidP="00DD72AD">
            <w:pPr>
              <w:pStyle w:val="ListParagraph"/>
              <w:ind w:left="360"/>
              <w:rPr>
                <w:rFonts w:ascii="Book Antiqua" w:hAnsi="Book Antiqua"/>
                <w:color w:val="000000" w:themeColor="text1"/>
              </w:rPr>
            </w:pPr>
          </w:p>
        </w:tc>
      </w:tr>
    </w:tbl>
    <w:p w14:paraId="49BE6E84" w14:textId="77777777" w:rsidR="006F1CBA" w:rsidRPr="005023CE" w:rsidRDefault="006F1CBA">
      <w:pPr>
        <w:rPr>
          <w:rFonts w:ascii="Book Antiqua" w:hAnsi="Book Antiqua"/>
          <w:color w:val="000000" w:themeColor="text1"/>
        </w:rPr>
      </w:pPr>
    </w:p>
    <w:sectPr w:rsidR="006F1CBA" w:rsidRPr="005023CE">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notTrueType/>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05CB9"/>
    <w:multiLevelType w:val="hybridMultilevel"/>
    <w:tmpl w:val="E3001DFC"/>
    <w:lvl w:ilvl="0" w:tplc="90300652">
      <w:start w:val="1"/>
      <w:numFmt w:val="bullet"/>
      <w:lvlText w:val="•"/>
      <w:lvlJc w:val="left"/>
      <w:pPr>
        <w:ind w:left="360" w:hanging="200"/>
      </w:pPr>
    </w:lvl>
    <w:lvl w:ilvl="1" w:tplc="CFB278C6">
      <w:numFmt w:val="decimal"/>
      <w:lvlText w:val=""/>
      <w:lvlJc w:val="left"/>
    </w:lvl>
    <w:lvl w:ilvl="2" w:tplc="A0AED636">
      <w:numFmt w:val="decimal"/>
      <w:lvlText w:val=""/>
      <w:lvlJc w:val="left"/>
    </w:lvl>
    <w:lvl w:ilvl="3" w:tplc="81CC098C">
      <w:numFmt w:val="decimal"/>
      <w:lvlText w:val=""/>
      <w:lvlJc w:val="left"/>
    </w:lvl>
    <w:lvl w:ilvl="4" w:tplc="8C04F144">
      <w:numFmt w:val="decimal"/>
      <w:lvlText w:val=""/>
      <w:lvlJc w:val="left"/>
    </w:lvl>
    <w:lvl w:ilvl="5" w:tplc="883CD2F2">
      <w:numFmt w:val="decimal"/>
      <w:lvlText w:val=""/>
      <w:lvlJc w:val="left"/>
    </w:lvl>
    <w:lvl w:ilvl="6" w:tplc="28DCC7C4">
      <w:numFmt w:val="decimal"/>
      <w:lvlText w:val=""/>
      <w:lvlJc w:val="left"/>
    </w:lvl>
    <w:lvl w:ilvl="7" w:tplc="28824CC0">
      <w:numFmt w:val="decimal"/>
      <w:lvlText w:val=""/>
      <w:lvlJc w:val="left"/>
    </w:lvl>
    <w:lvl w:ilvl="8" w:tplc="F03CDAD2">
      <w:numFmt w:val="decimal"/>
      <w:lvlText w:val=""/>
      <w:lvlJc w:val="left"/>
    </w:lvl>
  </w:abstractNum>
  <w:abstractNum w:abstractNumId="1" w15:restartNumberingAfterBreak="0">
    <w:nsid w:val="2CFC08B6"/>
    <w:multiLevelType w:val="hybridMultilevel"/>
    <w:tmpl w:val="C7DAA1FE"/>
    <w:lvl w:ilvl="0" w:tplc="11CC4056">
      <w:start w:val="1"/>
      <w:numFmt w:val="bullet"/>
      <w:lvlText w:val="●"/>
      <w:lvlJc w:val="left"/>
      <w:pPr>
        <w:ind w:left="720" w:hanging="360"/>
      </w:pPr>
    </w:lvl>
    <w:lvl w:ilvl="1" w:tplc="6D0CE810">
      <w:start w:val="1"/>
      <w:numFmt w:val="bullet"/>
      <w:lvlText w:val="○"/>
      <w:lvlJc w:val="left"/>
      <w:pPr>
        <w:ind w:left="1440" w:hanging="360"/>
      </w:pPr>
    </w:lvl>
    <w:lvl w:ilvl="2" w:tplc="5B28A714">
      <w:start w:val="1"/>
      <w:numFmt w:val="bullet"/>
      <w:lvlText w:val="■"/>
      <w:lvlJc w:val="left"/>
      <w:pPr>
        <w:ind w:left="2160" w:hanging="360"/>
      </w:pPr>
    </w:lvl>
    <w:lvl w:ilvl="3" w:tplc="2434331A">
      <w:start w:val="1"/>
      <w:numFmt w:val="bullet"/>
      <w:lvlText w:val="●"/>
      <w:lvlJc w:val="left"/>
      <w:pPr>
        <w:ind w:left="2880" w:hanging="360"/>
      </w:pPr>
    </w:lvl>
    <w:lvl w:ilvl="4" w:tplc="B532E510">
      <w:start w:val="1"/>
      <w:numFmt w:val="bullet"/>
      <w:lvlText w:val="○"/>
      <w:lvlJc w:val="left"/>
      <w:pPr>
        <w:ind w:left="3600" w:hanging="360"/>
      </w:pPr>
    </w:lvl>
    <w:lvl w:ilvl="5" w:tplc="1B529090">
      <w:start w:val="1"/>
      <w:numFmt w:val="bullet"/>
      <w:lvlText w:val="■"/>
      <w:lvlJc w:val="left"/>
      <w:pPr>
        <w:ind w:left="4320" w:hanging="360"/>
      </w:pPr>
    </w:lvl>
    <w:lvl w:ilvl="6" w:tplc="4DEEFEF0">
      <w:start w:val="1"/>
      <w:numFmt w:val="bullet"/>
      <w:lvlText w:val="●"/>
      <w:lvlJc w:val="left"/>
      <w:pPr>
        <w:ind w:left="5040" w:hanging="360"/>
      </w:pPr>
    </w:lvl>
    <w:lvl w:ilvl="7" w:tplc="07A6D07E">
      <w:start w:val="1"/>
      <w:numFmt w:val="bullet"/>
      <w:lvlText w:val="●"/>
      <w:lvlJc w:val="left"/>
      <w:pPr>
        <w:ind w:left="5760" w:hanging="360"/>
      </w:pPr>
    </w:lvl>
    <w:lvl w:ilvl="8" w:tplc="F6B2B50E">
      <w:start w:val="1"/>
      <w:numFmt w:val="bullet"/>
      <w:lvlText w:val="●"/>
      <w:lvlJc w:val="left"/>
      <w:pPr>
        <w:ind w:left="6480" w:hanging="360"/>
      </w:pPr>
    </w:lvl>
  </w:abstractNum>
  <w:num w:numId="1" w16cid:durableId="454910381">
    <w:abstractNumId w:val="1"/>
    <w:lvlOverride w:ilvl="0">
      <w:startOverride w:val="1"/>
    </w:lvlOverride>
  </w:num>
  <w:num w:numId="2" w16cid:durableId="18427417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E4F"/>
    <w:rsid w:val="001339E9"/>
    <w:rsid w:val="00371855"/>
    <w:rsid w:val="00402BD3"/>
    <w:rsid w:val="005023CE"/>
    <w:rsid w:val="00593F96"/>
    <w:rsid w:val="005A0E4F"/>
    <w:rsid w:val="006F1CBA"/>
    <w:rsid w:val="00745DC0"/>
    <w:rsid w:val="00933049"/>
    <w:rsid w:val="00B86A0C"/>
    <w:rsid w:val="00CE68FF"/>
    <w:rsid w:val="00D67C08"/>
    <w:rsid w:val="00DD72A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6DBE3EF"/>
  <w15:docId w15:val="{ED5CF86C-FAA2-4F4B-B387-12E398BA6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608</Words>
  <Characters>3470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Blatnoy, Aaron Matthew</cp:lastModifiedBy>
  <cp:revision>3</cp:revision>
  <dcterms:created xsi:type="dcterms:W3CDTF">2026-03-08T23:00:00Z</dcterms:created>
  <dcterms:modified xsi:type="dcterms:W3CDTF">2026-03-08T23:00:00Z</dcterms:modified>
</cp:coreProperties>
</file>