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00"/>
      </w:pPr>
    </w:p>
    <w:p>
      <w:pPr>
        <w:spacing w:after="320"/>
        <w:jc w:val="center"/>
      </w:pPr>
      <w:r>
        <w:rPr>
          <w:rFonts w:ascii="Calibri" w:hAnsi="Calibri"/>
          <w:b/>
          <w:color w:val="2A7F7F"/>
          <w:sz w:val="20"/>
        </w:rPr>
        <w:t>GRUPO VCAPITAL</w:t>
      </w:r>
    </w:p>
    <w:p>
      <w:pPr>
        <w:spacing w:after="200"/>
        <w:jc w:val="center"/>
      </w:pPr>
      <w:r>
        <w:rPr>
          <w:rFonts w:ascii="Calibri" w:hAnsi="Calibri"/>
          <w:b/>
          <w:color w:val="203748"/>
          <w:sz w:val="60"/>
        </w:rPr>
        <w:t>RELATÓRIO FINAL</w:t>
      </w:r>
    </w:p>
    <w:p>
      <w:pPr>
        <w:spacing w:after="80"/>
        <w:jc w:val="center"/>
      </w:pPr>
      <w:r>
        <w:rPr>
          <w:rFonts w:ascii="Calibri" w:hAnsi="Calibri"/>
          <w:color w:val="1F4D78"/>
          <w:sz w:val="30"/>
        </w:rPr>
        <w:t>Desenvolvimento e validação preliminar</w:t>
      </w:r>
    </w:p>
    <w:p>
      <w:pPr>
        <w:spacing w:after="680"/>
        <w:jc w:val="center"/>
      </w:pPr>
      <w:r>
        <w:rPr>
          <w:rFonts w:ascii="Calibri" w:hAnsi="Calibri"/>
          <w:color w:val="1F4D78"/>
          <w:sz w:val="30"/>
        </w:rPr>
        <w:t>de um fundo sistemático multi-sleeve</w:t>
      </w:r>
    </w:p>
    <w:p>
      <w:pPr>
        <w:spacing w:after="60"/>
        <w:jc w:val="center"/>
      </w:pPr>
      <w:r>
        <w:rPr>
          <w:rFonts w:ascii="Calibri" w:hAnsi="Calibri"/>
          <w:b/>
          <w:color w:val="222222"/>
          <w:sz w:val="23"/>
        </w:rPr>
        <w:t>Arthur Pires Lopes</w:t>
      </w:r>
    </w:p>
    <w:p>
      <w:pPr>
        <w:spacing w:after="60"/>
        <w:jc w:val="center"/>
      </w:pPr>
      <w:r>
        <w:rPr>
          <w:rFonts w:ascii="Calibri" w:hAnsi="Calibri"/>
          <w:b/>
          <w:color w:val="222222"/>
          <w:sz w:val="23"/>
        </w:rPr>
        <w:t>Thiago Leal Miranda</w:t>
      </w:r>
    </w:p>
    <w:p>
      <w:pPr>
        <w:spacing w:after="60"/>
        <w:jc w:val="center"/>
      </w:pPr>
      <w:r>
        <w:rPr>
          <w:rFonts w:ascii="Calibri" w:hAnsi="Calibri"/>
          <w:b/>
          <w:color w:val="222222"/>
          <w:sz w:val="23"/>
        </w:rPr>
        <w:t>João Emanuel Zilli dos Santos</w:t>
      </w:r>
    </w:p>
    <w:p>
      <w:pPr>
        <w:spacing w:after="880"/>
      </w:pPr>
    </w:p>
    <w:p>
      <w:pPr>
        <w:spacing w:after="100"/>
        <w:jc w:val="center"/>
      </w:pPr>
      <w:r>
        <w:rPr>
          <w:rFonts w:ascii="Calibri" w:hAnsi="Calibri"/>
          <w:color w:val="666666"/>
          <w:sz w:val="21"/>
        </w:rPr>
        <w:t>Universidade Federal de Uberlândia</w:t>
      </w:r>
    </w:p>
    <w:p>
      <w:pPr>
        <w:spacing w:after="120"/>
        <w:jc w:val="center"/>
      </w:pPr>
      <w:r>
        <w:rPr>
          <w:rFonts w:ascii="Calibri" w:hAnsi="Calibri"/>
          <w:i/>
          <w:color w:val="666666"/>
          <w:sz w:val="20"/>
        </w:rPr>
        <w:t>Versão 1.1 | Dados até julho de 2026</w:t>
      </w:r>
    </w:p>
    <w:p>
      <w:pPr>
        <w:spacing w:after="0"/>
        <w:jc w:val="center"/>
      </w:pPr>
      <w:r>
        <w:rPr>
          <w:rFonts w:ascii="Calibri" w:hAnsi="Calibri"/>
          <w:color w:val="666666"/>
          <w:sz w:val="19"/>
        </w:rPr>
        <w:t xml:space="preserve">Repositório oficial: </w:t>
      </w:r>
      <w:hyperlink r:id="rId13">
        <w:r>
          <w:rPr>
            <w:color w:val="2E74B5"/>
            <w:u w:val="single"/>
          </w:rPr>
          <w:t>github.com/arthur1535/iitauquant</w:t>
        </w:r>
      </w:hyperlink>
    </w:p>
    <w:p>
      <w:r>
        <w:br w:type="page"/>
      </w:r>
    </w:p>
    <w:p>
      <w:pPr>
        <w:pStyle w:val="Heading1"/>
        <w:keepNext/>
        <w:keepLines/>
        <w:widowControl/>
      </w:pPr>
      <w:r>
        <w:t>Sumário executivo</w:t>
      </w:r>
    </w:p>
    <w:p>
      <w:pPr>
        <w:keepLines/>
        <w:widowControl/>
      </w:pPr>
      <w:r>
        <w:rPr>
          <w:rFonts w:ascii="Calibri" w:hAnsi="Calibri"/>
          <w:color w:val="222222"/>
          <w:sz w:val="22"/>
        </w:rPr>
        <w:t>O projeto VCapital implementa um fundo sistemático composto por três sleeves: seleção fundamentalista multifatorial, seleção técnica de small caps e renda fixa de curtíssimo prazo por meio do BIL. A arquitetura do motor é coerente, auditável e respeita a defasagem temporal dos sinais. Após a auditoria final, duas correções relevantes foram incorporadas: o indicador de crédito passou a usar a série BAA10Y do FRED, com histórico oficial desde 1986, e os pesos do Sleeve 1 passaram a derivar com os preços entre rebalanceamentos anuais.</w:t>
      </w:r>
    </w:p>
    <w:p>
      <w:pPr>
        <w:spacing w:before="120" w:after="200" w:line="276" w:lineRule="auto"/>
        <w:ind w:left="173" w:right="173"/>
        <w:shd w:fill="F4F6F9"/>
        <w:pBdr>
          <w:left w:val="single" w:sz="18" w:space="8" w:color="2A7F7F"/>
        </w:pBdr>
        <w:keepLines/>
        <w:widowControl/>
      </w:pPr>
      <w:r>
        <w:rPr>
          <w:rFonts w:ascii="Calibri" w:hAnsi="Calibri"/>
          <w:b/>
          <w:color w:val="2A7F7F"/>
          <w:sz w:val="21"/>
        </w:rPr>
        <w:t xml:space="preserve">Conclusão central: </w:t>
      </w:r>
      <w:r>
        <w:rPr>
          <w:rFonts w:ascii="Calibri" w:hAnsi="Calibri"/>
          <w:color w:val="222222"/>
          <w:sz w:val="21"/>
        </w:rPr>
        <w:t>O sistema está pronto como plataforma de pesquisa e paper trading, mas ainda não está pronto para capital real. Os números disponíveis validam o overlay e a consolidação por ETFs; a estratégia de stock-picking permanece sem backtest point-in-time porque faltam fundamentos SEC e universos históricos.</w:t>
      </w:r>
    </w:p>
    <w:p>
      <w:pPr>
        <w:keepLines/>
        <w:widowControl/>
      </w:pPr>
      <w:r>
        <w:rPr>
          <w:rFonts w:ascii="Calibri" w:hAnsi="Calibri"/>
          <w:color w:val="222222"/>
          <w:sz w:val="22"/>
        </w:rPr>
        <w:t>O backtest preliminar atualizado cobre 101 meses, de março de 2018 a julho de 2026. O fundo proxy líquido apresentou CAGR de 8,03%, volatilidade anual de 11,50%, Sharpe de 0,51 e drawdown máximo de -13,72%. O benchmark de 2/3 SPY e 1/3 BIL apresentou CAGR de 10,73%, Sharpe de 0,76 e drawdown de -16,13%. O overlay reduziu perdas máximas, mas não gerou retorno ajustado ao risco superior nesta amostra.</w:t>
      </w:r>
    </w:p>
    <w:p>
      <w:pPr>
        <w:keepLines/>
        <w:widowControl/>
      </w:pPr>
      <w:r>
        <w:rPr>
          <w:rFonts w:ascii="Calibri" w:hAnsi="Calibri"/>
          <w:color w:val="222222"/>
          <w:sz w:val="22"/>
        </w:rPr>
        <w:t>Este relatório consolida o estado real do repositório em 2 de agosto de 2026. Resultados por proxies não são apresentados como evidência de rentabilidade futura nem como recomendação de investimento.</w:t>
      </w:r>
    </w:p>
    <w:p>
      <w:r>
        <w:br w:type="page"/>
      </w:r>
    </w:p>
    <w:p>
      <w:pPr>
        <w:pStyle w:val="Heading1"/>
        <w:keepNext/>
        <w:keepLines/>
        <w:widowControl/>
      </w:pPr>
      <w:r>
        <w:t>1. Objetivo e escopo</w:t>
      </w:r>
    </w:p>
    <w:p>
      <w:pPr>
        <w:keepLines/>
        <w:widowControl/>
      </w:pPr>
      <w:r>
        <w:rPr>
          <w:rFonts w:ascii="Calibri" w:hAnsi="Calibri"/>
          <w:color w:val="222222"/>
          <w:sz w:val="22"/>
        </w:rPr>
        <w:t>O objetivo do projeto é construir um processo quantitativo reproduzível que combine fontes distintas de retorno e altere defensivamente a alocação quando o mercado de crédito sinalizar estresse. O trabalho abrange definição dos sinais, construção de carteiras, defasagem temporal, consolidação entre sleeves, auditoria de dados, backtest preliminar e preparação para integração operacional.</w:t>
      </w:r>
    </w:p>
    <w:p>
      <w:pPr>
        <w:keepLines/>
        <w:widowControl/>
      </w:pPr>
      <w:r>
        <w:rPr>
          <w:rFonts w:ascii="Calibri" w:hAnsi="Calibri"/>
          <w:color w:val="222222"/>
          <w:sz w:val="22"/>
        </w:rPr>
        <w:t>O escopo empírico atual é deliberadamente limitado. VFMF representa o Sleeve 1 e VB representa o Sleeve 2 no teste por ETFs. Essa simplificação permite validar a mecânica do fundo, mas não testa as seleções de ações prometidas pela estratégia.</w:t>
      </w:r>
    </w:p>
    <w:p>
      <w:pPr>
        <w:pStyle w:val="Heading2"/>
        <w:keepNext/>
        <w:keepLines/>
        <w:widowControl/>
      </w:pPr>
      <w:r>
        <w:t>Critérios de sucesso</w:t>
      </w:r>
    </w:p>
    <w:p>
      <w:pPr>
        <w:pStyle w:val="ListParagraph"/>
        <w:spacing w:before="0" w:after="80" w:line="290" w:lineRule="auto"/>
        <w:numPr>
          <w:ilvl w:val="0"/>
          <w:numId w:val="10"/>
        </w:numPr>
        <w:keepNext/>
        <w:keepLines/>
        <w:widowControl/>
      </w:pPr>
      <w:r>
        <w:rPr>
          <w:rFonts w:ascii="Calibri" w:hAnsi="Calibri"/>
          <w:color w:val="222222"/>
          <w:sz w:val="22"/>
        </w:rPr>
        <w:t>Sinais calculados apenas com informações disponíveis na data da decisão.</w:t>
      </w:r>
    </w:p>
    <w:p>
      <w:pPr>
        <w:pStyle w:val="ListParagraph"/>
        <w:spacing w:before="0" w:after="80" w:line="290" w:lineRule="auto"/>
        <w:numPr>
          <w:ilvl w:val="0"/>
          <w:numId w:val="10"/>
        </w:numPr>
        <w:keepNext/>
        <w:keepLines/>
        <w:widowControl/>
      </w:pPr>
      <w:r>
        <w:rPr>
          <w:rFonts w:ascii="Calibri" w:hAnsi="Calibri"/>
          <w:color w:val="222222"/>
          <w:sz w:val="22"/>
        </w:rPr>
        <w:t>Execução mensal defasada em um período, sem uso do fechamento futuro.</w:t>
      </w:r>
    </w:p>
    <w:p>
      <w:pPr>
        <w:pStyle w:val="ListParagraph"/>
        <w:spacing w:before="0" w:after="80" w:line="290" w:lineRule="auto"/>
        <w:numPr>
          <w:ilvl w:val="0"/>
          <w:numId w:val="10"/>
        </w:numPr>
        <w:keepNext/>
        <w:keepLines/>
        <w:widowControl/>
      </w:pPr>
      <w:r>
        <w:rPr>
          <w:rFonts w:ascii="Calibri" w:hAnsi="Calibri"/>
          <w:color w:val="222222"/>
          <w:sz w:val="22"/>
        </w:rPr>
        <w:t>Pesos consolidados não negativos e integralmente investidos.</w:t>
      </w:r>
    </w:p>
    <w:p>
      <w:pPr>
        <w:pStyle w:val="ListParagraph"/>
        <w:spacing w:before="0" w:after="80" w:line="290" w:lineRule="auto"/>
        <w:numPr>
          <w:ilvl w:val="0"/>
          <w:numId w:val="10"/>
        </w:numPr>
        <w:keepNext/>
        <w:keepLines/>
        <w:widowControl/>
      </w:pPr>
      <w:r>
        <w:rPr>
          <w:rFonts w:ascii="Calibri" w:hAnsi="Calibri"/>
          <w:color w:val="222222"/>
          <w:sz w:val="22"/>
        </w:rPr>
        <w:t>Dados, parâmetros, resultados e limitações preservados de forma auditável.</w:t>
      </w:r>
    </w:p>
    <w:p>
      <w:pPr>
        <w:pStyle w:val="ListParagraph"/>
        <w:spacing w:before="0" w:after="80" w:line="290" w:lineRule="auto"/>
        <w:numPr>
          <w:ilvl w:val="0"/>
          <w:numId w:val="10"/>
        </w:numPr>
        <w:keepLines/>
        <w:widowControl/>
      </w:pPr>
      <w:r>
        <w:rPr>
          <w:rFonts w:ascii="Calibri" w:hAnsi="Calibri"/>
          <w:color w:val="222222"/>
          <w:sz w:val="22"/>
        </w:rPr>
        <w:t>Separação explícita entre evidência preliminar, hipótese de pesquisa e uso real.</w:t>
      </w:r>
    </w:p>
    <w:p>
      <w:pPr>
        <w:pStyle w:val="Heading1"/>
        <w:keepNext/>
        <w:keepLines/>
        <w:widowControl/>
      </w:pPr>
      <w:r>
        <w:t>2. Arquitetura da estratégia</w:t>
      </w:r>
    </w:p>
    <w:tbl>
      <w:tblPr>
        <w:tblW w:w="9360" w:type="dxa"/>
        <w:tblLook w:firstColumn="1" w:firstRow="1" w:lastColumn="0" w:lastRow="0" w:noHBand="0" w:noVBand="1" w:val="04A0"/>
        <w:jc w:val="left"/>
        <w:tblBorders>
          <w:top w:val="single" w:sz="4" w:space="0" w:color="B7C1CC"/>
          <w:left w:val="single" w:sz="4" w:space="0" w:color="B7C1CC"/>
          <w:bottom w:val="single" w:sz="4" w:space="0" w:color="B7C1CC"/>
          <w:right w:val="single" w:sz="4" w:space="0" w:color="B7C1CC"/>
          <w:insideH w:val="single" w:sz="4" w:space="0" w:color="B7C1CC"/>
          <w:insideV w:val="single" w:sz="4" w:space="0" w:color="B7C1CC"/>
        </w:tblBorders>
        <w:tblInd w:w="120" w:type="dxa"/>
        <w:tblLayout w:type="fixed"/>
      </w:tblPr>
      <w:tblGrid>
        <w:gridCol w:w="1500"/>
        <w:gridCol w:w="2700"/>
        <w:gridCol w:w="2950"/>
        <w:gridCol w:w="2210"/>
      </w:tblGrid>
      <w:tr>
        <w:trPr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203748"/>
                <w:sz w:val="18"/>
              </w:rPr>
              <w:t>Componente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203748"/>
                <w:sz w:val="18"/>
              </w:rPr>
              <w:t>Sinal principal</w:t>
            </w:r>
          </w:p>
        </w:tc>
        <w:tc>
          <w:tcPr>
            <w:tcW w:type="dxa" w:w="2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203748"/>
                <w:sz w:val="18"/>
              </w:rPr>
              <w:t>Formação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203748"/>
                <w:sz w:val="18"/>
              </w:rPr>
              <w:t>Papel no fundo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Sleeve 1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Tamanho, valor, rentabilidade e investimento</w:t>
            </w:r>
          </w:p>
        </w:tc>
        <w:tc>
          <w:tcPr>
            <w:tcW w:type="dxa" w:w="2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Top 50; peso igual na formação anual; pesos derivados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Prêmio multifatorial de ações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Sleeve 2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Momentum 12-1 e reversão de 1 mês</w:t>
            </w:r>
          </w:p>
        </w:tc>
        <w:tc>
          <w:tcPr>
            <w:tcW w:type="dxa" w:w="2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Top 5%; peso igual; rebalanceamento mensal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Seleção técnica de small caps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Sleeve 3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Retorno ajustado do BIL</w:t>
            </w:r>
          </w:p>
        </w:tc>
        <w:tc>
          <w:tcPr>
            <w:tcW w:type="dxa" w:w="2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Peso integral no instrumento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Reserva defensiva de baixa duração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Regime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Z-score de 36 meses do BAA10Y</w:t>
            </w:r>
          </w:p>
        </w:tc>
        <w:tc>
          <w:tcPr>
            <w:tcW w:type="dxa" w:w="2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Entrada &gt; 1,0; saída &lt; 0,5; efeito em t+1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Migração do Sleeve 2 para BIL em estresse</w:t>
            </w:r>
          </w:p>
        </w:tc>
      </w:tr>
    </w:tbl>
    <w:p>
      <w:pPr>
        <w:spacing w:before="0" w:after="80"/>
      </w:pPr>
    </w:p>
    <w:p>
      <w:pPr>
        <w:pStyle w:val="Heading2"/>
        <w:keepNext/>
        <w:keepLines/>
        <w:widowControl/>
      </w:pPr>
      <w:r>
        <w:t>2.1 Sleeve 1: fatores fundamentalistas</w:t>
      </w:r>
    </w:p>
    <w:p>
      <w:pPr>
        <w:keepLines/>
        <w:widowControl/>
      </w:pPr>
      <w:r>
        <w:rPr>
          <w:rFonts w:ascii="Calibri" w:hAnsi="Calibri"/>
          <w:color w:val="222222"/>
          <w:sz w:val="22"/>
        </w:rPr>
        <w:t>A nota composta usa quatro fatores padronizados transversalmente: tamanho, valor, rentabilidade e investimento. Antes do z-score, cada fator é winsorizado nos percentis 1% e 99%. A seleção anual ocorre em junho e entra em vigor no mês seguinte. O balanço de cada empresa só é elegível quando sua available_date é anterior ou igual à data do sinal.</w:t>
      </w:r>
    </w:p>
    <w:p>
      <w:pPr>
        <w:keepLines/>
        <w:widowControl/>
      </w:pPr>
      <w:r>
        <w:rPr>
          <w:rFonts w:ascii="Calibri" w:hAnsi="Calibri"/>
          <w:color w:val="222222"/>
          <w:sz w:val="22"/>
        </w:rPr>
        <w:t>O cálculo de investimento exige intervalo entre balanços de 300 a 430 dias e o balanço mais recente não pode ter mais de 18 meses. Essas regras evitam a mistura de exercícios irregulares e o uso indefinido de informações antigas.</w:t>
      </w:r>
    </w:p>
    <w:p>
      <w:pPr>
        <w:pStyle w:val="Heading2"/>
        <w:keepNext/>
        <w:keepLines/>
        <w:widowControl/>
      </w:pPr>
      <w:r>
        <w:t>2.2 Sleeve 2: momentum, reversão e crédito</w:t>
      </w:r>
    </w:p>
    <w:p>
      <w:pPr>
        <w:keepLines/>
        <w:widowControl/>
      </w:pPr>
      <w:r>
        <w:rPr>
          <w:rFonts w:ascii="Calibri" w:hAnsi="Calibri"/>
          <w:color w:val="222222"/>
          <w:sz w:val="22"/>
        </w:rPr>
        <w:t>O momentum é calculado como P(t-1)/P(t-12)-1, excluindo o retorno mais recente; a reversão é o negativo do retorno do último mês. Os dois z-scores recebem peso de 50% e formam um ranking mensal. O estado de crédito usa histerese: entra em estresse quando o z-score supera 1,0 e só retorna ao normal abaixo de 0,5.</w:t>
      </w:r>
    </w:p>
    <w:p>
      <w:pPr>
        <w:pStyle w:val="Heading2"/>
        <w:keepNext/>
        <w:keepLines/>
        <w:widowControl/>
      </w:pPr>
      <w:r>
        <w:t>2.3 Consolidação do fundo</w:t>
      </w:r>
    </w:p>
    <w:p>
      <w:pPr>
        <w:keepLines/>
        <w:widowControl/>
      </w:pPr>
      <w:r>
        <w:rPr>
          <w:rFonts w:ascii="Calibri" w:hAnsi="Calibri"/>
          <w:color w:val="222222"/>
          <w:sz w:val="22"/>
        </w:rPr>
        <w:t>Em regime normal, os três sleeves recebem 1/3 do capital. Em estresse, o Sleeve 1 permanece com 1/3, o Sleeve 2 cai para zero e o BIL sobe para 2/3. O retorno sempre ligado do Sleeve 2 é usado na consolidação e o regime é aplicado apenas uma vez, evitando dupla penalização.</w:t>
      </w:r>
    </w:p>
    <w:p>
      <w:pPr>
        <w:pStyle w:val="Heading1"/>
        <w:keepNext/>
        <w:keepLines/>
        <w:widowControl/>
      </w:pPr>
      <w:r>
        <w:t>3. Alterações incorporadas após a auditoria</w:t>
      </w:r>
    </w:p>
    <w:p>
      <w:pPr>
        <w:pStyle w:val="Heading2"/>
        <w:keepNext/>
        <w:keepLines/>
        <w:widowControl/>
      </w:pPr>
      <w:r>
        <w:t>3.1 Substituição da série de crédito</w:t>
      </w:r>
    </w:p>
    <w:p>
      <w:pPr>
        <w:keepLines/>
        <w:widowControl/>
      </w:pPr>
      <w:r>
        <w:rPr>
          <w:rFonts w:ascii="Calibri" w:hAnsi="Calibri"/>
          <w:color w:val="222222"/>
          <w:sz w:val="22"/>
        </w:rPr>
        <w:t>A série ICE/BofA BAMLH0A0HYM2 foi substituída pelo BAA10Y. O próprio FRED informa que, desde abril de 2026, a série ICE/BofA contém somente três anos de observações. O BAA10Y é calculado como a diferença entre o rendimento corporativo Baa da Moody's e o Treasury de 10 anos e apresenta histórico oficial desde janeiro de 1986.</w:t>
      </w:r>
    </w:p>
    <w:p>
      <w:pPr>
        <w:spacing w:before="120" w:after="200" w:line="276" w:lineRule="auto"/>
        <w:ind w:left="173" w:right="173"/>
        <w:shd w:fill="F4F6F9"/>
        <w:pBdr>
          <w:left w:val="single" w:sz="18" w:space="8" w:color="7A5A00"/>
        </w:pBdr>
        <w:keepLines/>
        <w:widowControl/>
      </w:pPr>
      <w:r>
        <w:rPr>
          <w:rFonts w:ascii="Calibri" w:hAnsi="Calibri"/>
          <w:b/>
          <w:color w:val="7A5A00"/>
          <w:sz w:val="21"/>
        </w:rPr>
        <w:t xml:space="preserve">Efeito da mudança: </w:t>
      </w:r>
      <w:r>
        <w:rPr>
          <w:rFonts w:ascii="Calibri" w:hAnsi="Calibri"/>
          <w:color w:val="222222"/>
          <w:sz w:val="21"/>
        </w:rPr>
        <w:t>A limitação de histórico foi eliminada sem depender de espelho não oficial. A substituição não é economicamente idêntica: BAA10Y representa crédito investment-grade, enquanto BAMLH0A0HYM2 representa high yield. Por isso, os resultados foram regenerados e os limiares devem continuar congelados até uma validação fora da amostra.</w:t>
      </w:r>
    </w:p>
    <w:p>
      <w:pPr>
        <w:pStyle w:val="Heading2"/>
        <w:keepNext/>
        <w:keepLines/>
        <w:widowControl/>
      </w:pPr>
      <w:r>
        <w:t>3.2 Pesos derivados no Sleeve 1</w:t>
      </w:r>
    </w:p>
    <w:p>
      <w:pPr>
        <w:keepLines/>
        <w:widowControl/>
      </w:pPr>
      <w:r>
        <w:rPr>
          <w:rFonts w:ascii="Calibri" w:hAnsi="Calibri"/>
          <w:color w:val="222222"/>
          <w:sz w:val="22"/>
        </w:rPr>
        <w:t>A implementação anterior repetia o peso de formação em todos os meses com ffill. Isso equivalia a rebalancear mensalmente de volta ao peso-alvo, criando giro implícito não decidido. A nova função mantém quantidades constantes entre duas formações e atualiza os pesos conforme os retornos relativos de cada ação.</w:t>
      </w:r>
    </w:p>
    <w:p>
      <w:pPr>
        <w:pStyle w:val="Heading2"/>
        <w:keepNext/>
        <w:keepLines/>
        <w:widowControl/>
      </w:pPr>
      <w:r>
        <w:t>3.3 Validação automatizada</w:t>
      </w:r>
    </w:p>
    <w:p>
      <w:pPr>
        <w:pStyle w:val="ListParagraph"/>
        <w:spacing w:before="0" w:after="80" w:line="290" w:lineRule="auto"/>
        <w:numPr>
          <w:ilvl w:val="0"/>
          <w:numId w:val="10"/>
        </w:numPr>
        <w:keepNext/>
        <w:keepLines/>
        <w:widowControl/>
      </w:pPr>
      <w:r>
        <w:rPr>
          <w:rFonts w:ascii="Calibri" w:hAnsi="Calibri"/>
          <w:color w:val="222222"/>
          <w:sz w:val="22"/>
        </w:rPr>
        <w:t>Lint estático: aprovado sem ocorrências.</w:t>
      </w:r>
    </w:p>
    <w:p>
      <w:pPr>
        <w:pStyle w:val="ListParagraph"/>
        <w:spacing w:before="0" w:after="80" w:line="290" w:lineRule="auto"/>
        <w:numPr>
          <w:ilvl w:val="0"/>
          <w:numId w:val="10"/>
        </w:numPr>
        <w:keepNext/>
        <w:keepLines/>
        <w:widowControl/>
      </w:pPr>
      <w:r>
        <w:rPr>
          <w:rFonts w:ascii="Calibri" w:hAnsi="Calibri"/>
          <w:color w:val="222222"/>
          <w:sz w:val="22"/>
        </w:rPr>
        <w:t>Suíte unitária: 20 de 20 testes aprovados, incluindo o novo teste de deriva de pesos.</w:t>
      </w:r>
    </w:p>
    <w:p>
      <w:pPr>
        <w:pStyle w:val="ListParagraph"/>
        <w:spacing w:before="0" w:after="80" w:line="290" w:lineRule="auto"/>
        <w:numPr>
          <w:ilvl w:val="0"/>
          <w:numId w:val="10"/>
        </w:numPr>
        <w:keepNext/>
        <w:keepLines/>
        <w:widowControl/>
      </w:pPr>
      <w:r>
        <w:rPr>
          <w:rFonts w:ascii="Calibri" w:hAnsi="Calibri"/>
          <w:color w:val="222222"/>
          <w:sz w:val="22"/>
        </w:rPr>
        <w:t>Auditoria do backtest por proxies: 12 de 12 verificações aprovadas.</w:t>
      </w:r>
    </w:p>
    <w:p>
      <w:pPr>
        <w:pStyle w:val="ListParagraph"/>
        <w:spacing w:before="0" w:after="80" w:line="290" w:lineRule="auto"/>
        <w:numPr>
          <w:ilvl w:val="0"/>
          <w:numId w:val="10"/>
        </w:numPr>
        <w:keepLines/>
        <w:widowControl/>
      </w:pPr>
      <w:r>
        <w:rPr>
          <w:rFonts w:ascii="Calibri" w:hAnsi="Calibri"/>
          <w:color w:val="222222"/>
          <w:sz w:val="22"/>
        </w:rPr>
        <w:t>Histórico BAA10Y coletado: 487 meses, de janeiro de 1986 a julho de 2026.</w:t>
      </w:r>
    </w:p>
    <w:p>
      <w:pPr>
        <w:pStyle w:val="Heading1"/>
        <w:keepNext/>
        <w:keepLines/>
        <w:widowControl/>
      </w:pPr>
      <w:r>
        <w:t>4. Dados, proveniência e estado de prontidão</w:t>
      </w:r>
    </w:p>
    <w:tbl>
      <w:tblPr>
        <w:tblW w:w="9360" w:type="dxa"/>
        <w:tblLook w:firstColumn="1" w:firstRow="1" w:lastColumn="0" w:lastRow="0" w:noHBand="0" w:noVBand="1" w:val="04A0"/>
        <w:jc w:val="left"/>
        <w:tblBorders>
          <w:top w:val="single" w:sz="4" w:space="0" w:color="B7C1CC"/>
          <w:left w:val="single" w:sz="4" w:space="0" w:color="B7C1CC"/>
          <w:bottom w:val="single" w:sz="4" w:space="0" w:color="B7C1CC"/>
          <w:right w:val="single" w:sz="4" w:space="0" w:color="B7C1CC"/>
          <w:insideH w:val="single" w:sz="4" w:space="0" w:color="B7C1CC"/>
          <w:insideV w:val="single" w:sz="4" w:space="0" w:color="B7C1CC"/>
        </w:tblBorders>
        <w:tblInd w:w="120" w:type="dxa"/>
        <w:tblLayout w:type="fixed"/>
      </w:tblPr>
      <w:tblGrid>
        <w:gridCol w:w="2050"/>
        <w:gridCol w:w="1500"/>
        <w:gridCol w:w="5810"/>
      </w:tblGrid>
      <w:tr>
        <w:trPr>
          <w:tblHeader w:val="true"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203748"/>
                <w:sz w:val="18"/>
              </w:rPr>
              <w:t>Bloco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203748"/>
                <w:sz w:val="18"/>
              </w:rPr>
              <w:t>Estado</w:t>
            </w:r>
          </w:p>
        </w:tc>
        <w:tc>
          <w:tcPr>
            <w:tcW w:type="dxa" w:w="5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203748"/>
                <w:sz w:val="18"/>
              </w:rPr>
              <w:t>Evidência ou pendência</w:t>
            </w:r>
          </w:p>
        </w:tc>
      </w:tr>
      <w:t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Preços de ETFs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Pronto</w:t>
            </w:r>
          </w:p>
        </w:tc>
        <w:tc>
          <w:tcPr>
            <w:tcW w:type="dxa" w:w="5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990 observações mensais; Close e Adj Close preservados</w:t>
            </w:r>
          </w:p>
        </w:tc>
      </w:tr>
      <w:t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BAA10Y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Pronto</w:t>
            </w:r>
          </w:p>
        </w:tc>
        <w:tc>
          <w:tcPr>
            <w:tcW w:type="dxa" w:w="5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487 meses oficiais do FRED; 1986-01 a 2026-07</w:t>
            </w:r>
          </w:p>
        </w:tc>
      </w:tr>
      <w:t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FF5 + Momentum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Pronto</w:t>
            </w:r>
          </w:p>
        </w:tc>
        <w:tc>
          <w:tcPr>
            <w:tcW w:type="dxa" w:w="5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755 meses completos em unidade decimal</w:t>
            </w:r>
          </w:p>
        </w:tc>
      </w:tr>
      <w:t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Universo S&amp;P 500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Com ressalva</w:t>
            </w:r>
          </w:p>
        </w:tc>
        <w:tc>
          <w:tcPr>
            <w:tcW w:type="dxa" w:w="5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503 membros atuais; não é composição histórica</w:t>
            </w:r>
          </w:p>
        </w:tc>
      </w:tr>
      <w:t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Fundamentos SEC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Pendente</w:t>
            </w:r>
          </w:p>
        </w:tc>
        <w:tc>
          <w:tcPr>
            <w:tcW w:type="dxa" w:w="5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Arquivo point-in-time ausente; SEC_USER_AGENT não definido</w:t>
            </w:r>
          </w:p>
        </w:tc>
      </w:tr>
      <w:t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Holdings VB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Pendente</w:t>
            </w:r>
          </w:p>
        </w:tc>
        <w:tc>
          <w:tcPr>
            <w:tcW w:type="dxa" w:w="5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Snapshot oficial e data as_of ainda ausentes</w:t>
            </w:r>
          </w:p>
        </w:tc>
      </w:tr>
      <w:t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resultados/quant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Não gerado</w:t>
            </w:r>
          </w:p>
        </w:tc>
        <w:tc>
          <w:tcPr>
            <w:tcW w:type="dxa" w:w="5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Pipeline por ações não possui os cinco CSVs de entrada</w:t>
            </w:r>
          </w:p>
        </w:tc>
      </w:tr>
    </w:tbl>
    <w:p>
      <w:pPr>
        <w:spacing w:before="0" w:after="80"/>
      </w:pPr>
    </w:p>
    <w:p>
      <w:pPr>
        <w:keepLines/>
        <w:widowControl/>
      </w:pPr>
      <w:r>
        <w:rPr>
          <w:rFonts w:ascii="Calibri" w:hAnsi="Calibri"/>
          <w:color w:val="222222"/>
          <w:sz w:val="22"/>
        </w:rPr>
        <w:t>A auditoria agregada de dados permanece em FAIL controlado por um único erro: ausência do conjunto de fundamentos SEC. Há ainda dois avisos metodológicos: viés de sobrevivência no universo atual e ausência de holdings do VB. Não houve falha na série BAA10Y nem insuficiência de histórico.</w:t>
      </w:r>
    </w:p>
    <w:p>
      <w:pPr>
        <w:pStyle w:val="Heading2"/>
        <w:keepNext/>
        <w:keepLines/>
        <w:widowControl/>
      </w:pPr>
      <w:r>
        <w:t>4.1 Controles contra look-ahead</w:t>
      </w:r>
    </w:p>
    <w:p>
      <w:pPr>
        <w:pStyle w:val="ListParagraph"/>
        <w:spacing w:before="0" w:after="80" w:line="290" w:lineRule="auto"/>
        <w:numPr>
          <w:ilvl w:val="0"/>
          <w:numId w:val="10"/>
        </w:numPr>
        <w:keepNext/>
        <w:keepLines/>
        <w:widowControl/>
      </w:pPr>
      <w:r>
        <w:rPr>
          <w:rFonts w:ascii="Calibri" w:hAnsi="Calibri"/>
          <w:color w:val="222222"/>
          <w:sz w:val="22"/>
        </w:rPr>
        <w:t>Fundamentos filtrados por available_date, nunca apenas pela data fiscal.</w:t>
      </w:r>
    </w:p>
    <w:p>
      <w:pPr>
        <w:pStyle w:val="ListParagraph"/>
        <w:spacing w:before="0" w:after="80" w:line="290" w:lineRule="auto"/>
        <w:numPr>
          <w:ilvl w:val="0"/>
          <w:numId w:val="10"/>
        </w:numPr>
        <w:keepNext/>
        <w:keepLines/>
        <w:widowControl/>
      </w:pPr>
      <w:r>
        <w:rPr>
          <w:rFonts w:ascii="Calibri" w:hAnsi="Calibri"/>
          <w:color w:val="222222"/>
          <w:sz w:val="22"/>
        </w:rPr>
        <w:t>Sinais formados no fechamento de t e aplicados ao retorno de t+1.</w:t>
      </w:r>
    </w:p>
    <w:p>
      <w:pPr>
        <w:pStyle w:val="ListParagraph"/>
        <w:spacing w:before="0" w:after="80" w:line="290" w:lineRule="auto"/>
        <w:numPr>
          <w:ilvl w:val="0"/>
          <w:numId w:val="10"/>
        </w:numPr>
        <w:keepNext/>
        <w:keepLines/>
        <w:widowControl/>
      </w:pPr>
      <w:r>
        <w:rPr>
          <w:rFonts w:ascii="Calibri" w:hAnsi="Calibri"/>
          <w:color w:val="222222"/>
          <w:sz w:val="22"/>
        </w:rPr>
        <w:t>Mês corrente incompleto removido antes do cálculo.</w:t>
      </w:r>
    </w:p>
    <w:p>
      <w:pPr>
        <w:pStyle w:val="ListParagraph"/>
        <w:spacing w:before="0" w:after="80" w:line="290" w:lineRule="auto"/>
        <w:numPr>
          <w:ilvl w:val="0"/>
          <w:numId w:val="10"/>
        </w:numPr>
        <w:keepNext/>
        <w:keepLines/>
        <w:widowControl/>
      </w:pPr>
      <w:r>
        <w:rPr>
          <w:rFonts w:ascii="Calibri" w:hAnsi="Calibri"/>
          <w:color w:val="222222"/>
          <w:sz w:val="22"/>
        </w:rPr>
        <w:t>Retornos faltantes de posições ativas não são tratados como zero.</w:t>
      </w:r>
    </w:p>
    <w:p>
      <w:pPr>
        <w:pStyle w:val="ListParagraph"/>
        <w:spacing w:before="0" w:after="80" w:line="290" w:lineRule="auto"/>
        <w:numPr>
          <w:ilvl w:val="0"/>
          <w:numId w:val="10"/>
        </w:numPr>
        <w:keepLines/>
        <w:widowControl/>
      </w:pPr>
      <w:r>
        <w:rPr>
          <w:rFonts w:ascii="Calibri" w:hAnsi="Calibri"/>
          <w:color w:val="222222"/>
          <w:sz w:val="22"/>
        </w:rPr>
        <w:t>Preços ajustados usados para retorno; preço não ajustado reservado ao valor de mercado.</w:t>
      </w:r>
    </w:p>
    <w:p>
      <w:r>
        <w:br w:type="page"/>
      </w:r>
    </w:p>
    <w:p>
      <w:pPr>
        <w:pStyle w:val="Heading1"/>
        <w:keepNext/>
        <w:keepLines/>
        <w:widowControl/>
      </w:pPr>
      <w:r>
        <w:t>5. Resultados do backtest preliminar</w:t>
      </w:r>
    </w:p>
    <w:p>
      <w:pPr>
        <w:keepLines/>
        <w:widowControl/>
      </w:pPr>
      <w:r>
        <w:rPr>
          <w:rFonts w:ascii="Calibri" w:hAnsi="Calibri"/>
          <w:color w:val="222222"/>
          <w:sz w:val="22"/>
        </w:rPr>
        <w:t>Período comum: março de 2018 a julho de 2026, com 101 observações mensais. O Sharpe é calculado sobre o excesso de retorno em relação ao BIL. As séries líquidas descontam 10 pontos-base por unidade de giro do overlay, mas ainda não incluem o turnover do stock-picking.</w:t>
      </w:r>
    </w:p>
    <w:tbl>
      <w:tblPr>
        <w:tblW w:w="9360" w:type="dxa"/>
        <w:tblLook w:firstColumn="1" w:firstRow="1" w:lastColumn="0" w:lastRow="0" w:noHBand="0" w:noVBand="1" w:val="04A0"/>
        <w:jc w:val="left"/>
        <w:tblBorders>
          <w:top w:val="single" w:sz="4" w:space="0" w:color="B7C1CC"/>
          <w:left w:val="single" w:sz="4" w:space="0" w:color="B7C1CC"/>
          <w:bottom w:val="single" w:sz="4" w:space="0" w:color="B7C1CC"/>
          <w:right w:val="single" w:sz="4" w:space="0" w:color="B7C1CC"/>
          <w:insideH w:val="single" w:sz="4" w:space="0" w:color="B7C1CC"/>
          <w:insideV w:val="single" w:sz="4" w:space="0" w:color="B7C1CC"/>
        </w:tblBorders>
        <w:tblInd w:w="120" w:type="dxa"/>
        <w:tblLayout w:type="fixed"/>
      </w:tblPr>
      <w:tblGrid>
        <w:gridCol w:w="3130"/>
        <w:gridCol w:w="1246"/>
        <w:gridCol w:w="1246"/>
        <w:gridCol w:w="1246"/>
        <w:gridCol w:w="1246"/>
        <w:gridCol w:w="1246"/>
      </w:tblGrid>
      <w:tr>
        <w:trPr>
          <w:tblHeader w:val="true"/>
        </w:trPr>
        <w:tc>
          <w:tcPr>
            <w:tcW w:type="dxa" w:w="3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203748"/>
                <w:sz w:val="18"/>
              </w:rPr>
              <w:t>Série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CAGR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Vol.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Sharpe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Max DD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Ret. acum.</w:t>
            </w:r>
          </w:p>
        </w:tc>
      </w:tr>
      <w:tr>
        <w:tc>
          <w:tcPr>
            <w:tcW w:type="dxa" w:w="3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VFMF (proxy Sleeve 1)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12,78%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18,66%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0,61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-30,35%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175,22%</w:t>
            </w:r>
          </w:p>
        </w:tc>
      </w:tr>
      <w:tr>
        <w:tc>
          <w:tcPr>
            <w:tcW w:type="dxa" w:w="3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VB sempre ligado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10,35%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20,68%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0,46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-30,06%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129,04%</w:t>
            </w:r>
          </w:p>
        </w:tc>
      </w:tr>
      <w:tr>
        <w:tc>
          <w:tcPr>
            <w:tcW w:type="dxa" w:w="3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VB com regime, líquido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7,59%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17,50%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0,36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-24,43%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85,09%</w:t>
            </w:r>
          </w:p>
        </w:tc>
      </w:tr>
      <w:tr>
        <w:tc>
          <w:tcPr>
            <w:tcW w:type="dxa" w:w="3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Fundo proxy, líquido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8,03%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11,50%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-13,72%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91,58%</w:t>
            </w:r>
          </w:p>
        </w:tc>
      </w:tr>
      <w:tr>
        <w:tc>
          <w:tcPr>
            <w:tcW w:type="dxa" w:w="3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Benchmark 2/3 SPY + 1/3 BIL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10,73%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10,96%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0,76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-16,13%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135,83%</w:t>
            </w:r>
          </w:p>
        </w:tc>
      </w:tr>
      <w:tr>
        <w:tc>
          <w:tcPr>
            <w:tcW w:type="dxa" w:w="3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SPY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14,53%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16,44%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0,76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-23,93%</w:t>
            </w:r>
          </w:p>
        </w:tc>
        <w:tc>
          <w:tcPr>
            <w:tcW w:type="dxa" w:w="1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213,24%</w:t>
            </w:r>
          </w:p>
        </w:tc>
      </w:tr>
    </w:tbl>
    <w:p>
      <w:pPr>
        <w:spacing w:before="0" w:after="80"/>
      </w:pPr>
    </w:p>
    <w:p>
      <w:pPr>
        <w:pStyle w:val="Heading2"/>
        <w:keepNext/>
        <w:keepLines/>
        <w:widowControl/>
      </w:pPr>
      <w:r>
        <w:t>5.1 Leitura dos resultados</w:t>
      </w:r>
    </w:p>
    <w:p>
      <w:pPr>
        <w:keepLines/>
        <w:widowControl/>
      </w:pPr>
      <w:r>
        <w:rPr>
          <w:rFonts w:ascii="Calibri" w:hAnsi="Calibri"/>
          <w:color w:val="222222"/>
          <w:sz w:val="22"/>
        </w:rPr>
        <w:t>O filtro de crédito reduziu o drawdown máximo do VB em 5,63 pontos percentuais, saindo de 30,06% para 24,43% em magnitude, mas também reduziu o CAGR em 2,76 pontos e o Sharpe de 0,46 para 0,36. Assim, a proteção teve custo econômico relevante.</w:t>
      </w:r>
    </w:p>
    <w:p>
      <w:pPr>
        <w:keepLines/>
        <w:widowControl/>
      </w:pPr>
      <w:r>
        <w:rPr>
          <w:rFonts w:ascii="Calibri" w:hAnsi="Calibri"/>
          <w:color w:val="222222"/>
          <w:sz w:val="22"/>
        </w:rPr>
        <w:t>O fundo proxy líquido teve drawdown 2,41 pontos percentuais menos profundo que o benchmark, porém ficou 2,70 pontos abaixo em CAGR e 0,25 abaixo em Sharpe. A evidência atual favorece a interpretação de controle de risco parcial, não de geração comprovada de alfa.</w:t>
      </w:r>
    </w:p>
    <w:p>
      <w:pPr>
        <w:spacing w:before="80" w:after="80"/>
        <w:jc w:val="center"/>
        <w:keepNext/>
        <w:keepLines/>
        <w:widowControl/>
      </w:pPr>
      <w:r>
        <w:rPr>
          <w:rFonts w:ascii="Calibri" w:hAnsi="Calibri"/>
          <w:i/>
          <w:color w:val="666666"/>
          <w:sz w:val="18"/>
        </w:rPr>
        <w:t>Figura 1. Curvas de capital do fundo proxy, benchmark e VB.</w:t>
      </w:r>
    </w:p>
    <w:p>
      <w:pPr>
        <w:spacing w:before="0" w:after="160"/>
        <w:jc w:val="center"/>
        <w:keepLines/>
        <w:widowControl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1" name="Picture 1" descr="Curvas de capital mensais de 2018 a 2026. O benchmark termina acima do fundo proxy, e o VB com regime termina abaixo do VB sempre ligado." title="Figura 1. Curvas de capital do fundo proxy, benchmark e VB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urvas_capit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keepLines/>
        <w:widowControl/>
      </w:pPr>
      <w:r>
        <w:t>6. Regime de crédito</w:t>
      </w:r>
    </w:p>
    <w:p>
      <w:pPr>
        <w:keepLines/>
        <w:widowControl/>
      </w:pPr>
      <w:r>
        <w:rPr>
          <w:rFonts w:ascii="Calibri" w:hAnsi="Calibri"/>
          <w:color w:val="222222"/>
          <w:sz w:val="22"/>
        </w:rPr>
        <w:t>O BAA10Y permitiu observar o comportamento do z-score ao longo de múltiplos ciclos. O gráfico preserva a janela de 36 meses, a histerese 1,0/0,5 e a defasagem de um mês. No período investível comum, nove meses foram classificados como estresse aplicado.</w:t>
      </w:r>
    </w:p>
    <w:p>
      <w:pPr>
        <w:spacing w:before="80" w:after="80"/>
        <w:jc w:val="center"/>
        <w:keepNext/>
        <w:keepLines/>
        <w:widowControl/>
      </w:pPr>
      <w:r>
        <w:rPr>
          <w:rFonts w:ascii="Calibri" w:hAnsi="Calibri"/>
          <w:i/>
          <w:color w:val="666666"/>
          <w:sz w:val="18"/>
        </w:rPr>
        <w:t>Figura 2. Z-score do BAA10Y, limiares de histerese e meses de estresse.</w:t>
      </w:r>
    </w:p>
    <w:p>
      <w:pPr>
        <w:spacing w:before="0" w:after="160"/>
        <w:jc w:val="center"/>
        <w:keepLines/>
        <w:widowControl/>
      </w:pPr>
      <w:r>
        <w:drawing>
          <wp:inline xmlns:a="http://schemas.openxmlformats.org/drawingml/2006/main" xmlns:pic="http://schemas.openxmlformats.org/drawingml/2006/picture">
            <wp:extent cx="5806440" cy="2419350"/>
            <wp:docPr id="2" name="Picture 2" descr="Série histórica do z-score BAA10Y de 1989 a 2026, com linha de entrada em 1,0, saída em 0,5 e áreas sombreadas para o regime aplicado de estresse." title="Figura 2. Z-score do BAA10Y, limiares de histerese e meses de estres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gime_credi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19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="276" w:lineRule="auto"/>
        <w:ind w:left="173" w:right="173"/>
        <w:shd w:fill="F4F6F9"/>
        <w:pBdr>
          <w:left w:val="single" w:sz="18" w:space="8" w:color="7A5A00"/>
        </w:pBdr>
        <w:keepLines/>
        <w:widowControl/>
      </w:pPr>
      <w:r>
        <w:rPr>
          <w:rFonts w:ascii="Calibri" w:hAnsi="Calibri"/>
          <w:b/>
          <w:color w:val="7A5A00"/>
          <w:sz w:val="21"/>
        </w:rPr>
        <w:t xml:space="preserve">Interpretação: </w:t>
      </w:r>
      <w:r>
        <w:rPr>
          <w:rFonts w:ascii="Calibri" w:hAnsi="Calibri"/>
          <w:color w:val="222222"/>
          <w:sz w:val="21"/>
        </w:rPr>
        <w:t>O indicador reage de forma clara a diversos episódios de estresse, mas sua capacidade de temporização deve ser julgada pelo resultado fora da amostra. O backtest proxy não sustenta a afirmação de que o overlay agrega valor.</w:t>
      </w:r>
    </w:p>
    <w:p>
      <w:r>
        <w:br w:type="page"/>
      </w:r>
    </w:p>
    <w:p>
      <w:pPr>
        <w:pStyle w:val="Heading1"/>
        <w:keepNext/>
        <w:keepLines/>
        <w:widowControl/>
      </w:pPr>
      <w:r>
        <w:t>7. Diversificação e escolha do proxy small-cap</w:t>
      </w:r>
    </w:p>
    <w:tbl>
      <w:tblPr>
        <w:tblW w:w="9360" w:type="dxa"/>
        <w:tblLook w:firstColumn="1" w:firstRow="1" w:lastColumn="0" w:lastRow="0" w:noHBand="0" w:noVBand="1" w:val="04A0"/>
        <w:jc w:val="left"/>
        <w:tblBorders>
          <w:top w:val="single" w:sz="4" w:space="0" w:color="B7C1CC"/>
          <w:left w:val="single" w:sz="4" w:space="0" w:color="B7C1CC"/>
          <w:bottom w:val="single" w:sz="4" w:space="0" w:color="B7C1CC"/>
          <w:right w:val="single" w:sz="4" w:space="0" w:color="B7C1CC"/>
          <w:insideH w:val="single" w:sz="4" w:space="0" w:color="B7C1CC"/>
          <w:insideV w:val="single" w:sz="4" w:space="0" w:color="B7C1CC"/>
        </w:tblBorders>
        <w:tblInd w:w="120" w:type="dxa"/>
        <w:tblLayout w:type="fixed"/>
      </w:tblPr>
      <w:tblGrid>
        <w:gridCol w:w="2000"/>
        <w:gridCol w:w="2300"/>
        <w:gridCol w:w="2700"/>
        <w:gridCol w:w="2360"/>
      </w:tblGrid>
      <w:tr>
        <w:trPr>
          <w:tblHeader w:val="true"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203748"/>
                <w:sz w:val="18"/>
              </w:rPr>
              <w:t>Proxy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Correlação geral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Correlação em crises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Selecionado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IWM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-0,290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-0,411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VB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-0,370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-0,524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IJR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-0,237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-0,337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</w:tbl>
    <w:p>
      <w:pPr>
        <w:spacing w:before="0" w:after="80"/>
      </w:pPr>
    </w:p>
    <w:p>
      <w:pPr>
        <w:keepLines/>
        <w:widowControl/>
      </w:pPr>
      <w:r>
        <w:rPr>
          <w:rFonts w:ascii="Calibri" w:hAnsi="Calibri"/>
          <w:color w:val="222222"/>
          <w:sz w:val="22"/>
        </w:rPr>
        <w:t>O VB foi mantido como proxy do Sleeve 2 por apresentar a correlação mais negativa entre retorno relativo ao SPY e variação do BAA10Y nas janelas de crise predefinidas. Essa regra de escolha é externa ao payoff do backtest.</w:t>
      </w:r>
    </w:p>
    <w:p>
      <w:pPr>
        <w:spacing w:before="80" w:after="80"/>
        <w:jc w:val="center"/>
        <w:keepNext/>
        <w:keepLines/>
        <w:widowControl/>
      </w:pPr>
      <w:r>
        <w:rPr>
          <w:rFonts w:ascii="Calibri" w:hAnsi="Calibri"/>
          <w:i/>
          <w:color w:val="666666"/>
          <w:sz w:val="18"/>
        </w:rPr>
        <w:t>Figura 3. Correlação mensal entre os sleeves representados por ETFs.</w:t>
      </w:r>
    </w:p>
    <w:p>
      <w:pPr>
        <w:spacing w:before="0" w:after="160"/>
        <w:jc w:val="center"/>
        <w:keepLines/>
        <w:widowControl/>
      </w:pPr>
      <w:r>
        <w:drawing>
          <wp:inline xmlns:a="http://schemas.openxmlformats.org/drawingml/2006/main" xmlns:pic="http://schemas.openxmlformats.org/drawingml/2006/picture">
            <wp:extent cx="4343400" cy="3722914"/>
            <wp:docPr id="3" name="Picture 3" descr="Matriz de correlação mostrando 0,96 entre VFMF e VB, -0,04 entre VFMF e BIL e -0,06 entre VB e BIL." title="Figura 3. Correlação mensal entre os sleeves representados por ETF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atriz_correl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722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</w:pPr>
      <w:r>
        <w:rPr>
          <w:rFonts w:ascii="Calibri" w:hAnsi="Calibri"/>
          <w:color w:val="222222"/>
          <w:sz w:val="22"/>
        </w:rPr>
        <w:t>A correlação de 0,96 entre VFMF e VB é alta e não confirma a tese de dois motores pouco correlacionados. Essa conclusão é específica aos proxies. O teste correto deverá usar retornos ativos das carteiras de ações point-in-time.</w:t>
      </w:r>
    </w:p>
    <w:p>
      <w:r>
        <w:br w:type="page"/>
      </w:r>
    </w:p>
    <w:p>
      <w:pPr>
        <w:pStyle w:val="Heading1"/>
        <w:keepNext/>
        <w:keepLines/>
        <w:widowControl/>
      </w:pPr>
      <w:r>
        <w:t>8. Risco, dinheiro real e maturidade operacional</w:t>
      </w:r>
    </w:p>
    <w:p>
      <w:pPr>
        <w:spacing w:before="80" w:after="80"/>
        <w:jc w:val="center"/>
        <w:keepNext/>
        <w:keepLines/>
        <w:widowControl/>
      </w:pPr>
      <w:r>
        <w:rPr>
          <w:rFonts w:ascii="Calibri" w:hAnsi="Calibri"/>
          <w:i/>
          <w:color w:val="666666"/>
          <w:sz w:val="18"/>
        </w:rPr>
        <w:t>Figura 4. Drawdown do fundo proxy líquido e do benchmark.</w:t>
      </w:r>
    </w:p>
    <w:p>
      <w:pPr>
        <w:spacing w:before="0" w:after="160"/>
        <w:jc w:val="center"/>
        <w:keepLines/>
        <w:widowControl/>
      </w:pPr>
      <w:r>
        <w:drawing>
          <wp:inline xmlns:a="http://schemas.openxmlformats.org/drawingml/2006/main" xmlns:pic="http://schemas.openxmlformats.org/drawingml/2006/picture">
            <wp:extent cx="5806440" cy="2419350"/>
            <wp:docPr id="4" name="Picture 4" descr="Drawdowns mensais de 2018 a 2026. O fundo proxy atinge cerca de -13,7% e o benchmark cerca de -16,1% no pior ponto." title="Figura 4. Drawdown do fundo proxy líquido e do benchmar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rawdow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19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  <w:widowControl/>
      </w:pPr>
      <w:r>
        <w:t>8.1 É possível ganhar dinheiro real?</w:t>
      </w:r>
    </w:p>
    <w:p>
      <w:pPr>
        <w:keepLines/>
        <w:widowControl/>
      </w:pPr>
      <w:r>
        <w:rPr>
          <w:rFonts w:ascii="Calibri" w:hAnsi="Calibri"/>
          <w:color w:val="222222"/>
          <w:sz w:val="22"/>
        </w:rPr>
        <w:t>É possível que uma estratégia sistemática gere retorno real, mas o resultado atual não demonstra isso para o stock-picking da VCapital. O fundo proxy cresceu no período, porém ficou abaixo do benchmark em retorno e Sharpe. Além disso, faltam custos completos, slippage, liquidez por ação, impostos, latência, falhas de ordem, reconciliação e monitoramento de risco intradiário.</w:t>
      </w:r>
    </w:p>
    <w:p>
      <w:pPr>
        <w:spacing w:before="120" w:after="200" w:line="276" w:lineRule="auto"/>
        <w:ind w:left="173" w:right="173"/>
        <w:shd w:fill="F4F6F9"/>
        <w:pBdr>
          <w:left w:val="single" w:sz="18" w:space="8" w:color="9B1C1C"/>
        </w:pBdr>
        <w:keepLines/>
        <w:widowControl/>
      </w:pPr>
      <w:r>
        <w:rPr>
          <w:rFonts w:ascii="Calibri" w:hAnsi="Calibri"/>
          <w:b/>
          <w:color w:val="9B1C1C"/>
          <w:sz w:val="21"/>
        </w:rPr>
        <w:t xml:space="preserve">Veredito de go-live: </w:t>
      </w:r>
      <w:r>
        <w:rPr>
          <w:rFonts w:ascii="Calibri" w:hAnsi="Calibri"/>
          <w:color w:val="222222"/>
          <w:sz w:val="21"/>
        </w:rPr>
        <w:t>Não alocar capital real com base apenas neste relatório. A sequência prudente é paper trading realista, shadow live com alertas e ordens simuladas, e somente depois um piloto de capital pequeno com limites duros e kill-switch.</w:t>
      </w:r>
    </w:p>
    <w:p>
      <w:pPr>
        <w:pStyle w:val="Heading2"/>
        <w:keepNext/>
        <w:keepLines/>
        <w:widowControl/>
      </w:pPr>
      <w:r>
        <w:t>8.2 Roteiro de maturidade</w:t>
      </w:r>
    </w:p>
    <w:p>
      <w:pPr>
        <w:pStyle w:val="ListParagraph"/>
        <w:spacing w:before="0" w:after="80" w:line="290" w:lineRule="auto"/>
        <w:numPr>
          <w:ilvl w:val="0"/>
          <w:numId w:val="11"/>
        </w:numPr>
        <w:keepNext/>
        <w:keepLines/>
        <w:widowControl/>
      </w:pPr>
      <w:r>
        <w:rPr>
          <w:rFonts w:ascii="Calibri" w:hAnsi="Calibri"/>
          <w:color w:val="222222"/>
          <w:sz w:val="22"/>
        </w:rPr>
        <w:t>Completar fundamentos e universos point-in-time; gerar resultados/quant.</w:t>
      </w:r>
    </w:p>
    <w:p>
      <w:pPr>
        <w:pStyle w:val="ListParagraph"/>
        <w:spacing w:before="0" w:after="80" w:line="290" w:lineRule="auto"/>
        <w:numPr>
          <w:ilvl w:val="0"/>
          <w:numId w:val="11"/>
        </w:numPr>
        <w:keepNext/>
        <w:keepLines/>
        <w:widowControl/>
      </w:pPr>
      <w:r>
        <w:rPr>
          <w:rFonts w:ascii="Calibri" w:hAnsi="Calibri"/>
          <w:color w:val="222222"/>
          <w:sz w:val="22"/>
        </w:rPr>
        <w:t>Incluir custos por ativo, turnover, slippage e restrições de liquidez.</w:t>
      </w:r>
    </w:p>
    <w:p>
      <w:pPr>
        <w:pStyle w:val="ListParagraph"/>
        <w:spacing w:before="0" w:after="80" w:line="290" w:lineRule="auto"/>
        <w:numPr>
          <w:ilvl w:val="0"/>
          <w:numId w:val="11"/>
        </w:numPr>
        <w:keepNext/>
        <w:keepLines/>
        <w:widowControl/>
      </w:pPr>
      <w:r>
        <w:rPr>
          <w:rFonts w:ascii="Calibri" w:hAnsi="Calibri"/>
          <w:color w:val="222222"/>
          <w:sz w:val="22"/>
        </w:rPr>
        <w:t>Separar calibração, validação e teste verdadeiramente fora da amostra.</w:t>
      </w:r>
    </w:p>
    <w:p>
      <w:pPr>
        <w:pStyle w:val="ListParagraph"/>
        <w:spacing w:before="0" w:after="80" w:line="290" w:lineRule="auto"/>
        <w:numPr>
          <w:ilvl w:val="0"/>
          <w:numId w:val="11"/>
        </w:numPr>
        <w:keepNext/>
        <w:keepLines/>
        <w:widowControl/>
      </w:pPr>
      <w:r>
        <w:rPr>
          <w:rFonts w:ascii="Calibri" w:hAnsi="Calibri"/>
          <w:color w:val="222222"/>
          <w:sz w:val="22"/>
        </w:rPr>
        <w:t>Executar paper trading e comparar preço teórico, preço executável e atraso.</w:t>
      </w:r>
    </w:p>
    <w:p>
      <w:pPr>
        <w:pStyle w:val="ListParagraph"/>
        <w:spacing w:before="0" w:after="80" w:line="290" w:lineRule="auto"/>
        <w:numPr>
          <w:ilvl w:val="0"/>
          <w:numId w:val="11"/>
        </w:numPr>
        <w:keepNext/>
        <w:keepLines/>
        <w:widowControl/>
      </w:pPr>
      <w:r>
        <w:rPr>
          <w:rFonts w:ascii="Calibri" w:hAnsi="Calibri"/>
          <w:color w:val="222222"/>
          <w:sz w:val="22"/>
        </w:rPr>
        <w:t>Adicionar limites de exposição, perda diária, concentração e kill-switch.</w:t>
      </w:r>
    </w:p>
    <w:p>
      <w:pPr>
        <w:pStyle w:val="ListParagraph"/>
        <w:spacing w:before="0" w:after="80" w:line="290" w:lineRule="auto"/>
        <w:numPr>
          <w:ilvl w:val="0"/>
          <w:numId w:val="11"/>
        </w:numPr>
        <w:keepLines/>
        <w:widowControl/>
      </w:pPr>
      <w:r>
        <w:rPr>
          <w:rFonts w:ascii="Calibri" w:hAnsi="Calibri"/>
          <w:color w:val="222222"/>
          <w:sz w:val="22"/>
        </w:rPr>
        <w:t>Implementar reconciliação de posições, ordens e caixa antes de capital real.</w:t>
      </w:r>
    </w:p>
    <w:p>
      <w:pPr>
        <w:pStyle w:val="Heading1"/>
        <w:keepNext/>
        <w:keepLines/>
        <w:widowControl/>
      </w:pPr>
      <w:r>
        <w:t>9. Integração futura com TradingView</w:t>
      </w:r>
    </w:p>
    <w:p>
      <w:pPr>
        <w:keepLines/>
        <w:widowControl/>
      </w:pPr>
      <w:r>
        <w:rPr>
          <w:rFonts w:ascii="Calibri" w:hAnsi="Calibri"/>
          <w:color w:val="222222"/>
          <w:sz w:val="22"/>
        </w:rPr>
        <w:t>O repositório contém o script Pine v6 regime_credito_baa.pine. Ele consulta FRED:BAA10Y em frequência mensal, calcula o z-score, mantém o estado por histerese e expõe alertas de entrada em estresse e retorno ao normal. O sinal confirmado no fechamento do mês deve orientar a alocação do mês seguinte.</w:t>
      </w:r>
    </w:p>
    <w:p>
      <w:pPr>
        <w:keepLines/>
        <w:widowControl/>
      </w:pPr>
      <w:r>
        <w:rPr>
          <w:rFonts w:ascii="Calibri" w:hAnsi="Calibri"/>
          <w:color w:val="222222"/>
          <w:sz w:val="22"/>
        </w:rPr>
        <w:t>A integração com uma conta estudantil depende dos recursos de alertas e webhook disponíveis no plano vigente. Mesmo quando o envio de alertas estiver disponível, o TradingView deve funcionar como camada de visualização e disparo, não como substituto da base auditável nem como executor sem controles adicionais.</w:t>
      </w:r>
    </w:p>
    <w:p>
      <w:pPr>
        <w:pStyle w:val="Heading2"/>
        <w:keepNext/>
        <w:keepLines/>
        <w:widowControl/>
      </w:pPr>
      <w:r>
        <w:t>Fluxo operacional recomendado</w:t>
      </w:r>
    </w:p>
    <w:p>
      <w:pPr>
        <w:pStyle w:val="ListParagraph"/>
        <w:spacing w:before="0" w:after="80" w:line="290" w:lineRule="auto"/>
        <w:numPr>
          <w:ilvl w:val="0"/>
          <w:numId w:val="12"/>
        </w:numPr>
        <w:keepNext/>
        <w:keepLines/>
        <w:widowControl/>
      </w:pPr>
      <w:r>
        <w:rPr>
          <w:rFonts w:ascii="Calibri" w:hAnsi="Calibri"/>
          <w:color w:val="222222"/>
          <w:sz w:val="22"/>
        </w:rPr>
        <w:t>Pine calcula e confirma o estado mensal.</w:t>
      </w:r>
    </w:p>
    <w:p>
      <w:pPr>
        <w:pStyle w:val="ListParagraph"/>
        <w:spacing w:before="0" w:after="80" w:line="290" w:lineRule="auto"/>
        <w:numPr>
          <w:ilvl w:val="0"/>
          <w:numId w:val="12"/>
        </w:numPr>
        <w:keepNext/>
        <w:keepLines/>
        <w:widowControl/>
      </w:pPr>
      <w:r>
        <w:rPr>
          <w:rFonts w:ascii="Calibri" w:hAnsi="Calibri"/>
          <w:color w:val="222222"/>
          <w:sz w:val="22"/>
        </w:rPr>
        <w:t>Alerta envia payload versionado com símbolo, data, estado e hash da estratégia.</w:t>
      </w:r>
    </w:p>
    <w:p>
      <w:pPr>
        <w:pStyle w:val="ListParagraph"/>
        <w:spacing w:before="0" w:after="80" w:line="290" w:lineRule="auto"/>
        <w:numPr>
          <w:ilvl w:val="0"/>
          <w:numId w:val="12"/>
        </w:numPr>
        <w:keepNext/>
        <w:keepLines/>
        <w:widowControl/>
      </w:pPr>
      <w:r>
        <w:rPr>
          <w:rFonts w:ascii="Calibri" w:hAnsi="Calibri"/>
          <w:color w:val="222222"/>
          <w:sz w:val="22"/>
        </w:rPr>
        <w:t>Receiver valida segredo, duplicidade e janela temporal.</w:t>
      </w:r>
    </w:p>
    <w:p>
      <w:pPr>
        <w:pStyle w:val="ListParagraph"/>
        <w:spacing w:before="0" w:after="80" w:line="290" w:lineRule="auto"/>
        <w:numPr>
          <w:ilvl w:val="0"/>
          <w:numId w:val="12"/>
        </w:numPr>
        <w:keepNext/>
        <w:keepLines/>
        <w:widowControl/>
      </w:pPr>
      <w:r>
        <w:rPr>
          <w:rFonts w:ascii="Calibri" w:hAnsi="Calibri"/>
          <w:color w:val="222222"/>
          <w:sz w:val="22"/>
        </w:rPr>
        <w:t>Motor de risco transforma o sinal em ordem simulada ou autorizada.</w:t>
      </w:r>
    </w:p>
    <w:p>
      <w:pPr>
        <w:pStyle w:val="ListParagraph"/>
        <w:spacing w:before="0" w:after="80" w:line="290" w:lineRule="auto"/>
        <w:numPr>
          <w:ilvl w:val="0"/>
          <w:numId w:val="12"/>
        </w:numPr>
        <w:keepLines/>
        <w:widowControl/>
      </w:pPr>
      <w:r>
        <w:rPr>
          <w:rFonts w:ascii="Calibri" w:hAnsi="Calibri"/>
          <w:color w:val="222222"/>
          <w:sz w:val="22"/>
        </w:rPr>
        <w:t>Reconciliação confirma posição, preço, caixa e divergências.</w:t>
      </w:r>
    </w:p>
    <w:p>
      <w:pPr>
        <w:pStyle w:val="Heading1"/>
        <w:keepNext/>
        <w:keepLines/>
        <w:widowControl/>
      </w:pPr>
      <w:r>
        <w:t>10. Limitações e próximos passos</w:t>
      </w:r>
    </w:p>
    <w:tbl>
      <w:tblPr>
        <w:tblW w:w="9360" w:type="dxa"/>
        <w:tblLook w:firstColumn="1" w:firstRow="1" w:lastColumn="0" w:lastRow="0" w:noHBand="0" w:noVBand="1" w:val="04A0"/>
        <w:jc w:val="left"/>
        <w:tblBorders>
          <w:top w:val="single" w:sz="4" w:space="0" w:color="B7C1CC"/>
          <w:left w:val="single" w:sz="4" w:space="0" w:color="B7C1CC"/>
          <w:bottom w:val="single" w:sz="4" w:space="0" w:color="B7C1CC"/>
          <w:right w:val="single" w:sz="4" w:space="0" w:color="B7C1CC"/>
          <w:insideH w:val="single" w:sz="4" w:space="0" w:color="B7C1CC"/>
          <w:insideV w:val="single" w:sz="4" w:space="0" w:color="B7C1CC"/>
        </w:tblBorders>
        <w:tblInd w:w="120" w:type="dxa"/>
        <w:tblLayout w:type="fixed"/>
      </w:tblPr>
      <w:tblGrid>
        <w:gridCol w:w="2350"/>
        <w:gridCol w:w="2960"/>
        <w:gridCol w:w="4050"/>
      </w:tblGrid>
      <w:tr>
        <w:trPr>
          <w:tblHeader w:val="true"/>
        </w:trP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203748"/>
                <w:sz w:val="18"/>
              </w:rPr>
              <w:t>Limitação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203748"/>
                <w:sz w:val="18"/>
              </w:rPr>
              <w:t>Impacto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203748"/>
                <w:sz w:val="18"/>
              </w:rPr>
              <w:t>Ação necessária</w:t>
            </w:r>
          </w:p>
        </w:tc>
      </w:tr>
      <w:t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Sem backtest por ações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Hipótese principal não foi medida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Coletar dados point-in-time e executar o pipeline</w:t>
            </w:r>
          </w:p>
        </w:tc>
      </w:tr>
      <w:t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Universo atual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Viés de sobrevivência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Adquirir ou reconstruir membros por data</w:t>
            </w:r>
          </w:p>
        </w:tc>
      </w:tr>
      <w:t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Custos parciais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Retorno líquido pode estar superestimado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Modelar giro, spread, slippage e liquidez</w:t>
            </w:r>
          </w:p>
        </w:tc>
      </w:tr>
      <w:t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BAA10Y não é high yield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Exposição econômica do gatilho mudou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Validar estabilidade e congelar especificação</w:t>
            </w:r>
          </w:p>
        </w:tc>
      </w:tr>
      <w:t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Proxies muito correlacionados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Diversificação pode estar superestimada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Medir correlação de retornos ativos reais</w:t>
            </w:r>
          </w:p>
        </w:tc>
      </w:tr>
      <w:t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Fonte de preços não institucional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Risco de qualidade e revisão</w:t>
            </w:r>
          </w:p>
        </w:tc>
        <w:tc>
          <w:tcPr>
            <w:tcW w:type="dxa" w:w="4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Confirmar amostras e arquivar checksums</w:t>
            </w:r>
          </w:p>
        </w:tc>
      </w:tr>
    </w:tbl>
    <w:p>
      <w:pPr>
        <w:spacing w:before="0" w:after="80"/>
      </w:pPr>
    </w:p>
    <w:p>
      <w:pPr>
        <w:pStyle w:val="Heading2"/>
        <w:keepNext/>
        <w:keepLines/>
        <w:widowControl/>
      </w:pPr>
      <w:r>
        <w:t>Próximo marco decisivo</w:t>
      </w:r>
    </w:p>
    <w:p>
      <w:pPr>
        <w:keepLines/>
        <w:widowControl/>
      </w:pPr>
      <w:r>
        <w:rPr>
          <w:rFonts w:ascii="Calibri" w:hAnsi="Calibri"/>
          <w:color w:val="222222"/>
          <w:sz w:val="22"/>
        </w:rPr>
        <w:t>O próximo marco não é adicionar mais complexidade ao código. É gerar o primeiro resultado de stock-picking com fundamentos SEC identificados por available_date, preços ajustados, universo por data e custos explícitos. Só esse resultado poderá confirmar ou rejeitar as teses de fator, momentum, reversão e diversificação.</w:t>
      </w:r>
    </w:p>
    <w:p>
      <w:pPr>
        <w:pStyle w:val="Heading1"/>
        <w:keepNext/>
        <w:keepLines/>
        <w:widowControl/>
      </w:pPr>
      <w:r>
        <w:t>11. Conclusão</w:t>
      </w:r>
    </w:p>
    <w:p>
      <w:pPr>
        <w:keepLines/>
        <w:widowControl/>
      </w:pPr>
      <w:r>
        <w:rPr>
          <w:rFonts w:ascii="Calibri" w:hAnsi="Calibri"/>
          <w:color w:val="222222"/>
          <w:sz w:val="22"/>
        </w:rPr>
        <w:t>A VCapital encerra esta etapa com uma base técnica acima do nível de protótipo informal: arquitetura modular, parâmetros centralizados, artefatos auditáveis, defasagem correta dos sinais, 20 testes aprovados e backtest proxy com 12 de 12 verificações. A correção para BAA10Y eliminou uma limitação material de dados, e a deriva de pesos alinhou o Sleeve 1 à convenção de compra e manutenção.</w:t>
      </w:r>
    </w:p>
    <w:p>
      <w:pPr>
        <w:keepLines/>
        <w:widowControl/>
      </w:pPr>
      <w:r>
        <w:rPr>
          <w:rFonts w:ascii="Calibri" w:hAnsi="Calibri"/>
          <w:color w:val="222222"/>
          <w:sz w:val="22"/>
        </w:rPr>
        <w:t>Ao mesmo tempo, a evidência exige cautela. O overlay reduziu drawdown, mas piorou retorno e Sharpe; o fundo proxy ficou abaixo do benchmark; e a correlação de 0,96 não sustenta a diversificação prometida pelos ETFs. A qualidade do trabalho está justamente em registrar esses resultados sem transformá-los em promessa.</w:t>
      </w:r>
    </w:p>
    <w:p>
      <w:pPr>
        <w:spacing w:before="120" w:after="200" w:line="276" w:lineRule="auto"/>
        <w:ind w:left="173" w:right="173"/>
        <w:shd w:fill="F4F6F9"/>
        <w:pBdr>
          <w:left w:val="single" w:sz="18" w:space="8" w:color="2A7F7F"/>
        </w:pBdr>
        <w:keepLines/>
        <w:widowControl/>
      </w:pPr>
      <w:r>
        <w:rPr>
          <w:rFonts w:ascii="Calibri" w:hAnsi="Calibri"/>
          <w:b/>
          <w:color w:val="2A7F7F"/>
          <w:sz w:val="21"/>
        </w:rPr>
        <w:t xml:space="preserve">Status final: </w:t>
      </w:r>
      <w:r>
        <w:rPr>
          <w:rFonts w:ascii="Calibri" w:hAnsi="Calibri"/>
          <w:color w:val="222222"/>
          <w:sz w:val="21"/>
        </w:rPr>
        <w:t>Projeto apto para pesquisa reproduzível, coleta final de dados e paper trading. Não apto, nesta versão, para recomendação de investimento ou execução autônoma com capital real.</w:t>
      </w:r>
    </w:p>
    <w:p>
      <w:r>
        <w:br w:type="page"/>
      </w:r>
    </w:p>
    <w:p>
      <w:pPr>
        <w:pStyle w:val="Heading1"/>
        <w:keepNext/>
        <w:keepLines/>
        <w:widowControl/>
      </w:pPr>
      <w:r>
        <w:t>Referências e fontes</w:t>
      </w:r>
    </w:p>
    <w:p>
      <w:pPr>
        <w:spacing w:after="120"/>
        <w:ind w:left="259" w:hanging="259"/>
        <w:keepLines/>
        <w:widowControl/>
      </w:pPr>
      <w:r>
        <w:rPr>
          <w:rFonts w:ascii="Calibri" w:hAnsi="Calibri"/>
          <w:color w:val="222222"/>
          <w:sz w:val="19"/>
        </w:rPr>
        <w:t xml:space="preserve">VCapital. Repositório oficial do projeto iitauquant, contendo código, dados, testes, resultados reproduzíveis e os arquivos deste relatório. </w:t>
      </w:r>
      <w:hyperlink r:id="rId13">
        <w:r>
          <w:rPr>
            <w:color w:val="2E74B5"/>
            <w:u w:val="single"/>
          </w:rPr>
          <w:t>GitHub - arthur1535/iitauquant</w:t>
        </w:r>
      </w:hyperlink>
    </w:p>
    <w:p>
      <w:pPr>
        <w:spacing w:after="120"/>
        <w:ind w:left="259" w:hanging="259"/>
        <w:keepLines/>
        <w:widowControl/>
      </w:pPr>
      <w:r>
        <w:rPr>
          <w:rFonts w:ascii="Calibri" w:hAnsi="Calibri"/>
          <w:color w:val="222222"/>
          <w:sz w:val="19"/>
        </w:rPr>
        <w:t xml:space="preserve">Federal Reserve Bank of St. Louis. BAA10Y: Moody's Seasoned Baa Corporate Bond Yield Relative to Yield on 10-Year Treasury Constant Maturity. Série diária; histórico desde 1986. Acesso em 2 ago. 2026. </w:t>
      </w:r>
      <w:hyperlink r:id="rId18">
        <w:r>
          <w:rPr>
            <w:color w:val="2E74B5"/>
            <w:u w:val="single"/>
          </w:rPr>
          <w:t>FRED - BAA10Y</w:t>
        </w:r>
      </w:hyperlink>
    </w:p>
    <w:p>
      <w:pPr>
        <w:spacing w:after="120"/>
        <w:ind w:left="259" w:hanging="259"/>
        <w:keepLines/>
        <w:widowControl/>
      </w:pPr>
      <w:r>
        <w:rPr>
          <w:rFonts w:ascii="Calibri" w:hAnsi="Calibri"/>
          <w:color w:val="222222"/>
          <w:sz w:val="19"/>
        </w:rPr>
        <w:t xml:space="preserve">ICE Data Indices / FRED. BAMLH0A0HYM2: ICE BofA US High Yield Index Option-Adjusted Spread. Nota de que, a partir de abril de 2026, a série inclui somente três anos de observações. Acesso em 2 ago. 2026. </w:t>
      </w:r>
      <w:hyperlink r:id="rId19">
        <w:r>
          <w:rPr>
            <w:color w:val="2E74B5"/>
            <w:u w:val="single"/>
          </w:rPr>
          <w:t>FRED - BAMLH0A0HYM2</w:t>
        </w:r>
      </w:hyperlink>
    </w:p>
    <w:p>
      <w:pPr>
        <w:spacing w:after="120"/>
        <w:ind w:left="259" w:hanging="259"/>
        <w:keepLines/>
        <w:widowControl/>
      </w:pPr>
      <w:r>
        <w:rPr>
          <w:rFonts w:ascii="Calibri" w:hAnsi="Calibri"/>
          <w:color w:val="222222"/>
          <w:sz w:val="19"/>
        </w:rPr>
        <w:t xml:space="preserve">U.S. Securities and Exchange Commission. EDGAR Application Programming Interfaces: submissions e XBRL companyfacts. Acesso em 2 ago. 2026. </w:t>
      </w:r>
      <w:hyperlink r:id="rId20">
        <w:r>
          <w:rPr>
            <w:color w:val="2E74B5"/>
            <w:u w:val="single"/>
          </w:rPr>
          <w:t>SEC - EDGAR APIs</w:t>
        </w:r>
      </w:hyperlink>
    </w:p>
    <w:p>
      <w:pPr>
        <w:spacing w:after="120"/>
        <w:ind w:left="259" w:hanging="259"/>
        <w:keepLines/>
        <w:widowControl/>
      </w:pPr>
      <w:r>
        <w:rPr>
          <w:rFonts w:ascii="Calibri" w:hAnsi="Calibri"/>
          <w:color w:val="222222"/>
          <w:sz w:val="19"/>
        </w:rPr>
        <w:t xml:space="preserve">Kenneth R. French. Data Library: fatores Fama-French e Momentum. Acesso em 2 ago. 2026. </w:t>
      </w:r>
      <w:hyperlink r:id="rId21">
        <w:r>
          <w:rPr>
            <w:color w:val="2E74B5"/>
            <w:u w:val="single"/>
          </w:rPr>
          <w:t>Kenneth French Data Library</w:t>
        </w:r>
      </w:hyperlink>
    </w:p>
    <w:p>
      <w:pPr>
        <w:pStyle w:val="Heading2"/>
        <w:keepNext/>
        <w:keepLines/>
        <w:widowControl/>
      </w:pPr>
      <w:r>
        <w:t>Artefatos internos consultados</w:t>
      </w:r>
    </w:p>
    <w:p>
      <w:pPr>
        <w:pStyle w:val="ListParagraph"/>
        <w:spacing w:before="0" w:after="80" w:line="290" w:lineRule="auto"/>
        <w:numPr>
          <w:ilvl w:val="0"/>
          <w:numId w:val="10"/>
        </w:numPr>
        <w:keepNext/>
        <w:keepLines/>
        <w:widowControl/>
      </w:pPr>
      <w:r>
        <w:rPr>
          <w:rFonts w:ascii="Calibri" w:hAnsi="Calibri"/>
          <w:color w:val="222222"/>
          <w:sz w:val="22"/>
        </w:rPr>
        <w:t>quant_fund/: implementação dos sleeves, consolidação e exportação.</w:t>
      </w:r>
    </w:p>
    <w:p>
      <w:pPr>
        <w:pStyle w:val="ListParagraph"/>
        <w:spacing w:before="0" w:after="80" w:line="290" w:lineRule="auto"/>
        <w:numPr>
          <w:ilvl w:val="0"/>
          <w:numId w:val="10"/>
        </w:numPr>
        <w:keepNext/>
        <w:keepLines/>
        <w:widowControl/>
      </w:pPr>
      <w:r>
        <w:rPr>
          <w:rFonts w:ascii="Calibri" w:hAnsi="Calibri"/>
          <w:color w:val="222222"/>
          <w:sz w:val="22"/>
        </w:rPr>
        <w:t>scripts/backtest_auditoria.py: backtest preliminar, métricas, gráficos e auditoria.</w:t>
      </w:r>
    </w:p>
    <w:p>
      <w:pPr>
        <w:pStyle w:val="ListParagraph"/>
        <w:spacing w:before="0" w:after="80" w:line="290" w:lineRule="auto"/>
        <w:numPr>
          <w:ilvl w:val="0"/>
          <w:numId w:val="10"/>
        </w:numPr>
        <w:keepNext/>
        <w:keepLines/>
        <w:widowControl/>
      </w:pPr>
      <w:r>
        <w:rPr>
          <w:rFonts w:ascii="Calibri" w:hAnsi="Calibri"/>
          <w:color w:val="222222"/>
          <w:sz w:val="22"/>
        </w:rPr>
        <w:t>resultados/: manifesto, séries mensais, tabelas e imagens regeneradas.</w:t>
      </w:r>
    </w:p>
    <w:p>
      <w:pPr>
        <w:pStyle w:val="ListParagraph"/>
        <w:spacing w:before="0" w:after="80" w:line="290" w:lineRule="auto"/>
        <w:numPr>
          <w:ilvl w:val="0"/>
          <w:numId w:val="10"/>
        </w:numPr>
        <w:keepNext/>
        <w:keepLines/>
        <w:widowControl/>
      </w:pPr>
      <w:r>
        <w:rPr>
          <w:rFonts w:ascii="Calibri" w:hAnsi="Calibri"/>
          <w:color w:val="222222"/>
          <w:sz w:val="22"/>
        </w:rPr>
        <w:t>dados/STATUS_AGENTE_DADOS.md: disponibilidade, proveniência e pendências.</w:t>
      </w:r>
    </w:p>
    <w:p>
      <w:pPr>
        <w:pStyle w:val="ListParagraph"/>
        <w:spacing w:before="0" w:after="80" w:line="290" w:lineRule="auto"/>
        <w:numPr>
          <w:ilvl w:val="0"/>
          <w:numId w:val="10"/>
        </w:numPr>
        <w:keepLines/>
        <w:widowControl/>
      </w:pPr>
      <w:r>
        <w:rPr>
          <w:rFonts w:ascii="Calibri" w:hAnsi="Calibri"/>
          <w:color w:val="222222"/>
          <w:sz w:val="22"/>
        </w:rPr>
        <w:t>tests/: 20 testes unitários aprovados em 2 de agosto de 2026.</w:t>
      </w:r>
    </w:p>
    <w:p>
      <w:pPr>
        <w:spacing w:before="120" w:after="200" w:line="276" w:lineRule="auto"/>
        <w:ind w:left="173" w:right="173"/>
        <w:shd w:fill="F4F6F9"/>
        <w:pBdr>
          <w:left w:val="single" w:sz="18" w:space="8" w:color="9B1C1C"/>
        </w:pBdr>
        <w:keepLines/>
        <w:widowControl/>
      </w:pPr>
      <w:r>
        <w:rPr>
          <w:rFonts w:ascii="Calibri" w:hAnsi="Calibri"/>
          <w:b/>
          <w:color w:val="9B1C1C"/>
          <w:sz w:val="21"/>
        </w:rPr>
        <w:t xml:space="preserve">Aviso: </w:t>
      </w:r>
      <w:r>
        <w:rPr>
          <w:rFonts w:ascii="Calibri" w:hAnsi="Calibri"/>
          <w:color w:val="222222"/>
          <w:sz w:val="21"/>
        </w:rPr>
        <w:t>Documento acadêmico e informativo. Resultados passados, especialmente obtidos por proxies e simulações, não garantem desempenho futuro.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666666"/>
        <w:sz w:val="17"/>
      </w:rPr>
      <w:t xml:space="preserve">VCapital | Página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/>
        <w:b/>
        <w:color w:val="666666"/>
        <w:sz w:val="17"/>
      </w:rPr>
      <w:t>VCAPITAL</w:t>
    </w:r>
    <w:r>
      <w:tab/>
    </w:r>
    <w:r>
      <w:rPr>
        <w:rFonts w:ascii="Calibri" w:hAnsi="Calibri"/>
        <w:color w:val="666666"/>
        <w:sz w:val="17"/>
      </w:rPr>
      <w:t>Fundo sistemático multi-sleeve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github.com/arthur1535/iitauquant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hyperlink" Target="https://fred.stlouisfed.org/series/BAA10Y" TargetMode="External"/><Relationship Id="rId19" Type="http://schemas.openxmlformats.org/officeDocument/2006/relationships/hyperlink" Target="https://fred.stlouisfed.org/series/BAMLH0A0HYM2" TargetMode="External"/><Relationship Id="rId20" Type="http://schemas.openxmlformats.org/officeDocument/2006/relationships/hyperlink" Target="https://www.sec.gov/search-filings/edgar-application-programming-interfaces" TargetMode="External"/><Relationship Id="rId21" Type="http://schemas.openxmlformats.org/officeDocument/2006/relationships/hyperlink" Target="https://mba.tuck.dartmouth.edu/pages/faculty/ken.french/Data_Librar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Final - Fundo Sistemático Multi-Sleeve - VCapital</dc:title>
  <dc:subject>Desenvolvimento, auditoria técnica e validação preliminar por proxies</dc:subject>
  <dc:creator>VCapital</dc:creator>
  <cp:keywords>quantitativo, multi-sleeve, backtest, BAA10Y, TradingView, VCapital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