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0"/>
      </w:pPr>
    </w:p>
    <w:p>
      <w:pPr>
        <w:spacing w:after="320"/>
        <w:jc w:val="center"/>
      </w:pPr>
      <w:r>
        <w:rPr>
          <w:rFonts w:ascii="Calibri" w:hAnsi="Calibri"/>
          <w:b/>
          <w:color w:val="2A7F7F"/>
          <w:sz w:val="20"/>
        </w:rPr>
        <w:t>GRUPO VCAPITAL</w:t>
      </w:r>
    </w:p>
    <w:p>
      <w:pPr>
        <w:spacing w:after="200"/>
        <w:jc w:val="center"/>
      </w:pPr>
      <w:r>
        <w:rPr>
          <w:rFonts w:ascii="Calibri" w:hAnsi="Calibri"/>
          <w:b/>
          <w:color w:val="203748"/>
          <w:sz w:val="60"/>
        </w:rPr>
        <w:t>RELATÓRIO FINAL</w:t>
      </w:r>
    </w:p>
    <w:p>
      <w:pPr>
        <w:spacing w:after="80"/>
        <w:jc w:val="center"/>
      </w:pPr>
      <w:r>
        <w:rPr>
          <w:rFonts w:ascii="Calibri" w:hAnsi="Calibri"/>
          <w:color w:val="1F4D78"/>
          <w:sz w:val="30"/>
        </w:rPr>
        <w:t>Desenvolvimento e validação preliminar</w:t>
      </w:r>
    </w:p>
    <w:p>
      <w:pPr>
        <w:spacing w:after="680"/>
        <w:jc w:val="center"/>
      </w:pPr>
      <w:r>
        <w:rPr>
          <w:rFonts w:ascii="Calibri" w:hAnsi="Calibri"/>
          <w:color w:val="1F4D78"/>
          <w:sz w:val="30"/>
        </w:rPr>
        <w:t>de um fundo sistemático multi-sleeve</w:t>
      </w:r>
    </w:p>
    <w:p>
      <w:pPr>
        <w:spacing w:after="60"/>
        <w:jc w:val="center"/>
      </w:pPr>
      <w:r>
        <w:rPr>
          <w:rFonts w:ascii="Calibri" w:hAnsi="Calibri"/>
          <w:b/>
          <w:color w:val="222222"/>
          <w:sz w:val="23"/>
        </w:rPr>
        <w:t>Arthur Pires Lopes</w:t>
      </w:r>
    </w:p>
    <w:p>
      <w:pPr>
        <w:spacing w:after="60"/>
        <w:jc w:val="center"/>
      </w:pPr>
      <w:r>
        <w:rPr>
          <w:rFonts w:ascii="Calibri" w:hAnsi="Calibri"/>
          <w:b/>
          <w:color w:val="222222"/>
          <w:sz w:val="23"/>
        </w:rPr>
        <w:t>Thiago Leal Miranda</w:t>
      </w:r>
    </w:p>
    <w:p>
      <w:pPr>
        <w:spacing w:after="60"/>
        <w:jc w:val="center"/>
      </w:pPr>
      <w:r>
        <w:rPr>
          <w:rFonts w:ascii="Calibri" w:hAnsi="Calibri"/>
          <w:b/>
          <w:color w:val="222222"/>
          <w:sz w:val="23"/>
        </w:rPr>
        <w:t>João Emanuel Zilli dos Santos</w:t>
      </w:r>
    </w:p>
    <w:p>
      <w:pPr>
        <w:spacing w:after="880"/>
      </w:pPr>
    </w:p>
    <w:p>
      <w:pPr>
        <w:spacing w:after="100"/>
        <w:jc w:val="center"/>
      </w:pPr>
      <w:r>
        <w:rPr>
          <w:rFonts w:ascii="Calibri" w:hAnsi="Calibri"/>
          <w:color w:val="666666"/>
          <w:sz w:val="21"/>
        </w:rPr>
        <w:t>Universidade Federal de Uberlândia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Versão 1.0 | Dados até julho de 2026</w:t>
      </w:r>
    </w:p>
    <w:p>
      <w:r>
        <w:br w:type="page"/>
      </w:r>
    </w:p>
    <w:p>
      <w:pPr>
        <w:pStyle w:val="Heading1"/>
        <w:keepNext/>
        <w:keepLines/>
        <w:widowControl/>
      </w:pPr>
      <w:r>
        <w:t>Sumário executivo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projeto VCapital implementa um fundo sistemático composto por três sleeves: seleção fundamentalista multifatorial, seleção técnica de small caps e renda fixa de curtíssimo prazo por meio do BIL. A arquitetura do motor é coerente, auditável e respeita a defasagem temporal dos sinais. Após a auditoria final, duas correções relevantes foram incorporadas: o indicador de crédito passou a usar a série BAA10Y do FRED, com histórico oficial desde 1986, e os pesos do Sleeve 1 passaram a derivar com os preços entre rebalanceamentos anuais.</w:t>
      </w:r>
    </w:p>
    <w:p>
      <w:pPr>
        <w:spacing w:before="120" w:after="200" w:line="276" w:lineRule="auto"/>
        <w:ind w:left="173" w:right="173"/>
        <w:shd w:fill="F4F6F9"/>
        <w:pBdr>
          <w:left w:val="single" w:sz="18" w:space="8" w:color="2A7F7F"/>
        </w:pBdr>
        <w:keepLines/>
        <w:widowControl/>
      </w:pPr>
      <w:r>
        <w:rPr>
          <w:rFonts w:ascii="Calibri" w:hAnsi="Calibri"/>
          <w:b/>
          <w:color w:val="2A7F7F"/>
          <w:sz w:val="21"/>
        </w:rPr>
        <w:t xml:space="preserve">Conclusão central: </w:t>
      </w:r>
      <w:r>
        <w:rPr>
          <w:rFonts w:ascii="Calibri" w:hAnsi="Calibri"/>
          <w:color w:val="222222"/>
          <w:sz w:val="21"/>
        </w:rPr>
        <w:t>O sistema está pronto como plataforma de pesquisa e paper trading, mas ainda não está pronto para capital real. Os números disponíveis validam o overlay e a consolidação por ETFs; a estratégia de stock-picking permanece sem backtest point-in-time porque faltam fundamentos SEC e universos históricos.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backtest preliminar atualizado cobre 101 meses, de março de 2018 a julho de 2026. O fundo proxy líquido apresentou CAGR de 8,03%, volatilidade anual de 11,50%, Sharpe de 0,51 e drawdown máximo de -13,72%. O benchmark de 2/3 SPY e 1/3 BIL apresentou CAGR de 10,73%, Sharpe de 0,76 e drawdown de -16,13%. O overlay reduziu perdas máximas, mas não gerou retorno ajustado ao risco superior nesta amostra.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Este relatório consolida o estado real do repositório em 2 de agosto de 2026. Resultados por proxies não são apresentados como evidência de rentabilidade futura nem como recomendação de investimento.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Objetivo e escopo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objetivo do projeto é construir um processo quantitativo reproduzível que combine fontes distintas de retorno e altere defensivamente a alocação quando o mercado de crédito sinalizar estresse. O trabalho abrange definição dos sinais, construção de carteiras, defasagem temporal, consolidação entre sleeves, auditoria de dados, backtest preliminar e preparação para integração operacional.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escopo empírico atual é deliberadamente limitado. VFMF representa o Sleeve 1 e VB representa o Sleeve 2 no teste por ETFs. Essa simplificação permite validar a mecânica do fundo, mas não testa as seleções de ações prometidas pela estratégia.</w:t>
      </w:r>
    </w:p>
    <w:p>
      <w:pPr>
        <w:pStyle w:val="Heading2"/>
        <w:keepNext/>
        <w:keepLines/>
        <w:widowControl/>
      </w:pPr>
      <w:r>
        <w:t>Critérios de sucesso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Sinais calculados apenas com informações disponíveis na data da decisão.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Execução mensal defasada em um período, sem uso do fechamento futuro.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Pesos consolidados não negativos e integralmente investidos.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Dados, parâmetros, resultados e limitações preservados de forma auditável.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Lines/>
        <w:widowControl/>
      </w:pPr>
      <w:r>
        <w:rPr>
          <w:rFonts w:ascii="Calibri" w:hAnsi="Calibri"/>
          <w:color w:val="222222"/>
          <w:sz w:val="22"/>
        </w:rPr>
        <w:t>Separação explícita entre evidência preliminar, hipótese de pesquisa e uso real.</w:t>
      </w:r>
    </w:p>
    <w:p>
      <w:pPr>
        <w:pStyle w:val="Heading1"/>
        <w:keepNext/>
        <w:keepLines/>
        <w:widowControl/>
      </w:pPr>
      <w:r>
        <w:t>2. Arquitetura da estratégia</w:t>
      </w:r>
    </w:p>
    <w:tbl>
      <w:tblPr>
        <w:tblW w:w="9360" w:type="dxa"/>
        <w:tblLook w:firstColumn="1" w:firstRow="1" w:lastColumn="0" w:lastRow="0" w:noHBand="0" w:noVBand="1" w:val="04A0"/>
        <w:jc w:val="left"/>
        <w:tblBorders>
          <w:top w:val="single" w:sz="4" w:space="0" w:color="B7C1CC"/>
          <w:left w:val="single" w:sz="4" w:space="0" w:color="B7C1CC"/>
          <w:bottom w:val="single" w:sz="4" w:space="0" w:color="B7C1CC"/>
          <w:right w:val="single" w:sz="4" w:space="0" w:color="B7C1CC"/>
          <w:insideH w:val="single" w:sz="4" w:space="0" w:color="B7C1CC"/>
          <w:insideV w:val="single" w:sz="4" w:space="0" w:color="B7C1CC"/>
        </w:tblBorders>
        <w:tblInd w:w="120" w:type="dxa"/>
        <w:tblLayout w:type="fixed"/>
      </w:tblPr>
      <w:tblGrid>
        <w:gridCol w:w="1500"/>
        <w:gridCol w:w="2700"/>
        <w:gridCol w:w="2950"/>
        <w:gridCol w:w="221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Componente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Sinal principal</w:t>
            </w:r>
          </w:p>
        </w:tc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Formação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Papel no fundo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Sleeve 1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Tamanho, valor, rentabilidade e investimento</w:t>
            </w:r>
          </w:p>
        </w:tc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Top 50; peso igual na formação anual; pesos derivados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Prêmio multifatorial de ações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Sleeve 2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Momentum 12-1 e reversão de 1 mês</w:t>
            </w:r>
          </w:p>
        </w:tc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Top 5%; peso igual; rebalanceamento mensal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Seleção técnica de small caps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Sleeve 3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Retorno ajustado do BIL</w:t>
            </w:r>
          </w:p>
        </w:tc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Peso integral no instrumento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Reserva defensiva de baixa duração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Regime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Z-score de 36 meses do BAA10Y</w:t>
            </w:r>
          </w:p>
        </w:tc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Entrada &gt; 1,0; saída &lt; 0,5; efeito em t+1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Migração do Sleeve 2 para BIL em estresse</w:t>
            </w:r>
          </w:p>
        </w:tc>
      </w:tr>
    </w:tbl>
    <w:p>
      <w:pPr>
        <w:spacing w:before="0" w:after="80"/>
      </w:pPr>
    </w:p>
    <w:p>
      <w:pPr>
        <w:pStyle w:val="Heading2"/>
        <w:keepNext/>
        <w:keepLines/>
        <w:widowControl/>
      </w:pPr>
      <w:r>
        <w:t>2.1 Sleeve 1: fatores fundamentalistas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 nota composta usa quatro fatores padronizados transversalmente: tamanho, valor, rentabilidade e investimento. Antes do z-score, cada fator é winsorizado nos percentis 1% e 99%. A seleção anual ocorre em junho e entra em vigor no mês seguinte. O balanço de cada empresa só é elegível quando sua available_date é anterior ou igual à data do sinal.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cálculo de investimento exige intervalo entre balanços de 300 a 430 dias e o balanço mais recente não pode ter mais de 18 meses. Essas regras evitam a mistura de exercícios irregulares e o uso indefinido de informações antigas.</w:t>
      </w:r>
    </w:p>
    <w:p>
      <w:pPr>
        <w:pStyle w:val="Heading2"/>
        <w:keepNext/>
        <w:keepLines/>
        <w:widowControl/>
      </w:pPr>
      <w:r>
        <w:t>2.2 Sleeve 2: momentum, reversão e crédito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momentum é calculado como P(t-1)/P(t-12)-1, excluindo o retorno mais recente; a reversão é o negativo do retorno do último mês. Os dois z-scores recebem peso de 50% e formam um ranking mensal. O estado de crédito usa histerese: entra em estresse quando o z-score supera 1,0 e só retorna ao normal abaixo de 0,5.</w:t>
      </w:r>
    </w:p>
    <w:p>
      <w:pPr>
        <w:pStyle w:val="Heading2"/>
        <w:keepNext/>
        <w:keepLines/>
        <w:widowControl/>
      </w:pPr>
      <w:r>
        <w:t>2.3 Consolidação do fundo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Em regime normal, os três sleeves recebem 1/3 do capital. Em estresse, o Sleeve 1 permanece com 1/3, o Sleeve 2 cai para zero e o BIL sobe para 2/3. O retorno sempre ligado do Sleeve 2 é usado na consolidação e o regime é aplicado apenas uma vez, evitando dupla penalização.</w:t>
      </w:r>
    </w:p>
    <w:p>
      <w:pPr>
        <w:pStyle w:val="Heading1"/>
        <w:keepNext/>
        <w:keepLines/>
        <w:widowControl/>
      </w:pPr>
      <w:r>
        <w:t>3. Alterações incorporadas após a auditoria</w:t>
      </w:r>
    </w:p>
    <w:p>
      <w:pPr>
        <w:pStyle w:val="Heading2"/>
        <w:keepNext/>
        <w:keepLines/>
        <w:widowControl/>
      </w:pPr>
      <w:r>
        <w:t>3.1 Substituição da série de crédito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 série ICE/BofA BAMLH0A0HYM2 foi substituída pelo BAA10Y. O próprio FRED informa que, desde abril de 2026, a série ICE/BofA contém somente três anos de observações. O BAA10Y é calculado como a diferença entre o rendimento corporativo Baa da Moody's e o Treasury de 10 anos e apresenta histórico oficial desde janeiro de 1986.</w:t>
      </w:r>
    </w:p>
    <w:p>
      <w:pPr>
        <w:spacing w:before="120" w:after="200" w:line="276" w:lineRule="auto"/>
        <w:ind w:left="173" w:right="173"/>
        <w:shd w:fill="F4F6F9"/>
        <w:pBdr>
          <w:left w:val="single" w:sz="18" w:space="8" w:color="7A5A00"/>
        </w:pBdr>
        <w:keepLines/>
        <w:widowControl/>
      </w:pPr>
      <w:r>
        <w:rPr>
          <w:rFonts w:ascii="Calibri" w:hAnsi="Calibri"/>
          <w:b/>
          <w:color w:val="7A5A00"/>
          <w:sz w:val="21"/>
        </w:rPr>
        <w:t xml:space="preserve">Efeito da mudança: </w:t>
      </w:r>
      <w:r>
        <w:rPr>
          <w:rFonts w:ascii="Calibri" w:hAnsi="Calibri"/>
          <w:color w:val="222222"/>
          <w:sz w:val="21"/>
        </w:rPr>
        <w:t>A limitação de histórico foi eliminada sem depender de espelho não oficial. A substituição não é economicamente idêntica: BAA10Y representa crédito investment-grade, enquanto BAMLH0A0HYM2 representa high yield. Por isso, os resultados foram regenerados e os limiares devem continuar congelados até uma validação fora da amostra.</w:t>
      </w:r>
    </w:p>
    <w:p>
      <w:pPr>
        <w:pStyle w:val="Heading2"/>
        <w:keepNext/>
        <w:keepLines/>
        <w:widowControl/>
      </w:pPr>
      <w:r>
        <w:t>3.2 Pesos derivados no Sleeve 1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 implementação anterior repetia o peso de formação em todos os meses com ffill. Isso equivalia a rebalancear mensalmente de volta ao peso-alvo, criando giro implícito não decidido. A nova função mantém quantidades constantes entre duas formações e atualiza os pesos conforme os retornos relativos de cada ação.</w:t>
      </w:r>
    </w:p>
    <w:p>
      <w:pPr>
        <w:pStyle w:val="Heading2"/>
        <w:keepNext/>
        <w:keepLines/>
        <w:widowControl/>
      </w:pPr>
      <w:r>
        <w:t>3.3 Validação automatizada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Lint estático: aprovado sem ocorrências.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Suíte unitária: 20 de 20 testes aprovados, incluindo o novo teste de deriva de pesos.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Auditoria do backtest por proxies: 12 de 12 verificações aprovadas.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Lines/>
        <w:widowControl/>
      </w:pPr>
      <w:r>
        <w:rPr>
          <w:rFonts w:ascii="Calibri" w:hAnsi="Calibri"/>
          <w:color w:val="222222"/>
          <w:sz w:val="22"/>
        </w:rPr>
        <w:t>Histórico BAA10Y coletado: 487 meses, de janeiro de 1986 a julho de 2026.</w:t>
      </w:r>
    </w:p>
    <w:p>
      <w:pPr>
        <w:pStyle w:val="Heading1"/>
        <w:keepNext/>
        <w:keepLines/>
        <w:widowControl/>
      </w:pPr>
      <w:r>
        <w:t>4. Dados, proveniência e estado de prontidão</w:t>
      </w:r>
    </w:p>
    <w:tbl>
      <w:tblPr>
        <w:tblW w:w="9360" w:type="dxa"/>
        <w:tblLook w:firstColumn="1" w:firstRow="1" w:lastColumn="0" w:lastRow="0" w:noHBand="0" w:noVBand="1" w:val="04A0"/>
        <w:jc w:val="left"/>
        <w:tblBorders>
          <w:top w:val="single" w:sz="4" w:space="0" w:color="B7C1CC"/>
          <w:left w:val="single" w:sz="4" w:space="0" w:color="B7C1CC"/>
          <w:bottom w:val="single" w:sz="4" w:space="0" w:color="B7C1CC"/>
          <w:right w:val="single" w:sz="4" w:space="0" w:color="B7C1CC"/>
          <w:insideH w:val="single" w:sz="4" w:space="0" w:color="B7C1CC"/>
          <w:insideV w:val="single" w:sz="4" w:space="0" w:color="B7C1CC"/>
        </w:tblBorders>
        <w:tblInd w:w="120" w:type="dxa"/>
        <w:tblLayout w:type="fixed"/>
      </w:tblPr>
      <w:tblGrid>
        <w:gridCol w:w="2050"/>
        <w:gridCol w:w="1500"/>
        <w:gridCol w:w="5810"/>
      </w:tblGrid>
      <w:tr>
        <w:trPr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Bloco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Estado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Evidência ou pendência</w:t>
            </w:r>
          </w:p>
        </w:tc>
      </w:tr>
      <w:t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Preços de ETFs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Pronto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990 observações mensais; Close e Adj Close preservados</w:t>
            </w:r>
          </w:p>
        </w:tc>
      </w:tr>
      <w:t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BAA10Y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Pronto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487 meses oficiais do FRED; 1986-01 a 2026-07</w:t>
            </w:r>
          </w:p>
        </w:tc>
      </w:tr>
      <w:t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FF5 + Momentum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Pronto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755 meses completos em unidade decimal</w:t>
            </w:r>
          </w:p>
        </w:tc>
      </w:tr>
      <w:t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Universo S&amp;P 500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Com ressalva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503 membros atuais; não é composição histórica</w:t>
            </w:r>
          </w:p>
        </w:tc>
      </w:tr>
      <w:t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Fundamentos SEC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Pendente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Arquivo point-in-time ausente; SEC_USER_AGENT não definido</w:t>
            </w:r>
          </w:p>
        </w:tc>
      </w:tr>
      <w:t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Holdings VB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Pendente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Snapshot oficial e data as_of ainda ausentes</w:t>
            </w:r>
          </w:p>
        </w:tc>
      </w:tr>
      <w:t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resultados/quant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Não gerado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Pipeline por ações não possui os cinco CSVs de entrada</w:t>
            </w:r>
          </w:p>
        </w:tc>
      </w:tr>
    </w:tbl>
    <w:p>
      <w:pPr>
        <w:spacing w:before="0" w:after="80"/>
      </w:pP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 auditoria agregada de dados permanece em FAIL controlado por um único erro: ausência do conjunto de fundamentos SEC. Há ainda dois avisos metodológicos: viés de sobrevivência no universo atual e ausência de holdings do VB. Não houve falha na série BAA10Y nem insuficiência de histórico.</w:t>
      </w:r>
    </w:p>
    <w:p>
      <w:pPr>
        <w:pStyle w:val="Heading2"/>
        <w:keepNext/>
        <w:keepLines/>
        <w:widowControl/>
      </w:pPr>
      <w:r>
        <w:t>4.1 Controles contra look-ahead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Fundamentos filtrados por available_date, nunca apenas pela data fiscal.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Sinais formados no fechamento de t e aplicados ao retorno de t+1.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Mês corrente incompleto removido antes do cálculo.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Retornos faltantes de posições ativas não são tratados como zero.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Lines/>
        <w:widowControl/>
      </w:pPr>
      <w:r>
        <w:rPr>
          <w:rFonts w:ascii="Calibri" w:hAnsi="Calibri"/>
          <w:color w:val="222222"/>
          <w:sz w:val="22"/>
        </w:rPr>
        <w:t>Preços ajustados usados para retorno; preço não ajustado reservado ao valor de mercado.</w:t>
      </w:r>
    </w:p>
    <w:p>
      <w:r>
        <w:br w:type="page"/>
      </w:r>
    </w:p>
    <w:p>
      <w:pPr>
        <w:pStyle w:val="Heading1"/>
        <w:keepNext/>
        <w:keepLines/>
        <w:widowControl/>
      </w:pPr>
      <w:r>
        <w:t>5. Resultados do backtest preliminar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Período comum: março de 2018 a julho de 2026, com 101 observações mensais. O Sharpe é calculado sobre o excesso de retorno em relação ao BIL. As séries líquidas descontam 10 pontos-base por unidade de giro do overlay, mas ainda não incluem o turnover do stock-picking.</w:t>
      </w:r>
    </w:p>
    <w:tbl>
      <w:tblPr>
        <w:tblW w:w="9360" w:type="dxa"/>
        <w:tblLook w:firstColumn="1" w:firstRow="1" w:lastColumn="0" w:lastRow="0" w:noHBand="0" w:noVBand="1" w:val="04A0"/>
        <w:jc w:val="left"/>
        <w:tblBorders>
          <w:top w:val="single" w:sz="4" w:space="0" w:color="B7C1CC"/>
          <w:left w:val="single" w:sz="4" w:space="0" w:color="B7C1CC"/>
          <w:bottom w:val="single" w:sz="4" w:space="0" w:color="B7C1CC"/>
          <w:right w:val="single" w:sz="4" w:space="0" w:color="B7C1CC"/>
          <w:insideH w:val="single" w:sz="4" w:space="0" w:color="B7C1CC"/>
          <w:insideV w:val="single" w:sz="4" w:space="0" w:color="B7C1CC"/>
        </w:tblBorders>
        <w:tblInd w:w="120" w:type="dxa"/>
        <w:tblLayout w:type="fixed"/>
      </w:tblPr>
      <w:tblGrid>
        <w:gridCol w:w="3130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3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Série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CAGR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Vol.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Sharpe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Max DD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Ret. acum.</w:t>
            </w:r>
          </w:p>
        </w:tc>
      </w:tr>
      <w:tr>
        <w:tc>
          <w:tcPr>
            <w:tcW w:type="dxa" w:w="3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VFMF (proxy Sleeve 1)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12,78%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18,66%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-30,35%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175,22%</w:t>
            </w:r>
          </w:p>
        </w:tc>
      </w:tr>
      <w:tr>
        <w:tc>
          <w:tcPr>
            <w:tcW w:type="dxa" w:w="3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VB sempre ligado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10,35%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20,68%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-30,06%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129,04%</w:t>
            </w:r>
          </w:p>
        </w:tc>
      </w:tr>
      <w:tr>
        <w:tc>
          <w:tcPr>
            <w:tcW w:type="dxa" w:w="3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VB com regime, líquido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7,59%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17,50%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-24,43%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85,09%</w:t>
            </w:r>
          </w:p>
        </w:tc>
      </w:tr>
      <w:tr>
        <w:tc>
          <w:tcPr>
            <w:tcW w:type="dxa" w:w="3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Fundo proxy, líquido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8,03%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11,50%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-13,72%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91,58%</w:t>
            </w:r>
          </w:p>
        </w:tc>
      </w:tr>
      <w:tr>
        <w:tc>
          <w:tcPr>
            <w:tcW w:type="dxa" w:w="3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Benchmark 2/3 SPY + 1/3 BIL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10,73%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10,96%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0,76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-16,13%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135,83%</w:t>
            </w:r>
          </w:p>
        </w:tc>
      </w:tr>
      <w:tr>
        <w:tc>
          <w:tcPr>
            <w:tcW w:type="dxa" w:w="31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SPY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14,53%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16,44%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0,76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-23,93%</w:t>
            </w:r>
          </w:p>
        </w:tc>
        <w:tc>
          <w:tcPr>
            <w:tcW w:type="dxa" w:w="1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213,24%</w:t>
            </w:r>
          </w:p>
        </w:tc>
      </w:tr>
    </w:tbl>
    <w:p>
      <w:pPr>
        <w:spacing w:before="0" w:after="80"/>
      </w:pPr>
    </w:p>
    <w:p>
      <w:pPr>
        <w:pStyle w:val="Heading2"/>
        <w:keepNext/>
        <w:keepLines/>
        <w:widowControl/>
      </w:pPr>
      <w:r>
        <w:t>5.1 Leitura dos resultados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filtro de crédito reduziu o drawdown máximo do VB em 5,63 pontos percentuais, saindo de 30,06% para 24,43% em magnitude, mas também reduziu o CAGR em 2,76 pontos e o Sharpe de 0,46 para 0,36. Assim, a proteção teve custo econômico relevante.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fundo proxy líquido teve drawdown 2,41 pontos percentuais menos profundo que o benchmark, porém ficou 2,70 pontos abaixo em CAGR e 0,25 abaixo em Sharpe. A evidência atual favorece a interpretação de controle de risco parcial, não de geração comprovada de alfa.</w:t>
      </w:r>
    </w:p>
    <w:p>
      <w:pPr>
        <w:spacing w:before="80" w:after="80"/>
        <w:jc w:val="center"/>
        <w:keepNext/>
        <w:keepLines/>
        <w:widowControl/>
      </w:pPr>
      <w:r>
        <w:rPr>
          <w:rFonts w:ascii="Calibri" w:hAnsi="Calibri"/>
          <w:i/>
          <w:color w:val="666666"/>
          <w:sz w:val="18"/>
        </w:rPr>
        <w:t>Figura 1. Curvas de capital do fundo proxy, benchmark e VB.</w:t>
      </w:r>
    </w:p>
    <w:p>
      <w:pPr>
        <w:spacing w:before="0" w:after="160"/>
        <w:jc w:val="center"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 descr="Curvas de capital mensais de 2018 a 2026. O benchmark termina acima do fundo proxy, e o VB com regime termina abaixo do VB sempre ligado." title="Figura 1. Curvas de capital do fundo proxy, benchmark e V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urvas_capit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keepLines/>
        <w:widowControl/>
      </w:pPr>
      <w:r>
        <w:t>6. Regime de crédito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BAA10Y permitiu observar o comportamento do z-score ao longo de múltiplos ciclos. O gráfico preserva a janela de 36 meses, a histerese 1,0/0,5 e a defasagem de um mês. No período investível comum, nove meses foram classificados como estresse aplicado.</w:t>
      </w:r>
    </w:p>
    <w:p>
      <w:pPr>
        <w:spacing w:before="80" w:after="80"/>
        <w:jc w:val="center"/>
        <w:keepNext/>
        <w:keepLines/>
        <w:widowControl/>
      </w:pPr>
      <w:r>
        <w:rPr>
          <w:rFonts w:ascii="Calibri" w:hAnsi="Calibri"/>
          <w:i/>
          <w:color w:val="666666"/>
          <w:sz w:val="18"/>
        </w:rPr>
        <w:t>Figura 2. Z-score do BAA10Y, limiares de histerese e meses de estresse.</w:t>
      </w:r>
    </w:p>
    <w:p>
      <w:pPr>
        <w:spacing w:before="0" w:after="160"/>
        <w:jc w:val="center"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5806440" cy="2419350"/>
            <wp:docPr id="2" name="Picture 2" descr="Série histórica do z-score BAA10Y de 1989 a 2026, com linha de entrada em 1,0, saída em 0,5 e áreas sombreadas para o regime aplicado de estresse." title="Figura 2. Z-score do BAA10Y, limiares de histerese e meses de estres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gime_credi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19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00" w:line="276" w:lineRule="auto"/>
        <w:ind w:left="173" w:right="173"/>
        <w:shd w:fill="F4F6F9"/>
        <w:pBdr>
          <w:left w:val="single" w:sz="18" w:space="8" w:color="7A5A00"/>
        </w:pBdr>
        <w:keepLines/>
        <w:widowControl/>
      </w:pPr>
      <w:r>
        <w:rPr>
          <w:rFonts w:ascii="Calibri" w:hAnsi="Calibri"/>
          <w:b/>
          <w:color w:val="7A5A00"/>
          <w:sz w:val="21"/>
        </w:rPr>
        <w:t xml:space="preserve">Interpretação: </w:t>
      </w:r>
      <w:r>
        <w:rPr>
          <w:rFonts w:ascii="Calibri" w:hAnsi="Calibri"/>
          <w:color w:val="222222"/>
          <w:sz w:val="21"/>
        </w:rPr>
        <w:t>O indicador reage de forma clara a diversos episódios de estresse, mas sua capacidade de temporização deve ser julgada pelo resultado fora da amostra. O backtest proxy não sustenta a afirmação de que o overlay agrega valor.</w:t>
      </w:r>
    </w:p>
    <w:p>
      <w:r>
        <w:br w:type="page"/>
      </w:r>
    </w:p>
    <w:p>
      <w:pPr>
        <w:pStyle w:val="Heading1"/>
        <w:keepNext/>
        <w:keepLines/>
        <w:widowControl/>
      </w:pPr>
      <w:r>
        <w:t>7. Diversificação e escolha do proxy small-cap</w:t>
      </w:r>
    </w:p>
    <w:tbl>
      <w:tblPr>
        <w:tblW w:w="9360" w:type="dxa"/>
        <w:tblLook w:firstColumn="1" w:firstRow="1" w:lastColumn="0" w:lastRow="0" w:noHBand="0" w:noVBand="1" w:val="04A0"/>
        <w:jc w:val="left"/>
        <w:tblBorders>
          <w:top w:val="single" w:sz="4" w:space="0" w:color="B7C1CC"/>
          <w:left w:val="single" w:sz="4" w:space="0" w:color="B7C1CC"/>
          <w:bottom w:val="single" w:sz="4" w:space="0" w:color="B7C1CC"/>
          <w:right w:val="single" w:sz="4" w:space="0" w:color="B7C1CC"/>
          <w:insideH w:val="single" w:sz="4" w:space="0" w:color="B7C1CC"/>
          <w:insideV w:val="single" w:sz="4" w:space="0" w:color="B7C1CC"/>
        </w:tblBorders>
        <w:tblInd w:w="120" w:type="dxa"/>
        <w:tblLayout w:type="fixed"/>
      </w:tblPr>
      <w:tblGrid>
        <w:gridCol w:w="2000"/>
        <w:gridCol w:w="2300"/>
        <w:gridCol w:w="2700"/>
        <w:gridCol w:w="2360"/>
      </w:tblGrid>
      <w:tr>
        <w:trPr>
          <w:tblHeader w:val="true"/>
        </w:trPr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Proxy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Correlação geral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Correlação em crises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Selecionado</w:t>
            </w:r>
          </w:p>
        </w:tc>
      </w:tr>
      <w:tr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IWM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-0,290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-0,411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VB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-0,370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-0,524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IJR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-0,237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-0,337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</w:tbl>
    <w:p>
      <w:pPr>
        <w:spacing w:before="0" w:after="80"/>
      </w:pP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VB foi mantido como proxy do Sleeve 2 por apresentar a correlação mais negativa entre retorno relativo ao SPY e variação do BAA10Y nas janelas de crise predefinidas. Essa regra de escolha é externa ao payoff do backtest.</w:t>
      </w:r>
    </w:p>
    <w:p>
      <w:pPr>
        <w:spacing w:before="80" w:after="80"/>
        <w:jc w:val="center"/>
        <w:keepNext/>
        <w:keepLines/>
        <w:widowControl/>
      </w:pPr>
      <w:r>
        <w:rPr>
          <w:rFonts w:ascii="Calibri" w:hAnsi="Calibri"/>
          <w:i/>
          <w:color w:val="666666"/>
          <w:sz w:val="18"/>
        </w:rPr>
        <w:t>Figura 3. Correlação mensal entre os sleeves representados por ETFs.</w:t>
      </w:r>
    </w:p>
    <w:p>
      <w:pPr>
        <w:spacing w:before="0" w:after="160"/>
        <w:jc w:val="center"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4343400" cy="3722914"/>
            <wp:docPr id="3" name="Picture 3" descr="Matriz de correlação mostrando 0,96 entre VFMF e VB, -0,04 entre VFMF e BIL e -0,06 entre VB e BIL." title="Figura 3. Correlação mensal entre os sleeves representados por ETF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atriz_correl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 correlação de 0,96 entre VFMF e VB é alta e não confirma a tese de dois motores pouco correlacionados. Essa conclusão é específica aos proxies. O teste correto deverá usar retornos ativos das carteiras de ações point-in-time.</w:t>
      </w:r>
    </w:p>
    <w:p>
      <w:r>
        <w:br w:type="page"/>
      </w:r>
    </w:p>
    <w:p>
      <w:pPr>
        <w:pStyle w:val="Heading1"/>
        <w:keepNext/>
        <w:keepLines/>
        <w:widowControl/>
      </w:pPr>
      <w:r>
        <w:t>8. Risco, dinheiro real e maturidade operacional</w:t>
      </w:r>
    </w:p>
    <w:p>
      <w:pPr>
        <w:spacing w:before="80" w:after="80"/>
        <w:jc w:val="center"/>
        <w:keepNext/>
        <w:keepLines/>
        <w:widowControl/>
      </w:pPr>
      <w:r>
        <w:rPr>
          <w:rFonts w:ascii="Calibri" w:hAnsi="Calibri"/>
          <w:i/>
          <w:color w:val="666666"/>
          <w:sz w:val="18"/>
        </w:rPr>
        <w:t>Figura 4. Drawdown do fundo proxy líquido e do benchmark.</w:t>
      </w:r>
    </w:p>
    <w:p>
      <w:pPr>
        <w:spacing w:before="0" w:after="160"/>
        <w:jc w:val="center"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5806440" cy="2419350"/>
            <wp:docPr id="4" name="Picture 4" descr="Drawdowns mensais de 2018 a 2026. O fundo proxy atinge cerca de -13,7% e o benchmark cerca de -16,1% no pior ponto." title="Figura 4. Drawdown do fundo proxy líquido e do benchmar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19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widowControl/>
      </w:pPr>
      <w:r>
        <w:t>8.1 É possível ganhar dinheiro real?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É possível que uma estratégia sistemática gere retorno real, mas o resultado atual não demonstra isso para o stock-picking da VCapital. O fundo proxy cresceu no período, porém ficou abaixo do benchmark em retorno e Sharpe. Além disso, faltam custos completos, slippage, liquidez por ação, impostos, latência, falhas de ordem, reconciliação e monitoramento de risco intradiário.</w:t>
      </w:r>
    </w:p>
    <w:p>
      <w:pPr>
        <w:spacing w:before="120" w:after="200" w:line="276" w:lineRule="auto"/>
        <w:ind w:left="173" w:right="173"/>
        <w:shd w:fill="F4F6F9"/>
        <w:pBdr>
          <w:left w:val="single" w:sz="18" w:space="8" w:color="9B1C1C"/>
        </w:pBdr>
        <w:keepLines/>
        <w:widowControl/>
      </w:pPr>
      <w:r>
        <w:rPr>
          <w:rFonts w:ascii="Calibri" w:hAnsi="Calibri"/>
          <w:b/>
          <w:color w:val="9B1C1C"/>
          <w:sz w:val="21"/>
        </w:rPr>
        <w:t xml:space="preserve">Veredito de go-live: </w:t>
      </w:r>
      <w:r>
        <w:rPr>
          <w:rFonts w:ascii="Calibri" w:hAnsi="Calibri"/>
          <w:color w:val="222222"/>
          <w:sz w:val="21"/>
        </w:rPr>
        <w:t>Não alocar capital real com base apenas neste relatório. A sequência prudente é paper trading realista, shadow live com alertas e ordens simuladas, e somente depois um piloto de capital pequeno com limites duros e kill-switch.</w:t>
      </w:r>
    </w:p>
    <w:p>
      <w:pPr>
        <w:pStyle w:val="Heading2"/>
        <w:keepNext/>
        <w:keepLines/>
        <w:widowControl/>
      </w:pPr>
      <w:r>
        <w:t>8.2 Roteiro de maturidade</w:t>
      </w:r>
    </w:p>
    <w:p>
      <w:pPr>
        <w:pStyle w:val="ListParagraph"/>
        <w:spacing w:before="0" w:after="80" w:line="290" w:lineRule="auto"/>
        <w:numPr>
          <w:ilvl w:val="0"/>
          <w:numId w:val="11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Completar fundamentos e universos point-in-time; gerar resultados/quant.</w:t>
      </w:r>
    </w:p>
    <w:p>
      <w:pPr>
        <w:pStyle w:val="ListParagraph"/>
        <w:spacing w:before="0" w:after="80" w:line="290" w:lineRule="auto"/>
        <w:numPr>
          <w:ilvl w:val="0"/>
          <w:numId w:val="11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Incluir custos por ativo, turnover, slippage e restrições de liquidez.</w:t>
      </w:r>
    </w:p>
    <w:p>
      <w:pPr>
        <w:pStyle w:val="ListParagraph"/>
        <w:spacing w:before="0" w:after="80" w:line="290" w:lineRule="auto"/>
        <w:numPr>
          <w:ilvl w:val="0"/>
          <w:numId w:val="11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Separar calibração, validação e teste verdadeiramente fora da amostra.</w:t>
      </w:r>
    </w:p>
    <w:p>
      <w:pPr>
        <w:pStyle w:val="ListParagraph"/>
        <w:spacing w:before="0" w:after="80" w:line="290" w:lineRule="auto"/>
        <w:numPr>
          <w:ilvl w:val="0"/>
          <w:numId w:val="11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Executar paper trading e comparar preço teórico, preço executável e atraso.</w:t>
      </w:r>
    </w:p>
    <w:p>
      <w:pPr>
        <w:pStyle w:val="ListParagraph"/>
        <w:spacing w:before="0" w:after="80" w:line="290" w:lineRule="auto"/>
        <w:numPr>
          <w:ilvl w:val="0"/>
          <w:numId w:val="11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Adicionar limites de exposição, perda diária, concentração e kill-switch.</w:t>
      </w:r>
    </w:p>
    <w:p>
      <w:pPr>
        <w:pStyle w:val="ListParagraph"/>
        <w:spacing w:before="0" w:after="80" w:line="290" w:lineRule="auto"/>
        <w:numPr>
          <w:ilvl w:val="0"/>
          <w:numId w:val="11"/>
        </w:numPr>
        <w:keepLines/>
        <w:widowControl/>
      </w:pPr>
      <w:r>
        <w:rPr>
          <w:rFonts w:ascii="Calibri" w:hAnsi="Calibri"/>
          <w:color w:val="222222"/>
          <w:sz w:val="22"/>
        </w:rPr>
        <w:t>Implementar reconciliação de posições, ordens e caixa antes de capital real.</w:t>
      </w:r>
    </w:p>
    <w:p>
      <w:pPr>
        <w:pStyle w:val="Heading1"/>
        <w:keepNext/>
        <w:keepLines/>
        <w:widowControl/>
      </w:pPr>
      <w:r>
        <w:t>9. Integração futura com TradingView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repositório contém o script Pine v6 regime_credito_baa.pine. Ele consulta FRED:BAA10Y em frequência mensal, calcula o z-score, mantém o estado por histerese e expõe alertas de entrada em estresse e retorno ao normal. O sinal confirmado no fechamento do mês deve orientar a alocação do mês seguinte.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 integração com uma conta estudantil depende dos recursos de alertas e webhook disponíveis no plano vigente. Mesmo quando o envio de alertas estiver disponível, o TradingView deve funcionar como camada de visualização e disparo, não como substituto da base auditável nem como executor sem controles adicionais.</w:t>
      </w:r>
    </w:p>
    <w:p>
      <w:pPr>
        <w:pStyle w:val="Heading2"/>
        <w:keepNext/>
        <w:keepLines/>
        <w:widowControl/>
      </w:pPr>
      <w:r>
        <w:t>Fluxo operacional recomendado</w:t>
      </w:r>
    </w:p>
    <w:p>
      <w:pPr>
        <w:pStyle w:val="ListParagraph"/>
        <w:spacing w:before="0" w:after="80" w:line="290" w:lineRule="auto"/>
        <w:numPr>
          <w:ilvl w:val="0"/>
          <w:numId w:val="12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Pine calcula e confirma o estado mensal.</w:t>
      </w:r>
    </w:p>
    <w:p>
      <w:pPr>
        <w:pStyle w:val="ListParagraph"/>
        <w:spacing w:before="0" w:after="80" w:line="290" w:lineRule="auto"/>
        <w:numPr>
          <w:ilvl w:val="0"/>
          <w:numId w:val="12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Alerta envia payload versionado com símbolo, data, estado e hash da estratégia.</w:t>
      </w:r>
    </w:p>
    <w:p>
      <w:pPr>
        <w:pStyle w:val="ListParagraph"/>
        <w:spacing w:before="0" w:after="80" w:line="290" w:lineRule="auto"/>
        <w:numPr>
          <w:ilvl w:val="0"/>
          <w:numId w:val="12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Receiver valida segredo, duplicidade e janela temporal.</w:t>
      </w:r>
    </w:p>
    <w:p>
      <w:pPr>
        <w:pStyle w:val="ListParagraph"/>
        <w:spacing w:before="0" w:after="80" w:line="290" w:lineRule="auto"/>
        <w:numPr>
          <w:ilvl w:val="0"/>
          <w:numId w:val="12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Motor de risco transforma o sinal em ordem simulada ou autorizada.</w:t>
      </w:r>
    </w:p>
    <w:p>
      <w:pPr>
        <w:pStyle w:val="ListParagraph"/>
        <w:spacing w:before="0" w:after="80" w:line="290" w:lineRule="auto"/>
        <w:numPr>
          <w:ilvl w:val="0"/>
          <w:numId w:val="12"/>
        </w:numPr>
        <w:keepLines/>
        <w:widowControl/>
      </w:pPr>
      <w:r>
        <w:rPr>
          <w:rFonts w:ascii="Calibri" w:hAnsi="Calibri"/>
          <w:color w:val="222222"/>
          <w:sz w:val="22"/>
        </w:rPr>
        <w:t>Reconciliação confirma posição, preço, caixa e divergências.</w:t>
      </w:r>
    </w:p>
    <w:p>
      <w:pPr>
        <w:pStyle w:val="Heading1"/>
        <w:keepNext/>
        <w:keepLines/>
        <w:widowControl/>
      </w:pPr>
      <w:r>
        <w:t>10. Limitações e próximos passos</w:t>
      </w:r>
    </w:p>
    <w:tbl>
      <w:tblPr>
        <w:tblW w:w="9360" w:type="dxa"/>
        <w:tblLook w:firstColumn="1" w:firstRow="1" w:lastColumn="0" w:lastRow="0" w:noHBand="0" w:noVBand="1" w:val="04A0"/>
        <w:jc w:val="left"/>
        <w:tblBorders>
          <w:top w:val="single" w:sz="4" w:space="0" w:color="B7C1CC"/>
          <w:left w:val="single" w:sz="4" w:space="0" w:color="B7C1CC"/>
          <w:bottom w:val="single" w:sz="4" w:space="0" w:color="B7C1CC"/>
          <w:right w:val="single" w:sz="4" w:space="0" w:color="B7C1CC"/>
          <w:insideH w:val="single" w:sz="4" w:space="0" w:color="B7C1CC"/>
          <w:insideV w:val="single" w:sz="4" w:space="0" w:color="B7C1CC"/>
        </w:tblBorders>
        <w:tblInd w:w="120" w:type="dxa"/>
        <w:tblLayout w:type="fixed"/>
      </w:tblPr>
      <w:tblGrid>
        <w:gridCol w:w="2350"/>
        <w:gridCol w:w="2960"/>
        <w:gridCol w:w="4050"/>
      </w:tblGrid>
      <w:tr>
        <w:trPr>
          <w:tblHeader w:val="true"/>
        </w:trP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Limitação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Impacto</w:t>
            </w:r>
          </w:p>
        </w:tc>
        <w:tc>
          <w:tcPr>
            <w:tcW w:type="dxa" w:w="4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03748"/>
                <w:sz w:val="18"/>
              </w:rPr>
              <w:t>Ação necessária</w:t>
            </w:r>
          </w:p>
        </w:tc>
      </w:tr>
      <w:t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Sem backtest por ações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Hipótese principal não foi medida</w:t>
            </w:r>
          </w:p>
        </w:tc>
        <w:tc>
          <w:tcPr>
            <w:tcW w:type="dxa" w:w="4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Coletar dados point-in-time e executar o pipeline</w:t>
            </w:r>
          </w:p>
        </w:tc>
      </w:tr>
      <w:t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Universo atual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Viés de sobrevivência</w:t>
            </w:r>
          </w:p>
        </w:tc>
        <w:tc>
          <w:tcPr>
            <w:tcW w:type="dxa" w:w="4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Adquirir ou reconstruir membros por data</w:t>
            </w:r>
          </w:p>
        </w:tc>
      </w:tr>
      <w:t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Custos parciais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Retorno líquido pode estar superestimado</w:t>
            </w:r>
          </w:p>
        </w:tc>
        <w:tc>
          <w:tcPr>
            <w:tcW w:type="dxa" w:w="4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Modelar giro, spread, slippage e liquidez</w:t>
            </w:r>
          </w:p>
        </w:tc>
      </w:tr>
      <w:t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BAA10Y não é high yield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Exposição econômica do gatilho mudou</w:t>
            </w:r>
          </w:p>
        </w:tc>
        <w:tc>
          <w:tcPr>
            <w:tcW w:type="dxa" w:w="4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Validar estabilidade e congelar especificação</w:t>
            </w:r>
          </w:p>
        </w:tc>
      </w:tr>
      <w:t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Proxies muito correlacionados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Diversificação pode estar superestimada</w:t>
            </w:r>
          </w:p>
        </w:tc>
        <w:tc>
          <w:tcPr>
            <w:tcW w:type="dxa" w:w="4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Medir correlação de retornos ativos reais</w:t>
            </w:r>
          </w:p>
        </w:tc>
      </w:tr>
      <w:t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Fonte de preços não institucional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Risco de qualidade e revisão</w:t>
            </w:r>
          </w:p>
        </w:tc>
        <w:tc>
          <w:tcPr>
            <w:tcW w:type="dxa" w:w="4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Confirmar amostras e arquivar checksums</w:t>
            </w:r>
          </w:p>
        </w:tc>
      </w:tr>
    </w:tbl>
    <w:p>
      <w:pPr>
        <w:spacing w:before="0" w:after="80"/>
      </w:pPr>
    </w:p>
    <w:p>
      <w:pPr>
        <w:pStyle w:val="Heading2"/>
        <w:keepNext/>
        <w:keepLines/>
        <w:widowControl/>
      </w:pPr>
      <w:r>
        <w:t>Próximo marco decisivo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O próximo marco não é adicionar mais complexidade ao código. É gerar o primeiro resultado de stock-picking com fundamentos SEC identificados por available_date, preços ajustados, universo por data e custos explícitos. Só esse resultado poderá confirmar ou rejeitar as teses de fator, momentum, reversão e diversificação.</w:t>
      </w:r>
    </w:p>
    <w:p>
      <w:pPr>
        <w:pStyle w:val="Heading1"/>
        <w:keepNext/>
        <w:keepLines/>
        <w:widowControl/>
      </w:pPr>
      <w:r>
        <w:t>11. Conclusão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 VCapital encerra esta etapa com uma base técnica acima do nível de protótipo informal: arquitetura modular, parâmetros centralizados, artefatos auditáveis, defasagem correta dos sinais, 20 testes aprovados e backtest proxy com 12 de 12 verificações. A correção para BAA10Y eliminou uma limitação material de dados, e a deriva de pesos alinhou o Sleeve 1 à convenção de compra e manutenção.</w:t>
      </w:r>
    </w:p>
    <w:p>
      <w:pPr>
        <w:keepLines/>
        <w:widowControl/>
      </w:pPr>
      <w:r>
        <w:rPr>
          <w:rFonts w:ascii="Calibri" w:hAnsi="Calibri"/>
          <w:color w:val="222222"/>
          <w:sz w:val="22"/>
        </w:rPr>
        <w:t>Ao mesmo tempo, a evidência exige cautela. O overlay reduziu drawdown, mas piorou retorno e Sharpe; o fundo proxy ficou abaixo do benchmark; e a correlação de 0,96 não sustenta a diversificação prometida pelos ETFs. A qualidade do trabalho está justamente em registrar esses resultados sem transformá-los em promessa.</w:t>
      </w:r>
    </w:p>
    <w:p>
      <w:pPr>
        <w:spacing w:before="120" w:after="200" w:line="276" w:lineRule="auto"/>
        <w:ind w:left="173" w:right="173"/>
        <w:shd w:fill="F4F6F9"/>
        <w:pBdr>
          <w:left w:val="single" w:sz="18" w:space="8" w:color="2A7F7F"/>
        </w:pBdr>
        <w:keepLines/>
        <w:widowControl/>
      </w:pPr>
      <w:r>
        <w:rPr>
          <w:rFonts w:ascii="Calibri" w:hAnsi="Calibri"/>
          <w:b/>
          <w:color w:val="2A7F7F"/>
          <w:sz w:val="21"/>
        </w:rPr>
        <w:t xml:space="preserve">Status final: </w:t>
      </w:r>
      <w:r>
        <w:rPr>
          <w:rFonts w:ascii="Calibri" w:hAnsi="Calibri"/>
          <w:color w:val="222222"/>
          <w:sz w:val="21"/>
        </w:rPr>
        <w:t>Projeto apto para pesquisa reproduzível, coleta final de dados e paper trading. Não apto, nesta versão, para recomendação de investimento ou execução autônoma com capital real.</w:t>
      </w:r>
    </w:p>
    <w:p>
      <w:r>
        <w:br w:type="page"/>
      </w:r>
    </w:p>
    <w:p>
      <w:pPr>
        <w:pStyle w:val="Heading1"/>
        <w:keepNext/>
        <w:keepLines/>
        <w:widowControl/>
      </w:pPr>
      <w:r>
        <w:t>Referências e fontes</w:t>
      </w:r>
    </w:p>
    <w:p>
      <w:pPr>
        <w:spacing w:after="120"/>
        <w:ind w:left="259" w:hanging="259"/>
        <w:keepLines/>
        <w:widowControl/>
      </w:pPr>
      <w:r>
        <w:rPr>
          <w:rFonts w:ascii="Calibri" w:hAnsi="Calibri"/>
          <w:color w:val="222222"/>
          <w:sz w:val="19"/>
        </w:rPr>
        <w:t xml:space="preserve">Federal Reserve Bank of St. Louis. BAA10Y: Moody's Seasoned Baa Corporate Bond Yield Relative to Yield on 10-Year Treasury Constant Maturity. Série diária; histórico desde 1986. Acesso em 2 ago. 2026. </w:t>
      </w:r>
      <w:hyperlink r:id="rId17">
        <w:r>
          <w:rPr>
            <w:color w:val="2E74B5"/>
            <w:u w:val="single"/>
          </w:rPr>
          <w:t>FRED - BAA10Y</w:t>
        </w:r>
      </w:hyperlink>
    </w:p>
    <w:p>
      <w:pPr>
        <w:spacing w:after="120"/>
        <w:ind w:left="259" w:hanging="259"/>
        <w:keepLines/>
        <w:widowControl/>
      </w:pPr>
      <w:r>
        <w:rPr>
          <w:rFonts w:ascii="Calibri" w:hAnsi="Calibri"/>
          <w:color w:val="222222"/>
          <w:sz w:val="19"/>
        </w:rPr>
        <w:t xml:space="preserve">ICE Data Indices / FRED. BAMLH0A0HYM2: ICE BofA US High Yield Index Option-Adjusted Spread. Nota de que, a partir de abril de 2026, a série inclui somente três anos de observações. Acesso em 2 ago. 2026. </w:t>
      </w:r>
      <w:hyperlink r:id="rId18">
        <w:r>
          <w:rPr>
            <w:color w:val="2E74B5"/>
            <w:u w:val="single"/>
          </w:rPr>
          <w:t>FRED - BAMLH0A0HYM2</w:t>
        </w:r>
      </w:hyperlink>
    </w:p>
    <w:p>
      <w:pPr>
        <w:spacing w:after="120"/>
        <w:ind w:left="259" w:hanging="259"/>
        <w:keepLines/>
        <w:widowControl/>
      </w:pPr>
      <w:r>
        <w:rPr>
          <w:rFonts w:ascii="Calibri" w:hAnsi="Calibri"/>
          <w:color w:val="222222"/>
          <w:sz w:val="19"/>
        </w:rPr>
        <w:t xml:space="preserve">U.S. Securities and Exchange Commission. EDGAR Application Programming Interfaces: submissions e XBRL companyfacts. Acesso em 2 ago. 2026. </w:t>
      </w:r>
      <w:hyperlink r:id="rId19">
        <w:r>
          <w:rPr>
            <w:color w:val="2E74B5"/>
            <w:u w:val="single"/>
          </w:rPr>
          <w:t>SEC - EDGAR APIs</w:t>
        </w:r>
      </w:hyperlink>
    </w:p>
    <w:p>
      <w:pPr>
        <w:spacing w:after="120"/>
        <w:ind w:left="259" w:hanging="259"/>
        <w:keepLines/>
        <w:widowControl/>
      </w:pPr>
      <w:r>
        <w:rPr>
          <w:rFonts w:ascii="Calibri" w:hAnsi="Calibri"/>
          <w:color w:val="222222"/>
          <w:sz w:val="19"/>
        </w:rPr>
        <w:t xml:space="preserve">Kenneth R. French. Data Library: fatores Fama-French e Momentum. Acesso em 2 ago. 2026. </w:t>
      </w:r>
      <w:hyperlink r:id="rId20">
        <w:r>
          <w:rPr>
            <w:color w:val="2E74B5"/>
            <w:u w:val="single"/>
          </w:rPr>
          <w:t>Kenneth French Data Library</w:t>
        </w:r>
      </w:hyperlink>
    </w:p>
    <w:p>
      <w:pPr>
        <w:pStyle w:val="Heading2"/>
        <w:keepNext/>
        <w:keepLines/>
        <w:widowControl/>
      </w:pPr>
      <w:r>
        <w:t>Artefatos internos consultados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quant_fund/: implementação dos sleeves, consolidação e exportação.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scripts/backtest_auditoria.py: backtest preliminar, métricas, gráficos e auditoria.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resultados/: manifesto, séries mensais, tabelas e imagens regeneradas.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Next/>
        <w:keepLines/>
        <w:widowControl/>
      </w:pPr>
      <w:r>
        <w:rPr>
          <w:rFonts w:ascii="Calibri" w:hAnsi="Calibri"/>
          <w:color w:val="222222"/>
          <w:sz w:val="22"/>
        </w:rPr>
        <w:t>dados/STATUS_AGENTE_DADOS.md: disponibilidade, proveniência e pendências.</w:t>
      </w:r>
    </w:p>
    <w:p>
      <w:pPr>
        <w:pStyle w:val="ListParagraph"/>
        <w:spacing w:before="0" w:after="80" w:line="290" w:lineRule="auto"/>
        <w:numPr>
          <w:ilvl w:val="0"/>
          <w:numId w:val="10"/>
        </w:numPr>
        <w:keepLines/>
        <w:widowControl/>
      </w:pPr>
      <w:r>
        <w:rPr>
          <w:rFonts w:ascii="Calibri" w:hAnsi="Calibri"/>
          <w:color w:val="222222"/>
          <w:sz w:val="22"/>
        </w:rPr>
        <w:t>tests/: 20 testes unitários aprovados em 2 de agosto de 2026.</w:t>
      </w:r>
    </w:p>
    <w:p>
      <w:pPr>
        <w:spacing w:before="120" w:after="200" w:line="276" w:lineRule="auto"/>
        <w:ind w:left="173" w:right="173"/>
        <w:shd w:fill="F4F6F9"/>
        <w:pBdr>
          <w:left w:val="single" w:sz="18" w:space="8" w:color="9B1C1C"/>
        </w:pBdr>
        <w:keepLines/>
        <w:widowControl/>
      </w:pPr>
      <w:r>
        <w:rPr>
          <w:rFonts w:ascii="Calibri" w:hAnsi="Calibri"/>
          <w:b/>
          <w:color w:val="9B1C1C"/>
          <w:sz w:val="21"/>
        </w:rPr>
        <w:t xml:space="preserve">Aviso: </w:t>
      </w:r>
      <w:r>
        <w:rPr>
          <w:rFonts w:ascii="Calibri" w:hAnsi="Calibri"/>
          <w:color w:val="222222"/>
          <w:sz w:val="21"/>
        </w:rPr>
        <w:t>Documento acadêmico e informativo. Resultados passados, especialmente obtidos por proxies e simulações, não garantem desempenho futuro.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666666"/>
        <w:sz w:val="17"/>
      </w:rPr>
      <w:t xml:space="preserve">VCapital | 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/>
        <w:b/>
        <w:color w:val="666666"/>
        <w:sz w:val="17"/>
      </w:rPr>
      <w:t>VCAPITAL</w:t>
    </w:r>
    <w:r>
      <w:tab/>
    </w:r>
    <w:r>
      <w:rPr>
        <w:rFonts w:ascii="Calibri" w:hAnsi="Calibri"/>
        <w:color w:val="666666"/>
        <w:sz w:val="17"/>
      </w:rPr>
      <w:t>Fundo sistemático multi-sleeve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yperlink" Target="https://fred.stlouisfed.org/series/BAA10Y" TargetMode="External"/><Relationship Id="rId18" Type="http://schemas.openxmlformats.org/officeDocument/2006/relationships/hyperlink" Target="https://fred.stlouisfed.org/series/BAMLH0A0HYM2" TargetMode="External"/><Relationship Id="rId19" Type="http://schemas.openxmlformats.org/officeDocument/2006/relationships/hyperlink" Target="https://www.sec.gov/search-filings/edgar-application-programming-interfaces" TargetMode="External"/><Relationship Id="rId20" Type="http://schemas.openxmlformats.org/officeDocument/2006/relationships/hyperlink" Target="https://mba.tuck.dartmouth.edu/pages/faculty/ken.french/Data_Librar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Final - Fundo Sistemático Multi-Sleeve - VCapital</dc:title>
  <dc:subject>Desenvolvimento, auditoria técnica e validação preliminar por proxies</dc:subject>
  <dc:creator>VCapital</dc:creator>
  <cp:keywords>quantitativo, multi-sleeve, backtest, BAA10Y, TradingView, VCapital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