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Problema2</w:t>
      </w:r>
      <w:r>
        <w:t xml:space="preserve"> </w:t>
      </w:r>
      <w:r>
        <w:t xml:space="preserve">-</w:t>
      </w:r>
      <w:r>
        <w:t xml:space="preserve"> </w:t>
      </w:r>
      <w:r>
        <w:t xml:space="preserve">Parte2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Sena</w:t>
      </w:r>
    </w:p>
    <w:p>
      <w:pPr>
        <w:pStyle w:val="Date"/>
      </w:pPr>
      <w:r>
        <w:t xml:space="preserve">05/01/2015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Heading1"/>
      </w:pPr>
      <w:bookmarkStart w:id="21" w:name="descricao-dos-dados"/>
      <w:bookmarkEnd w:id="21"/>
      <w:r>
        <w:t xml:space="preserve">Descrição dos dados: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deputados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"AnoAtual.csv"</w:t>
      </w:r>
      <w:r>
        <w:rPr>
          <w:rStyle w:val="NormalTok"/>
        </w:rPr>
        <w:t xml:space="preserve">)</w:t>
      </w:r>
    </w:p>
    <w:p>
      <w:r>
        <w:t xml:space="preserve">Os dados usados nesse experimento foram obtidos do site da Câmara dos Deputados e seu conteúdo pode ser acessado clicando</w:t>
      </w:r>
      <w:r>
        <w:t xml:space="preserve"> </w:t>
      </w:r>
      <w:hyperlink r:id="rId22">
        <w:r>
          <w:rPr>
            <w:rStyle w:val="Link"/>
          </w:rPr>
          <w:t xml:space="preserve">aqui</w:t>
        </w:r>
      </w:hyperlink>
      <w:r>
        <w:t xml:space="preserve">. Tais dados são relativos aos gastos parlamentares registrados na Câmara dos Deputados. Abaixo, pode ser visto uma pequena amostra do seu conteúdo: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(deputados, txNomeParlamentar, ideCadastro, sgPartido,  vlrLiquido)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(amostra,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txNomeParlamentar ideCadastro sgPartido vlrLiquido</w:t>
      </w:r>
      <w:r>
        <w:br w:type="textWrapping"/>
      </w:r>
      <w:r>
        <w:rPr>
          <w:rStyle w:val="VerbatimChar"/>
        </w:rPr>
        <w:t xml:space="preserve">## 1      LUIS CARLOS HEINZE       73483        PP    3700.00</w:t>
      </w:r>
      <w:r>
        <w:br w:type="textWrapping"/>
      </w:r>
      <w:r>
        <w:rPr>
          <w:rStyle w:val="VerbatimChar"/>
        </w:rPr>
        <w:t xml:space="preserve">## 2          GERALDO THADEU       74151       PSD    3504.55</w:t>
      </w:r>
      <w:r>
        <w:br w:type="textWrapping"/>
      </w:r>
      <w:r>
        <w:rPr>
          <w:rStyle w:val="VerbatimChar"/>
        </w:rPr>
        <w:t xml:space="preserve">## 3   CARLOS EDUARDO CADOCA       74474     PCdoB    1450.90</w:t>
      </w:r>
      <w:r>
        <w:br w:type="textWrapping"/>
      </w:r>
      <w:r>
        <w:rPr>
          <w:rStyle w:val="VerbatimChar"/>
        </w:rPr>
        <w:t xml:space="preserve">## 4              JOÃO DERLY      178965     PCdoB     988.10</w:t>
      </w:r>
      <w:r>
        <w:br w:type="textWrapping"/>
      </w:r>
      <w:r>
        <w:rPr>
          <w:rStyle w:val="VerbatimChar"/>
        </w:rPr>
        <w:t xml:space="preserve">## 5            MILTON MONTI       74787        PR     952.50</w:t>
      </w:r>
      <w:r>
        <w:br w:type="textWrapping"/>
      </w:r>
      <w:r>
        <w:rPr>
          <w:rStyle w:val="VerbatimChar"/>
        </w:rPr>
        <w:t xml:space="preserve">## 6        LAERCIO OLIVEIRA      151208        SD     853.60</w:t>
      </w:r>
      <w:r>
        <w:br w:type="textWrapping"/>
      </w:r>
      <w:r>
        <w:rPr>
          <w:rStyle w:val="VerbatimChar"/>
        </w:rPr>
        <w:t xml:space="preserve">## 7        NILMÁRIO MIRANDA       74751        PT     694.80</w:t>
      </w:r>
      <w:r>
        <w:br w:type="textWrapping"/>
      </w:r>
      <w:r>
        <w:rPr>
          <w:rStyle w:val="VerbatimChar"/>
        </w:rPr>
        <w:t xml:space="preserve">## 8  JOÃO FERNANDO COUTINHO      178917       PSB     603.72</w:t>
      </w:r>
      <w:r>
        <w:br w:type="textWrapping"/>
      </w:r>
      <w:r>
        <w:rPr>
          <w:rStyle w:val="VerbatimChar"/>
        </w:rPr>
        <w:t xml:space="preserve">## 9          GORETE PEREIRA      129618        PR     599.00</w:t>
      </w:r>
      <w:r>
        <w:br w:type="textWrapping"/>
      </w:r>
      <w:r>
        <w:rPr>
          <w:rStyle w:val="VerbatimChar"/>
        </w:rPr>
        <w:t xml:space="preserve">## 10     JOSÉ AIRTON CIRILO      141464        PT     599.00</w:t>
      </w:r>
    </w:p>
    <w:p>
      <w:r>
        <w:t xml:space="preserve">Todas as variáveis/colunas e suas, respectivas, descrições podem ser visualizadas no</w:t>
      </w:r>
      <w:r>
        <w:t xml:space="preserve"> </w:t>
      </w:r>
      <w:hyperlink r:id="rId23">
        <w:r>
          <w:rPr>
            <w:rStyle w:val="Link"/>
          </w:rPr>
          <w:t xml:space="preserve">link</w:t>
        </w:r>
      </w:hyperlink>
      <w:r>
        <w:t xml:space="preserve">.</w:t>
      </w:r>
    </w:p>
    <w:p>
      <w:pPr>
        <w:pStyle w:val="Heading1"/>
      </w:pPr>
      <w:bookmarkStart w:id="24" w:name="analisando-os-dados"/>
      <w:bookmarkEnd w:id="24"/>
      <w:r>
        <w:t xml:space="preserve">Analisando os dados</w:t>
      </w:r>
    </w:p>
    <w:p>
      <w:r>
        <w:t xml:space="preserve">Com esses dados em mãos, nós podemos fazer algumas análises interessantes sobre eles. Por exemplo, vamos calcular a média da variável "vlrLiquido" para aquelas despesas relativa à serviços portais.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servicosPostais_gastos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deputados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(txNomeParlamentar,vlrLiquido,txtDescricao,sgUF,sgPartido)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(txtDescricao ==</w:t>
      </w:r>
      <w:r>
        <w:rPr>
          <w:rStyle w:val="StringTok"/>
        </w:rPr>
        <w:t xml:space="preserve"> "SERVIÇOS POSTAIS"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(servicosPostais_gastos$vlrLiquido)</w:t>
      </w:r>
    </w:p>
    <w:p>
      <w:pPr>
        <w:pStyle w:val="SourceCode"/>
      </w:pPr>
      <w:r>
        <w:rPr>
          <w:rStyle w:val="VerbatimChar"/>
        </w:rPr>
        <w:t xml:space="preserve">## [1] 118.2888</w:t>
      </w:r>
    </w:p>
    <w:p>
      <w:r>
        <w:t xml:space="preserve">A fim de fazer uma análise mais detalhada, abaixo se encontra a função de distribuição de probabilidade, no qual representas chances de um determinado valor ser assumido pela variavel.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servicosPostais_gastos,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(vlrLiquido))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servicosPostais_gastos,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(vlrLiquido))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Visualizando distribuição de probabilidade do gráfico acima, podemos observar que a variável apresenta uma maior chance de obter valores abaixo de R$500,00 reais. A partir dos gráficos acima observados, podemos demontrar alguns conceitos interessantes de estatistica, como por exemplo: O teorema do limite central. Tal teorema afirma que "Qualquer que seja a distribuição da variável de interesse para grande amostras, a distribuição das médias amostrais serão aproximadamente normalmente distribuídas". A fim de um melhor entendimento sobre o teorema, podemos demontrá-lo utilizando os gastos de Serviços Postais dos deputados.</w:t>
      </w:r>
    </w:p>
    <w:p>
      <w:r>
        <w:t xml:space="preserve">Primeiramente, vamos reunir 10 amostras de tamanho 100 da nossa população e calcular, para cada amostra, sua média. Feito isso, vamos visualizar a distribuição de probabilidade para as médias das nossas amostras.</w:t>
      </w:r>
    </w:p>
    <w:p>
      <w:pPr>
        <w:pStyle w:val="Heading1"/>
      </w:pPr>
      <w:bookmarkStart w:id="27" w:name="amostras-coletadas"/>
      <w:bookmarkEnd w:id="27"/>
      <w:r>
        <w:t xml:space="preserve">10 amostras coletadas</w:t>
      </w:r>
    </w:p>
    <w:p>
      <w:pPr>
        <w:pStyle w:val="SourceCode"/>
      </w:pPr>
      <w:r>
        <w:rPr>
          <w:rStyle w:val="NormalTok"/>
        </w:rPr>
        <w:t xml:space="preserve">dist_original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servicosPostais_gastos$vlrLiquido</w:t>
      </w:r>
      <w:r>
        <w:br w:type="textWrapping"/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amostras_media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uma_amostra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amostras_media[i]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(uma_amostra)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(amostras_media),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(amostras_media))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Aparentemente, a distribuição acima, não se apresenta muito similar a uma distribuição normal. Contudo, se continuarmos a aumentar o números de amostras coletadas o Teorema Central do Limite poderá ser constatado.</w:t>
      </w:r>
    </w:p>
    <w:p>
      <w:pPr>
        <w:pStyle w:val="Heading1"/>
      </w:pPr>
      <w:bookmarkStart w:id="29" w:name="amostras-coletadas-1"/>
      <w:bookmarkEnd w:id="29"/>
      <w:r>
        <w:t xml:space="preserve">100 amostras coletadas</w:t>
      </w:r>
    </w:p>
    <w:p>
      <w:pPr>
        <w:pStyle w:val="SourceCode"/>
      </w:pPr>
      <w:r>
        <w:rPr>
          <w:rStyle w:val="NormalTok"/>
        </w:rPr>
        <w:t xml:space="preserve">dist_original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servicosPostais_gastos$vlrLiquido</w:t>
      </w:r>
      <w:r>
        <w:br w:type="textWrapping"/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amostras_media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uma_amostra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amostras_media[i]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(uma_amostra)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(amostras_media),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(amostras_media))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amostras-coletadas-2"/>
      <w:bookmarkEnd w:id="31"/>
      <w:r>
        <w:t xml:space="preserve">1000 amostras coletadas</w:t>
      </w:r>
    </w:p>
    <w:p>
      <w:pPr>
        <w:pStyle w:val="SourceCode"/>
      </w:pPr>
      <w:r>
        <w:rPr>
          <w:rStyle w:val="NormalTok"/>
        </w:rPr>
        <w:t xml:space="preserve">dist_original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servicosPostais_gastos$vlrLiquido</w:t>
      </w:r>
      <w:r>
        <w:br w:type="textWrapping"/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amostras_media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uma_amostra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amostras_media[i]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(uma_amostra)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(amostras_media),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(amostras_media))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amostras-coletadas-3"/>
      <w:bookmarkEnd w:id="33"/>
      <w:r>
        <w:t xml:space="preserve">10000 amostras coletadas</w:t>
      </w:r>
    </w:p>
    <w:p>
      <w:pPr>
        <w:pStyle w:val="SourceCode"/>
      </w:pPr>
      <w:r>
        <w:rPr>
          <w:rStyle w:val="NormalTok"/>
        </w:rPr>
        <w:t xml:space="preserve">dist_original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servicosPostais_gastos$vlrLiquido</w:t>
      </w:r>
      <w:r>
        <w:br w:type="textWrapping"/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br w:type="textWrapping"/>
      </w:r>
      <w:r>
        <w:rPr>
          <w:rStyle w:val="NormalTok"/>
        </w:rPr>
        <w:t xml:space="preserve">amostras_media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uma_amostra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amostras_media[i]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(uma_amostra)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(amostras_media),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(amostras_media))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Podemos observar que à medida que aumentamos o número de amostras a forma da nossa distribuição se aproxima cada vez mais da forma de uma distribuição normal.</w:t>
      </w:r>
    </w:p>
    <w:p>
      <w:pPr>
        <w:pStyle w:val="Heading1"/>
      </w:pPr>
      <w:bookmarkStart w:id="35" w:name="intervalos-de-confianca"/>
      <w:bookmarkEnd w:id="35"/>
      <w:r>
        <w:t xml:space="preserve">Intervalos de Confiança</w:t>
      </w:r>
    </w:p>
    <w:p>
      <w:r>
        <w:t xml:space="preserve">Outro conceito interessante, e que vale ser mencionado nessa análise, é o conceito de Intervalos de Confiança, no qual se destinam a mensurar um intervalo, relativo a média de cada amostra, onde a média da população se encontra. Ou seja, se eu tenho uma amostra com média X, então eu posso determinar um intervalo relativo à X, no qual a média da população pode estar inserida. Esse intervalo será determinado pode ser definido como:</w:t>
      </w:r>
      <w:r>
        <w:t xml:space="preserve"> </w:t>
      </w:r>
      <w:r>
        <w:rPr>
          <w:b/>
        </w:rPr>
        <w:t xml:space="preserve">(X - Erro, X + Erro)</w:t>
      </w:r>
      <w:r>
        <w:t xml:space="preserve">.Onde, o erro será definido pela fórmula:</w:t>
      </w:r>
      <w:r>
        <w:br w:type="textWrapping"/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p</m:t>
          </m:r>
          <m:r>
            <m:rPr>
              <m:sty m:val="p"/>
            </m:rPr>
            <m:t>=</m:t>
          </m:r>
          <m:r>
            <m:rPr>
              <m:sty m:val="p"/>
            </m:rPr>
            <m:t>d</m:t>
          </m:r>
          <m:r>
            <m:rPr>
              <m:sty m:val="p"/>
            </m:rPr>
            <m:t>e</m:t>
          </m:r>
          <m:r>
            <m:rPr>
              <m:sty m:val="p"/>
            </m:rPr>
            <m:t>s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o</m:t>
          </m:r>
          <m:r>
            <m:rPr>
              <m:sty m:val="p"/>
            </m:rPr>
            <m:t>P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o</m:t>
          </m:r>
          <m:r>
            <m:rPr>
              <m:sty m:val="p"/>
            </m:rPr>
            <m:t>(</m:t>
          </m:r>
          <m:r>
            <m:rPr>
              <m:sty m:val="p"/>
            </m:rPr>
            <m:t>a</m:t>
          </m:r>
          <m:r>
            <m:rPr>
              <m:sty m:val="p"/>
            </m:rPr>
            <m:t>m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)</m:t>
          </m:r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r</m:t>
          </m:r>
          <m:r>
            <m:rPr>
              <m:sty m:val="p"/>
            </m:rPr>
            <m:t>o</m:t>
          </m:r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m:rPr>
              <m:sty m:val="p"/>
            </m:rPr>
            <m:t>.</m:t>
          </m:r>
          <m:r>
            <m:rPr>
              <m:sty m:val="p"/>
            </m:rPr>
            <m:t>96</m:t>
          </m:r>
          <m:r>
            <m:rPr>
              <m:sty m:val="p"/>
            </m:rPr>
            <m:t>*</m:t>
          </m:r>
          <m:r>
            <m:rPr>
              <m:sty m:val="p"/>
            </m:rPr>
            <m:t>d</m:t>
          </m:r>
          <m:r>
            <m:rPr>
              <m:sty m:val="p"/>
            </m:rPr>
            <m:t>p</m:t>
          </m:r>
          <m:r>
            <m:rPr>
              <m:sty m:val="p"/>
            </m:rPr>
            <m:t>/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i</m:t>
          </m:r>
          <m:r>
            <m:rPr>
              <m:sty m:val="p"/>
            </m:rPr>
            <m:t>z</m:t>
          </m:r>
          <m:r>
            <m:rPr>
              <m:sty m:val="p"/>
            </m:rPr>
            <m:t>Q</m:t>
          </m:r>
          <m:r>
            <m:rPr>
              <m:sty m:val="p"/>
            </m:rPr>
            <m:t>u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a</m:t>
          </m:r>
          <m:r>
            <m:rPr>
              <m:sty m:val="p"/>
            </m:rPr>
            <m:t>(</m:t>
          </m:r>
          <m:r>
            <m:rPr>
              <m:sty m:val="p"/>
            </m:rPr>
            <m:t>a</m:t>
          </m:r>
          <m:r>
            <m:rPr>
              <m:sty m:val="p"/>
            </m:rPr>
            <m:t>m</m:t>
          </m:r>
          <m:r>
            <m:rPr>
              <m:sty m:val="p"/>
            </m:rPr>
            <m:t>o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T</m:t>
          </m:r>
          <m:r>
            <m:rPr>
              <m:sty m:val="p"/>
            </m:rPr>
            <m:t>a</m:t>
          </m:r>
          <m:r>
            <m:rPr>
              <m:sty m:val="p"/>
            </m:rPr>
            <m:t>m</m:t>
          </m:r>
          <m:r>
            <m:rPr>
              <m:sty m:val="p"/>
            </m:rPr>
            <m:t>a</m:t>
          </m:r>
          <m:r>
            <m:rPr>
              <m:sty m:val="p"/>
            </m:rPr>
            <m:t>n</m:t>
          </m:r>
          <m:r>
            <m:rPr>
              <m:sty m:val="p"/>
            </m:rPr>
            <m:t>h</m:t>
          </m:r>
          <m:r>
            <m:rPr>
              <m:sty m:val="p"/>
            </m:rPr>
            <m:t>o</m:t>
          </m:r>
          <m:r>
            <m:rPr>
              <m:sty m:val="p"/>
            </m:rPr>
            <m:t>)</m:t>
          </m:r>
        </m:oMath>
      </m:oMathPara>
    </w:p>
    <w:p>
      <w:r>
        <w:t xml:space="preserve">Assim sendo, podemos definir um intervalo de confiança para cada amostra coletada anteriormente e visualizar tais intervalos em um gráfico.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dist_original &lt;-(servicosPostais_gastos$vlrLiquido)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amostra_tamanho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num_amostras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(dist_original)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calcula_intervalo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function(amostra,tamanhoAmostra){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(amostra)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(tamanhoAmostra)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(amostra)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superior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(amostra)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(amostra) 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=inferior,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=superior)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sample_cis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num_amostras)){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calcula_intervalo</w:t>
      </w:r>
      <w:r>
        <w:rPr>
          <w:rStyle w:val="NormalTok"/>
        </w:rPr>
        <w:t xml:space="preserve">(a_sample,  amostra_tamanho)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sample_cis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(sample_cis,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sample_cis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sample_cis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contains_pop_mean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(upper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pop_mean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pop_mean))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(sample_cis,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(sample_cis),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contains_pop_mean))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CommentTok"/>
        </w:rPr>
        <w:t xml:space="preserve">#          geom_hline(aes(yintercept=mean(mean(dist_original))))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pop_mean))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e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Cada ponto azul e vermelho acima representa o valor da média da amostra, onde as barras acima e abaixo dos pontos representa a extensão dos seus, respectivos, intervalos de confiança. Os pontos e barras vermelhos são aqueles no qual a média da população não se encontra inserida nos seus intervalos. A barra preta desenhada horizontalmente representa a média da população.</w:t>
      </w:r>
    </w:p>
    <w:p>
      <w:r>
        <w:t xml:space="preserve">Eu calculei os intervalos com um nível de confiança de 95%, ou seja, a probabilidade de que , com várias repetições, os intervalos conterão o verdadeiro valor do parâmetro. O que é facilmente observado no gráfico, pois apenas seis intervalos não contiveram a média da população. É importante notar que as margens de erros dos intervalos são inversamente proporcionais ao tamanho das amostras, ou seja, quanto maior o tamanho menor a margem de erro.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a6a4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://www2.camara.leg.br/transparencia/cota-para-exercicio-da-atividade-parlamentar/dados-abertos-cota-parlamentar" TargetMode="External" /><Relationship Type="http://schemas.openxmlformats.org/officeDocument/2006/relationships/hyperlink" Id="rId23" Target="http://www2.camara.leg.br/transparencia/cota-para-exercicio-da-atividade-parlamentar/explicacoes-sobre-o-formato-dos-arquivos-x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2.camara.leg.br/transparencia/cota-para-exercicio-da-atividade-parlamentar/dados-abertos-cota-parlamentar" TargetMode="External" /><Relationship Type="http://schemas.openxmlformats.org/officeDocument/2006/relationships/hyperlink" Id="rId23" Target="http://www2.camara.leg.br/transparencia/cota-para-exercicio-da-atividade-parlamentar/explicacoes-sobre-o-formato-dos-arquivos-x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Problema2 - Parte2</dc:title>
  <dc:creator>Arthur Sena</dc:creator>
  <dcterms:created xsi:type="dcterms:W3CDTF">2015-05-01</dcterms:created>
  <dcterms:modified xsi:type="dcterms:W3CDTF">2015-05-01</dcterms:modified>
</cp:coreProperties>
</file>