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15980f08b99d46c93e7b0b5bb8043aa05083a"/>
      <w:r>
        <w:t xml:space="preserve">Opinião do grupo e comparativo com a atividade anterior</w:t>
      </w:r>
      <w:bookmarkEnd w:id="20"/>
    </w:p>
    <w:p>
      <w:pPr>
        <w:pStyle w:val="BlockText"/>
      </w:pPr>
      <w:r>
        <w:rPr>
          <w:b/>
        </w:rPr>
        <w:t xml:space="preserve">[RASCUNHO — a ser escrito pelo grupo.]</w:t>
      </w:r>
      <w:r>
        <w:t xml:space="preserve"> </w:t>
      </w:r>
      <w:r>
        <w:t xml:space="preserve">O professor pediu explicitamente as opiniões</w:t>
      </w:r>
      <w:r>
        <w:t xml:space="preserve"> </w:t>
      </w:r>
      <w:r>
        <w:rPr>
          <w:i/>
        </w:rPr>
        <w:t xml:space="preserve">de vocês</w:t>
      </w:r>
      <w:r>
        <w:t xml:space="preserve">, não as do LLM. Este arquivo traz a estrutura sugerida e, em cada seção, a matéria-prima coletada durante a sessão — fatos que vocês podem citar. O texto final deve sair das palavras de vocês, incluindo discordâncias.</w:t>
      </w:r>
    </w:p>
    <w:p>
      <w:pPr>
        <w:pStyle w:val="Heading2"/>
      </w:pPr>
      <w:bookmarkStart w:id="21" w:name="como-trabalhamos-das-duas-vezes"/>
      <w:r>
        <w:t xml:space="preserve">1. Como trabalhamos das duas vezes</w:t>
      </w:r>
      <w:bookmarkEnd w:id="21"/>
    </w:p>
    <w:p>
      <w:pPr>
        <w:pStyle w:val="FirstParagraph"/>
      </w:pPr>
      <w:r>
        <w:rPr>
          <w:i/>
        </w:rPr>
        <w:t xml:space="preserve">[Escrever: na atividade anterior, prompt direto pedindo a arquitetura; nesta, sessão estruturada em níveis (Capabilities → Components → Interactions → Contracts), com 17 perguntas, opções com trade-offs e aprovação nossa em cada checkpoint, seguindo o artigo Design-First Collaboration.]</w:t>
      </w:r>
    </w:p>
    <w:p>
      <w:pPr>
        <w:pStyle w:val="Heading2"/>
      </w:pPr>
      <w:bookmarkStart w:id="22" w:name="o-que-mudou-no-resultado"/>
      <w:r>
        <w:t xml:space="preserve">2. O que mudou no resultado</w:t>
      </w:r>
      <w:bookmarkEnd w:id="22"/>
    </w:p>
    <w:p>
      <w:pPr>
        <w:pStyle w:val="FirstParagraph"/>
      </w:pPr>
      <w:r>
        <w:t xml:space="preserve">Matéria-prima:</w:t>
      </w:r>
    </w:p>
    <w:p>
      <w:pPr>
        <w:numPr>
          <w:ilvl w:val="0"/>
          <w:numId w:val="1001"/>
        </w:numPr>
        <w:pStyle w:val="Compact"/>
      </w:pPr>
      <w:r>
        <w:t xml:space="preserve">Na atividade anterior, o LLM recomendou uma arquitetura em camadas parecida com um monólito modular e, em cima disso, ainda empilhou vários microserviços — fronteiras por</w:t>
      </w:r>
      <w:r>
        <w:t xml:space="preserve"> </w:t>
      </w:r>
      <w:r>
        <w:t xml:space="preserve">“</w:t>
      </w:r>
      <w:r>
        <w:t xml:space="preserve">domínio bonito</w:t>
      </w:r>
      <w:r>
        <w:t xml:space="preserve">”</w:t>
      </w:r>
      <w:r>
        <w:t xml:space="preserve">, sem justificativa de carga ou criticidade. Nesta sessão, a decomposição saiu com 3 serviços, cada fronteira justificada por um critério mensurável (volume de escrita da telemetria; isolamento de falha do caminho de emergência — ADR 0002).</w:t>
      </w:r>
    </w:p>
    <w:p>
      <w:pPr>
        <w:numPr>
          <w:ilvl w:val="0"/>
          <w:numId w:val="1001"/>
        </w:numPr>
        <w:pStyle w:val="Compact"/>
      </w:pPr>
      <w:r>
        <w:t xml:space="preserve">Desta vez cada decisão tem alternativa rejeitada documentada (9 ADRs), glossário canônico de 15 termos e critérios de qualidade avaliados por cenários.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[Anexar o diagrama da atividade anterior lado a lado com o novo e comentar as diferenças.]</w:t>
      </w:r>
    </w:p>
    <w:p>
      <w:pPr>
        <w:pStyle w:val="Heading2"/>
      </w:pPr>
      <w:bookmarkStart w:id="23" w:name="X7dc1b976e57a207af21e5c55c8ee84bf56f7d14"/>
      <w:r>
        <w:t xml:space="preserve">3. Onde NÓS mudamos o design (a colaboração de verdade)</w:t>
      </w:r>
      <w:bookmarkEnd w:id="23"/>
    </w:p>
    <w:p>
      <w:pPr>
        <w:pStyle w:val="FirstParagraph"/>
      </w:pPr>
      <w:r>
        <w:t xml:space="preserve">Matéria-prima — três reversões e duas contribuições: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Modelo Waze (ADR 0007):</w:t>
      </w:r>
      <w:r>
        <w:t xml:space="preserve"> </w:t>
      </w:r>
      <w:r>
        <w:t xml:space="preserve">o LLM propôs agregação automática de relatos por heurística (raio + janela + espécie, entidade</w:t>
      </w:r>
      <w:r>
        <w:t xml:space="preserve"> </w:t>
      </w:r>
      <w:r>
        <w:t xml:space="preserve">“</w:t>
      </w:r>
      <w:r>
        <w:t xml:space="preserve">Presença</w:t>
      </w:r>
      <w:r>
        <w:t xml:space="preserve">”</w:t>
      </w:r>
      <w:r>
        <w:t xml:space="preserve">); nós contrapropusemos o modelo Waze — confirmação humana sobre um Spotting compartilhado — que elimina a heurística e sua taxa de erro.</w:t>
      </w:r>
      <w:r>
        <w:t xml:space="preserve"> </w:t>
      </w:r>
      <w:r>
        <w:rPr>
          <w:i/>
        </w:rPr>
        <w:t xml:space="preserve">[Opinião: como foi discordar e ver o design melhorar?]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recebi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morto:</w:t>
      </w:r>
      <w:r>
        <w:t xml:space="preserve"> </w:t>
      </w:r>
      <w:r>
        <w:t xml:space="preserve">questionamos a utilidade do ack manual; a discussão produziu algo melhor — ack de máquina (Alcançabilidade) + ato humano único (Compromisso), e o ADR 0003 foi emendado em sessão.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Formato híbrido (ADR 0008):</w:t>
      </w:r>
      <w:r>
        <w:t xml:space="preserve"> </w:t>
      </w:r>
      <w:r>
        <w:t xml:space="preserve">rejeitamos Protobuf uniforme; o LLM criticou a própria recomendação ao perceber que a fronteira do híbrido coincide com a fronteira de carga já decidida.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Contribuições nossas que não vieram do LLM:</w:t>
      </w:r>
      <w:r>
        <w:t xml:space="preserve"> </w:t>
      </w:r>
      <w:r>
        <w:t xml:space="preserve">relato adaptativo por zonas (inspiração no Citta Mobbi) e detecção de saída de rota; exigência de store-and-forward para a rede instável.</w:t>
      </w:r>
    </w:p>
    <w:p>
      <w:pPr>
        <w:numPr>
          <w:ilvl w:val="0"/>
          <w:numId w:val="1002"/>
        </w:numPr>
        <w:pStyle w:val="Compact"/>
      </w:pPr>
      <w:r>
        <w:t xml:space="preserve">Sobre a decomposição: concordamos que para o contexto do parque — algo pontual, sem necessidade de microserviços em excesso — os 3 serviços por carga/criticidade fazem mais sentido que a proposta da atividade anterior.</w:t>
      </w:r>
    </w:p>
    <w:p>
      <w:pPr>
        <w:pStyle w:val="Heading2"/>
      </w:pPr>
      <w:bookmarkStart w:id="24" w:name="o-que-achamos-do-processo"/>
      <w:r>
        <w:t xml:space="preserve">4. O que achamos do processo</w:t>
      </w:r>
      <w:bookmarkEnd w:id="24"/>
    </w:p>
    <w:p>
      <w:pPr>
        <w:pStyle w:val="FirstParagraph"/>
      </w:pPr>
      <w:r>
        <w:rPr>
          <w:i/>
        </w:rPr>
        <w:t xml:space="preserve">[Escrever: custo × benefício. O processo foi mais lento que pedir a arquitetura pronta? Entendemos cada decisão em vez de receber um bloco para decifrar? Em que tipo de tarefa NÃO vale a pena (o próprio artigo admite que para tarefas triviais o overhead não se justifica)? Usaríamos de novo?]</w:t>
      </w:r>
    </w:p>
    <w:p>
      <w:pPr>
        <w:pStyle w:val="BodyText"/>
      </w:pPr>
      <w:r>
        <w:t xml:space="preserve">Matéria-prima sobre as ferramentas (detalhes na seção 9 do documento de arquitetura):</w:t>
      </w:r>
    </w:p>
    <w:p>
      <w:pPr>
        <w:numPr>
          <w:ilvl w:val="0"/>
          <w:numId w:val="1003"/>
        </w:numPr>
        <w:pStyle w:val="Compact"/>
      </w:pPr>
      <w:r>
        <w:t xml:space="preserve">O protocolo Design-First foi executado por</w:t>
      </w:r>
      <w:r>
        <w:t xml:space="preserve"> </w:t>
      </w:r>
      <w:r>
        <w:rPr>
          <w:b/>
        </w:rPr>
        <w:t xml:space="preserve">skills</w:t>
      </w:r>
      <w:r>
        <w:t xml:space="preserve"> </w:t>
      </w:r>
      <w:r>
        <w:t xml:space="preserve">do agente:</w:t>
      </w:r>
      <w:r>
        <w:t xml:space="preserve"> </w:t>
      </w:r>
      <w:r>
        <w:rPr>
          <w:rStyle w:val="VerbatimChar"/>
        </w:rPr>
        <w:t xml:space="preserve">grill-with-docs</w:t>
      </w:r>
      <w:r>
        <w:t xml:space="preserve"> </w:t>
      </w:r>
      <w:r>
        <w:t xml:space="preserve">(entrevista incessante com opções + glossário DDD atualizado em tempo real + ADRs sob critério triplo) e</w:t>
      </w:r>
      <w:r>
        <w:t xml:space="preserve"> </w:t>
      </w:r>
      <w:r>
        <w:rPr>
          <w:rStyle w:val="VerbatimChar"/>
        </w:rPr>
        <w:t xml:space="preserve">excalidraw-diagram</w:t>
      </w:r>
      <w:r>
        <w:t xml:space="preserve"> </w:t>
      </w:r>
      <w:r>
        <w:t xml:space="preserve">(diagramas com loop renderiza-inspeciona-corrige).</w:t>
      </w:r>
    </w:p>
    <w:p>
      <w:pPr>
        <w:numPr>
          <w:ilvl w:val="0"/>
          <w:numId w:val="1003"/>
        </w:numPr>
        <w:pStyle w:val="Compact"/>
      </w:pPr>
      <w:r>
        <w:t xml:space="preserve">O glossário (</w:t>
      </w:r>
      <w:r>
        <w:rPr>
          <w:rStyle w:val="VerbatimChar"/>
        </w:rPr>
        <w:t xml:space="preserve">CONTEXT.md</w:t>
      </w:r>
      <w:r>
        <w:t xml:space="preserve">) e os ADRs nasceram</w:t>
      </w:r>
      <w:r>
        <w:t xml:space="preserve"> </w:t>
      </w:r>
      <w:r>
        <w:rPr>
          <w:i/>
        </w:rPr>
        <w:t xml:space="preserve">durante</w:t>
      </w:r>
      <w:r>
        <w:t xml:space="preserve"> </w:t>
      </w:r>
      <w:r>
        <w:t xml:space="preserve">a conversa, termo a termo e decisão a decisão — não houve fase de</w:t>
      </w:r>
      <w:r>
        <w:t xml:space="preserve"> </w:t>
      </w:r>
      <w:r>
        <w:t xml:space="preserve">“</w:t>
      </w:r>
      <w:r>
        <w:t xml:space="preserve">documentar depois</w:t>
      </w:r>
      <w:r>
        <w:t xml:space="preserve">”</w:t>
      </w:r>
      <w:r>
        <w:t xml:space="preserve">; a documentação nunca dessincronizou.</w:t>
      </w:r>
    </w:p>
    <w:p>
      <w:pPr>
        <w:numPr>
          <w:ilvl w:val="0"/>
          <w:numId w:val="1003"/>
        </w:numPr>
        <w:pStyle w:val="Compact"/>
      </w:pPr>
      <w:r>
        <w:t xml:space="preserve">O processo se auto-corrigiu: quando reclamamos das opções superficiais, a regra anti-espantalho foi gravada no repositório e valeu dali em diante.</w:t>
      </w:r>
      <w:r>
        <w:t xml:space="preserve"> </w:t>
      </w:r>
      <w:r>
        <w:rPr>
          <w:i/>
        </w:rPr>
        <w:t xml:space="preserve">[Opinião: isso muda a relação de vocês com a ferramenta?]</w:t>
      </w:r>
    </w:p>
    <w:p>
      <w:pPr>
        <w:numPr>
          <w:ilvl w:val="0"/>
          <w:numId w:val="1003"/>
        </w:numPr>
        <w:pStyle w:val="Compact"/>
      </w:pPr>
      <w:r>
        <w:t xml:space="preserve">A primeira versão dos entregáveis não serviu (6 arquivos interligados com Mermaid, formato de repositório) e nós</w:t>
      </w:r>
      <w:r>
        <w:t xml:space="preserve"> </w:t>
      </w:r>
      <w:r>
        <w:rPr>
          <w:b/>
        </w:rPr>
        <w:t xml:space="preserve">redirecionamos</w:t>
      </w:r>
      <w:r>
        <w:t xml:space="preserve">: documentos autocontidos com ADRs em apêndice, e diagramas em Excalidraw em vez de Mermaid — porque o Mermaid gera layout automático que ninguém controla e que o modelo não enxerga, enquanto no Excalidraw o agente renderiza, olha a imagem e corrige os próprios erros visuais, e o arquivo fica editável por nós.</w:t>
      </w:r>
      <w:r>
        <w:t xml:space="preserve"> </w:t>
      </w:r>
      <w:r>
        <w:rPr>
          <w:i/>
        </w:rPr>
        <w:t xml:space="preserve">[Opinião: a primeira saída da IA raramente é o entregável — como foi a experiência de redirecionar com critérios em vez de reescrever na mão?]</w:t>
      </w:r>
    </w:p>
    <w:p>
      <w:pPr>
        <w:pStyle w:val="Heading2"/>
      </w:pPr>
      <w:bookmarkStart w:id="25" w:name="opinião-sobre-a-arquitetura-final"/>
      <w:r>
        <w:t xml:space="preserve">5. Opinião sobre a arquitetura final</w:t>
      </w:r>
      <w:bookmarkEnd w:id="25"/>
    </w:p>
    <w:p>
      <w:pPr>
        <w:pStyle w:val="FirstParagraph"/>
      </w:pPr>
      <w:r>
        <w:rPr>
          <w:i/>
        </w:rPr>
        <w:t xml:space="preserve">[Escrever: confiamos nela? O que ainda nos incomoda? Pontos honestos para citar: o serviço de Emergência como ponto singular (mitigado por redundância + SMS); a dependência de cooperação dos visitantes no modelo Waze; as decisões deixadas em aberto (hospedagem, auth) — falta de informação ou falha nossa em perguntar?]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2026-06-11T15:40:47Z</dcterms:created>
  <dcterms:modified xsi:type="dcterms:W3CDTF">2026-06-11T15:40:47Z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