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360" w:lineRule="auto" w:after="120" w:before="0"/>
        <w:ind w:firstLine="0"/>
        <w:jc w:val="left"/>
      </w:pPr>
      <w:r>
        <w:rPr>
          <w:rFonts w:ascii="Arial" w:hAnsi="Arial"/>
          <w:b/>
          <w:i w:val="0"/>
          <w:sz w:val="24"/>
        </w:rPr>
        <w:t>DE INDICADOR A REGRA DE ALOCAÇÃO: O POTENCIAL DE CRECHE POR MUNICÍPIO NO PROGRAMA INFÂNCIA FELIZ PARANÁ</w:t>
      </w:r>
    </w:p>
    <w:p>
      <w:pPr>
        <w:keepNext w:val="0"/>
        <w:spacing w:line="360" w:lineRule="auto" w:after="120" w:before="0"/>
        <w:ind w:firstLine="0"/>
        <w:jc w:val="left"/>
      </w:pPr>
      <w:r>
        <w:rPr>
          <w:rFonts w:ascii="Arial" w:hAnsi="Arial"/>
          <w:b/>
          <w:i w:val="0"/>
          <w:sz w:val="24"/>
        </w:rPr>
        <w:t>FROM INDICATOR TO ALLOCATION RULE: THE CHILDCARE POTENTIAL BY MUNICIPALITY IN THE INFÂNCIA FELIZ PARANÁ PROGRAM</w:t>
      </w:r>
    </w:p>
    <w:p>
      <w:pPr>
        <w:keepNext w:val="0"/>
        <w:spacing w:line="360" w:lineRule="auto" w:after="120" w:before="0"/>
        <w:ind w:firstLine="0"/>
        <w:jc w:val="left"/>
      </w:pPr>
      <w:r>
        <w:rPr>
          <w:rFonts w:ascii="Arial" w:hAnsi="Arial"/>
          <w:b/>
          <w:i w:val="0"/>
          <w:sz w:val="24"/>
        </w:rPr>
        <w:t>DE INDICADOR A REGLA DE ASIGNACIÓN: EL POTENCIAL DE GUARDERÍA POR MUNICIPIO EN EL PROGRAMA INFÂNCIA FELIZ PARANÁ</w:t>
      </w:r>
    </w:p>
    <w:p>
      <w:pPr>
        <w:keepNext w:val="0"/>
        <w:spacing w:line="240" w:lineRule="auto" w:after="40" w:before="160"/>
        <w:ind w:firstLine="0"/>
        <w:jc w:val="left"/>
      </w:pPr>
      <w:r>
        <w:rPr>
          <w:rFonts w:ascii="Arial" w:hAnsi="Arial"/>
          <w:b/>
          <w:i w:val="0"/>
          <w:sz w:val="24"/>
        </w:rPr>
        <w:t>RESUMO</w:t>
      </w:r>
    </w:p>
    <w:p>
      <w:pPr>
        <w:keepNext w:val="0"/>
        <w:spacing w:line="240" w:lineRule="auto" w:after="80" w:before="0"/>
        <w:ind w:firstLine="0"/>
        <w:jc w:val="both"/>
      </w:pPr>
      <w:r>
        <w:rPr>
          <w:rFonts w:ascii="Arial" w:hAnsi="Arial"/>
          <w:b w:val="0"/>
          <w:i w:val="0"/>
          <w:sz w:val="24"/>
        </w:rPr>
        <w:t>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o que lhe deu impacto alocativo direto sobre a seleção territorial do investimento. A avaliação ex ante da regra, baseada em reconstrução documental, auditoria das planilhas e análise de sensibilidade, mostra que o ordenamento é estável a variações de pesos e de normalização (correlações de postos de 0,93 a 0,97) e que a regra adotada contemplou 258 municípios com 300 unidades, contra 147 municípios sob critério populacional e 300 municípios, sem as capitais regionais, sob ranqueamento puro, mantendo 89% das crianças de zero a quatro anos em municípios contemplados. O desenho metodológico definiu a territorialização da política; seus efeitos sociais posteriores cabem a uma avaliação ex post.</w:t>
      </w:r>
    </w:p>
    <w:p>
      <w:pPr>
        <w:keepNext w:val="0"/>
        <w:spacing w:line="240" w:lineRule="auto" w:after="80" w:before="0"/>
        <w:ind w:firstLine="0"/>
        <w:jc w:val="left"/>
      </w:pPr>
      <w:r>
        <w:rPr>
          <w:rFonts w:ascii="Arial" w:hAnsi="Arial"/>
          <w:b w:val="0"/>
          <w:i w:val="0"/>
          <w:sz w:val="24"/>
        </w:rPr>
        <w:t>Palavras-chave: Educação infantil. Indicadores compostos. Alocação de investimentos. Federalismo fiscal. Paraná.</w:t>
      </w:r>
    </w:p>
    <w:p>
      <w:pPr>
        <w:keepNext w:val="0"/>
        <w:spacing w:line="240" w:lineRule="auto" w:after="40" w:before="160"/>
        <w:ind w:firstLine="0"/>
        <w:jc w:val="left"/>
      </w:pPr>
      <w:r>
        <w:rPr>
          <w:rFonts w:ascii="Arial" w:hAnsi="Arial"/>
          <w:b/>
          <w:i w:val="0"/>
          <w:sz w:val="24"/>
        </w:rPr>
        <w:t>ABSTRACT</w:t>
      </w:r>
    </w:p>
    <w:p>
      <w:pPr>
        <w:keepNext w:val="0"/>
        <w:spacing w:line="240" w:lineRule="auto" w:after="80" w:before="0"/>
        <w:ind w:firstLine="0"/>
        <w:jc w:val="both"/>
      </w:pPr>
      <w:r>
        <w:rPr>
          <w:rFonts w:ascii="Arial" w:hAnsi="Arial"/>
          <w:b w:val="0"/>
          <w:i w:val="0"/>
          <w:sz w:val="24"/>
        </w:rPr>
        <w:t>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which gave it a direct allocative impact on the territorial selection of the investment. The ex ante evaluation of the rule, based on documentary reconstruction, spreadsheet auditing and sensitivity analysis, shows that the ranking is stable to changes in weights and normalization (rank correlations of 0.93 to 0.97) and that the adopted rule reached 258 municipalities with 300 units, against 147 municipalities under a population criterion and 300 municipalities, without the regional capitals, under pure ranking, while keeping 89% of children aged zero to four in covered municipalities. The methodological design defined the territorialization of the policy; its later social effects belong to an ex post evaluation.</w:t>
      </w:r>
    </w:p>
    <w:p>
      <w:pPr>
        <w:keepNext w:val="0"/>
        <w:spacing w:line="240" w:lineRule="auto" w:after="80" w:before="0"/>
        <w:ind w:firstLine="0"/>
        <w:jc w:val="left"/>
      </w:pPr>
      <w:r>
        <w:rPr>
          <w:rFonts w:ascii="Arial" w:hAnsi="Arial"/>
          <w:b w:val="0"/>
          <w:i w:val="0"/>
          <w:sz w:val="24"/>
        </w:rPr>
        <w:t>Keywords: Early childhood education. Composite indicators. Investment allocation. Fiscal federalism. Paraná.</w:t>
      </w:r>
    </w:p>
    <w:p>
      <w:pPr>
        <w:keepNext w:val="0"/>
        <w:spacing w:line="240" w:lineRule="auto" w:after="40" w:before="160"/>
        <w:ind w:firstLine="0"/>
        <w:jc w:val="left"/>
      </w:pPr>
      <w:r>
        <w:rPr>
          <w:rFonts w:ascii="Arial" w:hAnsi="Arial"/>
          <w:b/>
          <w:i w:val="0"/>
          <w:sz w:val="24"/>
        </w:rPr>
        <w:t>RESUMEN</w:t>
      </w:r>
    </w:p>
    <w:p>
      <w:pPr>
        <w:keepNext w:val="0"/>
        <w:spacing w:line="240" w:lineRule="auto" w:after="80" w:before="0"/>
        <w:ind w:firstLine="0"/>
        <w:jc w:val="both"/>
      </w:pPr>
      <w:r>
        <w:rPr>
          <w:rFonts w:ascii="Arial" w:hAnsi="Arial"/>
          <w:b w:val="0"/>
          <w:i w:val="0"/>
          <w:sz w:val="24"/>
        </w:rPr>
        <w:t>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lo que le dio impacto asignativo directo sobre la selección territorial de la inversión. La evaluación ex ante de la regla, basada en reconstrucción documental, auditoría de las planillas y análisis de sensibilidad, muestra que el ordenamiento es estable a variaciones de pesos y normalización (correlaciones de rangos de 0,93 a 0,97) y que la regla adoptada alcanzó 258 municipios con 300 unidades, frente a 147 municipios bajo un criterio poblacional y 300 municipios, sin las capitales regionales, bajo ranking puro, manteniendo al 89% de los niños de cero a cuatro años en municipios contemplados. El diseño metodológico definió la territorialización de la política; sus efectos sociales posteriores corresponden a una evaluación ex post.</w:t>
      </w:r>
    </w:p>
    <w:p>
      <w:pPr>
        <w:keepNext w:val="0"/>
        <w:spacing w:line="240" w:lineRule="auto" w:after="80" w:before="0"/>
        <w:ind w:firstLine="0"/>
        <w:jc w:val="left"/>
      </w:pPr>
      <w:r>
        <w:rPr>
          <w:rFonts w:ascii="Arial" w:hAnsi="Arial"/>
          <w:b w:val="0"/>
          <w:i w:val="0"/>
          <w:sz w:val="24"/>
        </w:rPr>
        <w:t>Palabras clave: Educación infantil. Indicadores compuestos. Asignación de inversiones. Federalismo fiscal. Paraná.</w:t>
      </w:r>
    </w:p>
    <w:p>
      <w:pPr>
        <w:keepNext/>
        <w:spacing w:before="240" w:after="120" w:line="360" w:lineRule="auto"/>
        <w:ind w:firstLine="0"/>
        <w:jc w:val="left"/>
      </w:pPr>
      <w:r>
        <w:rPr>
          <w:rFonts w:ascii="Arial" w:hAnsi="Arial"/>
          <w:b/>
          <w:sz w:val="24"/>
        </w:rPr>
        <w:t>1 INTRODUÇÃO</w:t>
      </w:r>
    </w:p>
    <w:p>
      <w:pPr>
        <w:keepNext w:val="0"/>
        <w:spacing w:line="360" w:lineRule="auto" w:after="0" w:before="0"/>
        <w:ind w:firstLine="850"/>
        <w:jc w:val="both"/>
      </w:pPr>
      <w:r>
        <w:rPr>
          <w:rFonts w:ascii="Arial" w:hAnsi="Arial"/>
          <w:b w:val="0"/>
          <w:i w:val="0"/>
          <w:sz w:val="24"/>
        </w:rPr>
        <w:t>A economia do bem-estar atribui ao Estado uma função alocativa: prover, ou induzir a provisão de, bens que o mercado ofereceria em quantidade inferior à socialmente desejável (MUSGRAVE; MUSGRAVE, 1980, p. 6-7).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Por isso a construção de creches pertence à infraestrutura social, entendida como o conjunto de equipamentos físicos e serviços de longa duração, como escolas, creches, unidades de saúde e habitação social, que sustentam o bem-estar e a capacidade produtiva de uma população (FRANSEN; DEL BUFALO; REVIGLIO, 2018, p. 8). Diferentemente de uma transferência monetária, o equipamento é fixo e indivisível: sua localização decide quem terá acesso ao serviço por décadas, e a decisão de onde construir é, ela mesma, um ato distributivo.</w:t>
      </w:r>
    </w:p>
    <w:p>
      <w:pPr>
        <w:keepNext w:val="0"/>
        <w:spacing w:line="360" w:lineRule="auto" w:after="0" w:before="0"/>
        <w:ind w:firstLine="850"/>
        <w:jc w:val="both"/>
      </w:pPr>
      <w:r>
        <w:rPr>
          <w:rFonts w:ascii="Arial" w:hAnsi="Arial"/>
          <w:b w:val="0"/>
          <w:i w:val="0"/>
          <w:sz w:val="24"/>
        </w:rPr>
        <w:t>Quando um governo dispõe de recursos para um número de unidades muito menor que o de potenciais destinatários, a função alocativa se traduz em uma pergunta concreta: como converter evidências sobre necessidade em uma regra efetiva de alocação? Este artigo responde a essa pergunta com um estudo de caso metodológico e institucional. Em 2023, o Governo do Paraná instituiu o Programa Infância Feliz Paraná para financiar cerca de 300 creches em 399 municípios, e o critério de distribuição foi um indicador composto, o Potencial de Creche por Município (PCM), integrado a faixas de porte populacional, cotas, tetos e regras de arredondamento e seleção. O índice não permaneceu um instrumento diagnóstico: foi incorporado ao processo decisório, aprovado pelo conselho estadual de direitos e publicado em resolução com a lista de municípios elegíveis, o que lhe deu impacto alocativo direto sobre quais municípios seriam contemplados e sobre a distribuição territorial das unidades.</w:t>
      </w:r>
    </w:p>
    <w:p>
      <w:pPr>
        <w:keepNext w:val="0"/>
        <w:spacing w:line="360" w:lineRule="auto" w:after="0" w:before="0"/>
        <w:ind w:firstLine="850"/>
        <w:jc w:val="both"/>
      </w:pPr>
      <w:r>
        <w:rPr>
          <w:rFonts w:ascii="Arial" w:hAnsi="Arial"/>
          <w:b w:val="0"/>
          <w:i w:val="0"/>
          <w:sz w:val="24"/>
        </w:rPr>
        <w:t>O objetivo é reconstruir, sistematizar e analisar essa metodologia em suas duas fases: a construção do indicador, com seus pilares, indicadores, fontes, normalização e pesos; e o método de distribuição, com portes, cotas e tetos, que converteu o índice em unidades e influenciou a seleção dos municípios. A contribuição é analisar um caso em que um indicador ultrapassou a função informacional e passou a integrar a implementação da política. O resultado analisado é a alocação, isto é, as consequências distributivas da regra sobre a seleção territorial das unidades, e não os efeitos sociais posteriores das creches sobre matrícula, trabalho ou desenvolvimento infantil. A análise é uma avaliação ex ante da regra, baseada em reconstrução documental, auditoria das planilhas de cálculo e análise de sensibilidade.</w:t>
      </w:r>
    </w:p>
    <w:p>
      <w:pPr>
        <w:keepNext w:val="0"/>
        <w:spacing w:line="360" w:lineRule="auto" w:after="0" w:before="0"/>
        <w:ind w:firstLine="850"/>
        <w:jc w:val="both"/>
      </w:pPr>
      <w:r>
        <w:rPr>
          <w:rFonts w:ascii="Arial" w:hAnsi="Arial"/>
          <w:b w:val="0"/>
          <w:i w:val="0"/>
          <w:sz w:val="24"/>
        </w:rPr>
        <w:t>A seção 2 situa o programa na política pública de educação infantil, no federalismo e no financiamento fundo a fundo. A seção 3 reconstrói a metodologia, pilar a pilar, e a regra de conversão. A seção 4 apresenta os resultados alocativos. A seção 5 discute e conclui.</w:t>
      </w:r>
    </w:p>
    <w:p>
      <w:pPr>
        <w:keepNext/>
        <w:spacing w:before="240" w:after="120" w:line="360" w:lineRule="auto"/>
        <w:ind w:firstLine="0"/>
        <w:jc w:val="left"/>
      </w:pPr>
      <w:r>
        <w:rPr>
          <w:rFonts w:ascii="Arial" w:hAnsi="Arial"/>
          <w:b/>
          <w:sz w:val="24"/>
        </w:rPr>
        <w:t>2 A POLÍTICA PÚBLICA E O PROGRAMA</w:t>
      </w:r>
    </w:p>
    <w:p>
      <w:pPr>
        <w:keepNext/>
        <w:spacing w:before="120" w:after="120" w:line="360" w:lineRule="auto"/>
        <w:ind w:firstLine="0"/>
        <w:jc w:val="left"/>
      </w:pPr>
      <w:r>
        <w:rPr>
          <w:rFonts w:ascii="Arial" w:hAnsi="Arial"/>
          <w:b/>
          <w:sz w:val="24"/>
        </w:rPr>
        <w:t>2.1 Evidência, responsabilidade federativa e marco legal</w:t>
      </w:r>
    </w:p>
    <w:p>
      <w:pPr>
        <w:keepNext w:val="0"/>
        <w:spacing w:line="360" w:lineRule="auto" w:after="0" w:before="0"/>
        <w:ind w:firstLine="850"/>
        <w:jc w:val="both"/>
      </w:pPr>
      <w:r>
        <w:rPr>
          <w:rFonts w:ascii="Arial" w:hAnsi="Arial"/>
          <w:b w:val="0"/>
          <w:i w:val="0"/>
          <w:sz w:val="24"/>
        </w:rPr>
        <w:t>A evidência sobre primeira infância sustenta a prioridade da creche pública. Attanasio, Cattan e Meghir (2022) sintetizam o modelo econômico de investimento parental e a literatura empírica: déficits de desenvolvimento acumulados nos primeiros anos são difíceis de reverter e transmitem pobreza entre gerações. No Brasil, o experimento de loteria de vagas em creches do Rio de Janeiro mostrou aumento do emprego e da renda dos cuidadores e ganhos de desenvolvimento para as crianças de famílias mais pobres (ATTANASIO et al., 2022). O Banco Mundial estima que cerca de 350 milhões de crianças abaixo da idade escolar precisam de cuidado e não têm acesso a ele, e propõe tratar a creche como infraestrutura de capital humano, com financiamento público e focalização nas famílias de menor renda (DEVERCELLI; BEATON-DAY, 2020, p. 1-3). A OCDE registra matrícula de 29% dos menores de três anos nos países-membros em 2023 e associa os resultados à governança integrada entre educação e assistência (OECD, 2021, 2024), e a meta 4.2 dos Objetivos de Desenvolvimento Sustentável fixa o acesso à educação na primeira infância como compromisso até 2030 (UNITED NATIONS, 2015). Na América Latina, a expansão chilena de salas cuna garantiu acesso às famílias dos 60% mais vulneráveis (CHILE, 2024) e o Plan CAIF uruguaio dirige a abertura de centros por diagnóstico territorial (URUGUAI, 2018): em ambos, o critério de localização é explícito.</w:t>
      </w:r>
    </w:p>
    <w:p>
      <w:pPr>
        <w:keepNext w:val="0"/>
        <w:spacing w:line="360" w:lineRule="auto" w:after="0" w:before="0"/>
        <w:ind w:firstLine="850"/>
        <w:jc w:val="both"/>
      </w:pPr>
      <w:r>
        <w:rPr>
          <w:rFonts w:ascii="Arial" w:hAnsi="Arial"/>
          <w:b w:val="0"/>
          <w:i w:val="0"/>
          <w:sz w:val="24"/>
        </w:rPr>
        <w:t>A Constituição define o dever e reparte a competência. O art. 208, IV, garante "educação infantil, em creche e pré-escola, às crianças até 5 (cinco) anos de idade", e o art. 211 organiza a oferta em regime de colaboração:</w:t>
      </w:r>
    </w:p>
    <w:p>
      <w:pPr>
        <w:spacing w:line="240" w:lineRule="auto" w:before="120" w:after="120"/>
        <w:ind w:firstLine="0" w:left="2268"/>
        <w:jc w:val="both"/>
      </w:pPr>
      <w:r>
        <w:rPr>
          <w:rFonts w:ascii="Arial" w:hAnsi="Arial"/>
          <w:b w:val="0"/>
          <w:i w:val="0"/>
          <w:sz w:val="20"/>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pPr>
        <w:keepNext w:val="0"/>
        <w:spacing w:line="360" w:lineRule="auto" w:after="0" w:before="0"/>
        <w:ind w:firstLine="850"/>
        <w:jc w:val="both"/>
      </w:pPr>
      <w:r>
        <w:rPr>
          <w:rFonts w:ascii="Arial" w:hAnsi="Arial"/>
          <w:b w:val="0"/>
          <w:i w:val="0"/>
          <w:sz w:val="24"/>
        </w:rPr>
        <w:t>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A experiência do Proinfância mostra o custo de transferir recursos sem assistência técnica proporcional à capacidade dos municípios menores: de 8.824 obras pactuadas entre 2007 e 2017, 1.478 estavam em funcionamento, com mais de 90% dos problemas em municípios com menos de 50 mil habitantes (BRASIL, 2017; MELO; GOMES, 2022, p. 2125-2130). Em 2019, 85,6% dos municípios brasileiros estavam abaixo da Meta 1 (COUTO; SOUSA, 2024). Nesse quadro, regras de rateio e critérios de adesão são o instrumento pelo qual o ente financiador coordena políticas executadas por outro nível de governo (ARRETCHE, 2012, p. 145-170), e um critério de alocação explícito é uma peça de coordenação federativa.</w:t>
      </w:r>
    </w:p>
    <w:p>
      <w:pPr>
        <w:keepNext/>
        <w:spacing w:before="120" w:after="120" w:line="360" w:lineRule="auto"/>
        <w:ind w:firstLine="0"/>
        <w:jc w:val="left"/>
      </w:pPr>
      <w:r>
        <w:rPr>
          <w:rFonts w:ascii="Arial" w:hAnsi="Arial"/>
          <w:b/>
          <w:sz w:val="24"/>
        </w:rPr>
        <w:t>2.2 Base legal, planejamento plurianual e arranjo institucional</w:t>
      </w:r>
    </w:p>
    <w:p>
      <w:pPr>
        <w:keepNext w:val="0"/>
        <w:spacing w:line="360" w:lineRule="auto" w:after="0" w:before="0"/>
        <w:ind w:firstLine="850"/>
        <w:jc w:val="both"/>
      </w:pPr>
      <w:r>
        <w:rPr>
          <w:rFonts w:ascii="Arial" w:hAnsi="Arial"/>
          <w:b w:val="0"/>
          <w:i w:val="0"/>
          <w:sz w:val="24"/>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2023a). O planejamento plurianual deu ao programa sua expressão orçamentária. O Plano Plurianual 2024-2027 (Lei Estadual nº 21.861/2023) organiza a ação do Estado em programas, ações orçamentárias e entregas, cada uma com unidade de medida, quantitativo anual e, quando cabível, regionalização, e é revisado anualmente em conjunto com a Lei de Diretrizes Orçamentárias, cujos anexos atualizam metas e entregas e servem de base ao monitoramento semestral encaminhado à Assembleia Legislativa (PARANÁ, 2023b, 2025c). A construção de creches consta como entrega 4670 da ação 7010 (Projetos Estratégicos Integrados) do programa Paraná que Cuida, a cargo da Secretaria de Estado do Desenvolvimento Social e Família (SEDEF), descrita como repasse para "instalação de creches sustentáveis" com meta de 72 municípios beneficiados por ano entre 2024 e 2026 (PARANÁ, 2023b). A revisão anual do plano, veiculada pela Lei de Diretrizes Orçamentárias, altera indicadores e entregas e transfere entregas entre ações orçamentárias, com justificativas baseadas na execução; no ajustamento encaminhado com o projeto da LDO para 2026, a entrega de creches não foi alterada, enquanto a entrega correlata de apoio a famílias na primeira infância teve descrição, fonte de apuração e meta revisadas (PARANÁ, 2025c, p. 175-179). A meta física do plano, 72 municípios por ano, ficou aquém do alcance da lista publicada em 2024, com 261 municípios, diferença que o ajustamento não corrigiu e que mostra como a expressão orçamentária de uma política pode descolar-se de sua regra efetiva de alocação.</w:t>
      </w:r>
    </w:p>
    <w:p>
      <w:pPr>
        <w:keepNext w:val="0"/>
        <w:spacing w:line="360" w:lineRule="auto" w:after="0" w:before="0"/>
        <w:ind w:firstLine="850"/>
        <w:jc w:val="both"/>
      </w:pPr>
      <w:r>
        <w:rPr>
          <w:rFonts w:ascii="Arial" w:hAnsi="Arial"/>
          <w:b w:val="0"/>
          <w:i w:val="0"/>
          <w:sz w:val="24"/>
        </w:rPr>
        <w:t>A Figura 1 sintetiza o processo decisório e os atores. O critério de alocação foi construído pela Casa Civil a partir de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em maio de 2024 aprovou o projeto padrão de 456,86 m² a R$ 1,30 milhão por unidade, o estudo e o ranqueamento dos municípios (CEDCA, 2024). A SEDEF regulamentou o incentivo (Resolução nº 212/2024) e publicou os critérios e a lista de elegíveis (Resolução nº 219/2024), linha de base documental deste artigo (PARANÁ, 2024a, 2024c). O Paranacidade, serviço social autônomo da Secretaria das Cidades, elaborou o orçamento de referência e, desde 2025, analisa projetos, autoriza licitações e vistoria obras (PARANÁ, 2025a).</w:t>
      </w:r>
    </w:p>
    <w:p>
      <w:pPr>
        <w:keepNext/>
        <w:spacing w:line="240" w:lineRule="auto" w:after="60" w:before="160"/>
        <w:ind w:firstLine="0"/>
        <w:jc w:val="left"/>
      </w:pPr>
      <w:r>
        <w:rPr>
          <w:rFonts w:ascii="Arial" w:hAnsi="Arial"/>
          <w:b w:val="0"/>
          <w:i w:val="0"/>
          <w:sz w:val="22"/>
        </w:rPr>
        <w:t>Figura 1. Processo decisório e atores do Programa Infância Feliz Paraná</w:t>
      </w:r>
    </w:p>
    <w:tbl>
      <w:tblPr>
        <w:tblW w:type="auto" w:w="0"/>
        <w:jc w:val="center"/>
        <w:tblLayout w:type="fixed"/>
        <w:tblLook w:firstColumn="1" w:firstRow="1" w:lastColumn="0" w:lastRow="0" w:noHBand="0" w:noVBand="1" w:val="04A0"/>
        <w:tblLayout w:type="fixed"/>
        <w:tblW w:w="9072" w:type="dxa"/>
      </w:tblPr>
      <w:tblGrid>
        <w:gridCol w:w="2835"/>
        <w:gridCol w:w="283"/>
        <w:gridCol w:w="2835"/>
        <w:gridCol w:w="283"/>
        <w:gridCol w:w="2835"/>
      </w:tblGrid>
      <w:tr>
        <w:trPr>
          <w:cantSplit/>
        </w:trPr>
        <w:tc>
          <w:tcPr>
            <w:tcW w:type="dxa" w:w="2835"/>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Casa Civil</w:t>
            </w:r>
          </w:p>
          <w:p>
            <w:pPr>
              <w:spacing w:after="0" w:before="0" w:line="240" w:lineRule="auto"/>
              <w:ind w:firstLine="0" w:left="0"/>
              <w:jc w:val="center"/>
            </w:pPr>
            <w:r>
              <w:rPr>
                <w:rFonts w:ascii="Arial" w:hAnsi="Arial"/>
                <w:b w:val="0"/>
                <w:color w:val="FFFFFF"/>
                <w:sz w:val="16"/>
              </w:rPr>
              <w:t>Estudo técnico: PCM, portes e regra de alocação</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CEDCA/PR (conselho paritário)</w:t>
            </w:r>
          </w:p>
          <w:p>
            <w:pPr>
              <w:spacing w:after="0" w:before="0" w:line="240" w:lineRule="auto"/>
              <w:ind w:firstLine="0" w:left="0"/>
              <w:jc w:val="center"/>
            </w:pPr>
            <w:r>
              <w:rPr>
                <w:rFonts w:ascii="Arial" w:hAnsi="Arial"/>
                <w:b w:val="0"/>
                <w:color w:val="FFFFFF"/>
                <w:sz w:val="16"/>
              </w:rPr>
              <w:t>Aporte do FIA e aprovação do estudo (Deliberações 60/2023 e 25/2024)</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Fontes: Tesouro do Estado, FIA/PR e Assembleia Legislativa (R$ 100 milhões em 2024)</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2835"/>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Ipardes</w:t>
            </w:r>
          </w:p>
          <w:p>
            <w:pPr>
              <w:spacing w:after="0" w:before="0" w:line="240" w:lineRule="auto"/>
              <w:ind w:firstLine="0" w:left="0"/>
              <w:jc w:val="center"/>
            </w:pPr>
            <w:r>
              <w:rPr>
                <w:rFonts w:ascii="Arial" w:hAnsi="Arial"/>
                <w:b w:val="0"/>
                <w:color w:val="000000"/>
                <w:sz w:val="16"/>
              </w:rPr>
              <w:t>Estudo prévio (43 unidades) e bases de dados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SEDEF (gestora do FIA/PR)</w:t>
            </w:r>
          </w:p>
          <w:p>
            <w:pPr>
              <w:spacing w:after="0" w:before="0" w:line="240" w:lineRule="auto"/>
              <w:ind w:firstLine="0" w:left="0"/>
              <w:jc w:val="center"/>
            </w:pPr>
            <w:r>
              <w:rPr>
                <w:rFonts w:ascii="Arial" w:hAnsi="Arial"/>
                <w:b w:val="0"/>
                <w:color w:val="FFFFFF"/>
                <w:sz w:val="16"/>
              </w:rPr>
              <w:t>Resoluções 212 e 219/2024: critério, lista, habilitação e repasse</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5"/>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Paranacidade / SECID</w:t>
            </w:r>
          </w:p>
          <w:p>
            <w:pPr>
              <w:spacing w:after="0" w:before="0" w:line="240" w:lineRule="auto"/>
              <w:ind w:firstLine="0" w:left="0"/>
              <w:jc w:val="center"/>
            </w:pPr>
            <w:r>
              <w:rPr>
                <w:rFonts w:ascii="Arial" w:hAnsi="Arial"/>
                <w:b w:val="0"/>
                <w:color w:val="FFFFFF"/>
                <w:sz w:val="16"/>
              </w:rPr>
              <w:t>Projeto padrão, análise, autorização para licitar e vistorias</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9072"/>
            <w:gridSpan w:val="5"/>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Municípios (399): adesão, terreno, projeto de implantação, licitação, obra e prestação de contas; conselhos municipais (CMDCA) e fundos municipais (FMDCA)</w:t>
            </w:r>
          </w:p>
        </w:tc>
      </w:tr>
      <w:tr>
        <w:trPr>
          <w:cantSplit/>
        </w:trPr>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3118"/>
            <w:gridSpan w:val="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Controle: TCE-PR, MP-PR, Defensoria Pública, CEDCA e CMDCA</w:t>
            </w:r>
          </w:p>
        </w:tc>
        <w:tc>
          <w:tcPr>
            <w:tcW w:type="dxa" w:w="283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3118"/>
            <w:gridSpan w:val="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Resultado: 303 unidades em 261 municípios (2024); segunda etapa em 2025</w:t>
            </w:r>
          </w:p>
        </w:tc>
      </w:tr>
    </w:tbl>
    <w:p>
      <w:pPr>
        <w:keepNext w:val="0"/>
        <w:spacing w:line="240" w:lineRule="auto" w:after="120" w:before="60"/>
        <w:ind w:firstLine="0"/>
        <w:jc w:val="left"/>
      </w:pPr>
      <w:r>
        <w:rPr>
          <w:rFonts w:ascii="Arial" w:hAnsi="Arial"/>
          <w:b w:val="0"/>
          <w:i w:val="0"/>
          <w:sz w:val="20"/>
        </w:rPr>
        <w:t>Fonte: Elaboração própria a partir de Paraná (2023a, 2024a, 2024c, 2025a) e CEDCA (2023, 2024).</w:t>
      </w:r>
    </w:p>
    <w:p>
      <w:pPr>
        <w:keepNext/>
        <w:spacing w:before="120" w:after="120" w:line="360" w:lineRule="auto"/>
        <w:ind w:firstLine="0"/>
        <w:jc w:val="left"/>
      </w:pPr>
      <w:r>
        <w:rPr>
          <w:rFonts w:ascii="Arial" w:hAnsi="Arial"/>
          <w:b/>
          <w:sz w:val="24"/>
        </w:rPr>
        <w:t>2.3 Financiamento fundo a fundo e dimensão fiscal</w:t>
      </w:r>
    </w:p>
    <w:p>
      <w:pPr>
        <w:keepNext w:val="0"/>
        <w:spacing w:line="360" w:lineRule="auto" w:after="0" w:before="0"/>
        <w:ind w:firstLine="850"/>
        <w:jc w:val="both"/>
      </w:pPr>
      <w:r>
        <w:rPr>
          <w:rFonts w:ascii="Arial" w:hAnsi="Arial"/>
          <w:b w:val="0"/>
          <w:i w:val="0"/>
          <w:sz w:val="24"/>
        </w:rPr>
        <w:t>O programa não usa convênio nem operação de crédito. O instrumento é o incentivo financeiro fundo a fundo, previsto na Lei Estadual nº 19.173/2017 e regulamentado pelo Decreto Estadual nº 10.455/2014, que disciplina a transferência automática do FIA/PR aos fundos municipais da criança e do adolescente (Figura 2). A Resolução SEDEF nº 212/2024 define o objeto:</w:t>
      </w:r>
    </w:p>
    <w:p>
      <w:pPr>
        <w:spacing w:line="240" w:lineRule="auto" w:before="120" w:after="120"/>
        <w:ind w:firstLine="0" w:left="2268"/>
        <w:jc w:val="both"/>
      </w:pPr>
      <w:r>
        <w:rPr>
          <w:rFonts w:ascii="Arial" w:hAnsi="Arial"/>
          <w:b w:val="0"/>
          <w:i w:val="0"/>
          <w:sz w:val="20"/>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pPr>
        <w:keepNext/>
        <w:spacing w:line="240" w:lineRule="auto" w:after="60" w:before="160"/>
        <w:ind w:firstLine="0"/>
        <w:jc w:val="left"/>
      </w:pPr>
      <w:r>
        <w:rPr>
          <w:rFonts w:ascii="Arial" w:hAnsi="Arial"/>
          <w:b w:val="0"/>
          <w:i w:val="0"/>
          <w:sz w:val="22"/>
        </w:rPr>
        <w:t>Figura 2. Fluxo financeiro do incentivo fundo a fundo</w:t>
      </w:r>
    </w:p>
    <w:tbl>
      <w:tblPr>
        <w:tblW w:type="auto" w:w="0"/>
        <w:jc w:val="center"/>
        <w:tblLayout w:type="fixed"/>
        <w:tblLook w:firstColumn="1" w:firstRow="1" w:lastColumn="0" w:lastRow="0" w:noHBand="0" w:noVBand="1" w:val="04A0"/>
        <w:tblLayout w:type="fixed"/>
        <w:tblW w:w="8930" w:type="dxa"/>
      </w:tblPr>
      <w:tblGrid>
        <w:gridCol w:w="2041"/>
        <w:gridCol w:w="255"/>
        <w:gridCol w:w="2041"/>
        <w:gridCol w:w="255"/>
        <w:gridCol w:w="2041"/>
        <w:gridCol w:w="255"/>
        <w:gridCol w:w="2041"/>
      </w:tblGrid>
      <w:tr>
        <w:trPr>
          <w:cantSplit/>
        </w:trPr>
        <w:tc>
          <w:tcPr>
            <w:tcW w:type="dxa" w:w="8930"/>
            <w:gridSpan w:val="7"/>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Origem: Tesouro do Estado (aporte em complementação ao FIA), saldo livre do FIA/PR e devolução de duodécimo da Assembleia</w:t>
            </w:r>
          </w:p>
        </w:tc>
      </w:tr>
      <w:tr>
        <w:trPr>
          <w:cantSplit/>
        </w:trPr>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2041"/>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FIA/PR</w:t>
            </w:r>
          </w:p>
          <w:p>
            <w:pPr>
              <w:spacing w:after="0" w:before="0" w:line="240" w:lineRule="auto"/>
              <w:ind w:firstLine="0" w:left="0"/>
              <w:jc w:val="center"/>
            </w:pPr>
            <w:r>
              <w:rPr>
                <w:rFonts w:ascii="Arial" w:hAnsi="Arial"/>
                <w:b w:val="0"/>
                <w:color w:val="FFFFFF"/>
                <w:sz w:val="16"/>
              </w:rPr>
              <w:t>fundo gerido pela SEDEF, prioridades do CEDCA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Termo de Adesão e Resolução de Habilitação</w:t>
            </w:r>
          </w:p>
          <w:p>
            <w:pPr>
              <w:spacing w:after="0" w:before="0" w:line="240" w:lineRule="auto"/>
              <w:ind w:firstLine="0" w:left="0"/>
              <w:jc w:val="center"/>
            </w:pPr>
            <w:r>
              <w:rPr>
                <w:rFonts w:ascii="Arial" w:hAnsi="Arial"/>
                <w:b w:val="0"/>
                <w:color w:val="FFFFFF"/>
                <w:sz w:val="16"/>
              </w:rPr>
              <w:t>sem convênio e sem operação de crédito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Fundo Municipal (FMDCA)</w:t>
            </w:r>
          </w:p>
          <w:p>
            <w:pPr>
              <w:spacing w:after="0" w:before="0" w:line="240" w:lineRule="auto"/>
              <w:ind w:firstLine="0" w:left="0"/>
              <w:jc w:val="center"/>
            </w:pPr>
            <w:r>
              <w:rPr>
                <w:rFonts w:ascii="Arial" w:hAnsi="Arial"/>
                <w:b w:val="0"/>
                <w:color w:val="FFFFFF"/>
                <w:sz w:val="16"/>
              </w:rPr>
              <w:t>conta específica; cinco parcelas: 10%, 20% e três iguais após 40%, 70% e 100% da obra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041"/>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Licitação e obra pelo município</w:t>
            </w:r>
          </w:p>
          <w:p>
            <w:pPr>
              <w:spacing w:after="0" w:before="0" w:line="240" w:lineRule="auto"/>
              <w:ind w:firstLine="0" w:left="0"/>
              <w:jc w:val="center"/>
            </w:pPr>
            <w:r>
              <w:rPr>
                <w:rFonts w:ascii="Arial" w:hAnsi="Arial"/>
                <w:b w:val="0"/>
                <w:color w:val="FFFFFF"/>
                <w:sz w:val="16"/>
              </w:rPr>
              <w:t>projeto padrão; vistorias do Paranacidade; teto de R$ 1,30 mi (2024) e R$ 1,99 mi (2025)</w:t>
            </w:r>
          </w:p>
        </w:tc>
      </w:tr>
      <w:tr>
        <w:trPr>
          <w:cantSplit/>
        </w:trPr>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41"/>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8930"/>
            <w:gridSpan w:val="7"/>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Encargos municipais: terreno de 1.200 m², custo excedente ao teto e aditivos, conclusão em 36 meses (restituição em caso de descumprimento), custeio posterior com Fundeb e receitas próprias</w:t>
            </w:r>
          </w:p>
        </w:tc>
      </w:tr>
    </w:tbl>
    <w:p>
      <w:pPr>
        <w:keepNext w:val="0"/>
        <w:spacing w:line="240" w:lineRule="auto" w:after="120" w:before="60"/>
        <w:ind w:firstLine="0"/>
        <w:jc w:val="left"/>
      </w:pPr>
      <w:r>
        <w:rPr>
          <w:rFonts w:ascii="Arial" w:hAnsi="Arial"/>
          <w:b w:val="0"/>
          <w:i w:val="0"/>
          <w:sz w:val="20"/>
        </w:rPr>
        <w:t>Fonte: Elaboração própria a partir de Paraná (2024c, 2025a) e CEDCA (2023, 2024).</w:t>
      </w:r>
    </w:p>
    <w:p>
      <w:pPr>
        <w:keepNext w:val="0"/>
        <w:spacing w:line="360" w:lineRule="auto" w:after="0" w:before="0"/>
        <w:ind w:firstLine="850"/>
        <w:jc w:val="both"/>
      </w:pPr>
      <w:r>
        <w:rPr>
          <w:rFonts w:ascii="Arial" w:hAnsi="Arial"/>
          <w:b w:val="0"/>
          <w:i w:val="0"/>
          <w:sz w:val="24"/>
        </w:rPr>
        <w:t>A adesão se formaliza por termo assinado pelo prefeito e pelo fundo municipal, após aprovação do conselho municipal de direitos, com terreno próprio de 1.200 m². O repasse ocorre em cinco parcelas: 10% na habilitação, 20% na aprovação do projeto de implantação e três parcelas iguais após vistoria de 40%, 70% e 100% da obra. O teto por unidade foi de R$ 1.304.792,16 em 2024 e de R$ 1.994.362,02 a partir de 2025 (PARANÁ, 2024c, art. 3º e 11; 2025a). 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Os recursos vieram do Tesouro estadual, em complementação ao FIA, e da devolução de duodécimo pela Assembleia Legislativa, de R$ 100 milhões em 2024. O desenho transfere capital com condicionalidade de execução e deixa ao município a operação, e responde às lições do Proinfância com projeto padrão, orçamento de referência, ente técnico estadual e liberação por marco físico. O Quadro 1 situa esse desenho entre programas comparáveis.</w:t>
      </w:r>
    </w:p>
    <w:p>
      <w:pPr>
        <w:keepNext/>
        <w:spacing w:line="240" w:lineRule="auto" w:after="60" w:before="160"/>
        <w:ind w:firstLine="0"/>
        <w:jc w:val="left"/>
      </w:pPr>
      <w:r>
        <w:rPr>
          <w:rFonts w:ascii="Arial" w:hAnsi="Arial"/>
          <w:b w:val="0"/>
          <w:i w:val="0"/>
          <w:sz w:val="22"/>
        </w:rPr>
        <w:t>Quadro 1. Programas de construção de creches: financiamento, critério de alocação e escala</w:t>
      </w:r>
    </w:p>
    <w:tbl>
      <w:tblPr>
        <w:jc w:val="center"/>
        <w:tblLayout w:type="fixed"/>
        <w:tblLook w:firstColumn="1" w:firstRow="1" w:lastColumn="0" w:lastRow="0" w:noHBand="0" w:noVBand="1" w:val="04A0"/>
        <w:tblLayout w:type="fixed"/>
        <w:tblW w:w="9070" w:type="dxa"/>
      </w:tblPr>
      <w:tblGrid>
        <w:gridCol w:w="1701"/>
        <w:gridCol w:w="1474"/>
        <w:gridCol w:w="2268"/>
        <w:gridCol w:w="3628"/>
      </w:tblGrid>
      <w:tr>
        <w:trPr>
          <w:cantSplit/>
          <w:tblHeader/>
        </w:trPr>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Programa (ente, período)</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Financiamento e execução</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 de alocação entre municípios</w:t>
            </w:r>
          </w:p>
        </w:tc>
        <w:tc>
          <w:tcPr>
            <w:tcW w:type="dxa" w:w="2268"/>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Escala e resultados documentados</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Proinfância (União, FNDE, desde 2007)</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Assistência financeira ao município no âmbito do PAR; projeto padrão do FNDE; município licita e executa</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Adesão por demanda municipal, sem ordenação explícita por necessidade</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8.824 obras pactuadas até 2017, 3.482 concluídas e 1.478 em funcionamento</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Novo PAC, creches e pré-escolas (União, 2023 e 2025)</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Seleção pública; transferência ao município; projeto padrão; execução municipal</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Déficit em relação à Meta 1 do PNE, indicador sintético do FNDE, nível socioeconômico (Inse), capacidade financeira (VAAT) e terreno</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1.000 unidades e R$ 3,25 bilhões em 2023; 500 unidades e R$ 2,3 bilhões em 2025</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Creche Escola (São Paulo, Decreto 57.367/2011)</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financia obra e mobiliário por meio da FDE, com projeto padrão; município cede terreno, licita, executa e mantém</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Vulnerabilidade social e déficit de vagas apurados pela Secretaria de Desenvolvimento Social e pela Seade</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92 unidades e 12,3 mil vagas entre 2023 e 2026</w:t>
            </w:r>
          </w:p>
        </w:tc>
      </w:tr>
      <w:tr>
        <w:trPr>
          <w:cantSplit/>
        </w:trPr>
        <w:tc>
          <w:tcPr>
            <w:tcW w:type="dxa" w:w="1701"/>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Mais Infância Ceará (Ceará, desde 2015; Lei 17.380/2021)</w:t>
            </w:r>
          </w:p>
        </w:tc>
        <w:tc>
          <w:tcPr>
            <w:tcW w:type="dxa" w:w="1474"/>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Estado constrói os Centros de Educação Infantil e os entrega aos municípios; política intersetorial permanente</w:t>
            </w:r>
          </w:p>
        </w:tc>
        <w:tc>
          <w:tcPr>
            <w:tcW w:type="dxa" w:w="226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Prioridade a municípios em extrema vulnerabilidade, por IDH e renda per capita (art. 21)</w:t>
            </w:r>
          </w:p>
        </w:tc>
        <w:tc>
          <w:tcPr>
            <w:tcW w:type="dxa" w:w="3628"/>
            <w:tcMar>
              <w:left w:w="40" w:type="dxa"/>
              <w:right w:w="40" w:type="dxa"/>
            </w:tcMar>
            <w:vAlign w:val="center"/>
            <w:tcBorders>
              <w:top w:val="nil"/>
              <w:bottom w:val="single" w:sz="2" w:color="3A3A3A"/>
              <w:left w:val="nil"/>
              <w:right w:val="nil"/>
            </w:tcBorders>
          </w:tcPr>
          <w:p>
            <w:pPr>
              <w:pStyle w:val="Tabela"/>
              <w:keepNext/>
              <w:ind w:firstLine="0" w:left="0"/>
              <w:jc w:val="left"/>
            </w:pPr>
            <w:r/>
            <w:r>
              <w:rPr>
                <w:rFonts w:ascii="Arial" w:hAnsi="Arial"/>
                <w:b w:val="0"/>
                <w:sz w:val="17"/>
              </w:rPr>
              <w:t>56 unidades em construção em 2019; 42 autorizadas em 2023</w:t>
            </w:r>
          </w:p>
        </w:tc>
      </w:tr>
      <w:tr>
        <w:trPr>
          <w:cantSplit/>
        </w:trPr>
        <w:tc>
          <w:tcPr>
            <w:tcW w:type="dxa" w:w="1701"/>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Infância Feliz Paraná (Paraná, desde 2023)</w:t>
            </w:r>
          </w:p>
        </w:tc>
        <w:tc>
          <w:tcPr>
            <w:tcW w:type="dxa" w:w="147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Incentivo fundo a fundo (FIA/PR aos fundos municipais) por termo de adesão, em cinco parcelas; projeto padrão; execução municipal</w:t>
            </w:r>
          </w:p>
        </w:tc>
        <w:tc>
          <w:tcPr>
            <w:tcW w:type="dxa" w:w="2268"/>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Indicador composto (PCM) com três pilares e faixas de porte; etapa prévia com índice do Ipardes; lista pública com substituição do desistente</w:t>
            </w:r>
          </w:p>
        </w:tc>
        <w:tc>
          <w:tcPr>
            <w:tcW w:type="dxa" w:w="3628"/>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7"/>
              </w:rPr>
              <w:t>303 unidades em 261 municípios (2024); segunda etapa em 2025; 110 obras em maio de 2026</w:t>
            </w:r>
          </w:p>
        </w:tc>
      </w:tr>
    </w:tbl>
    <w:p>
      <w:pPr>
        <w:keepNext w:val="0"/>
        <w:spacing w:line="240" w:lineRule="auto" w:after="120" w:before="60"/>
        <w:ind w:firstLine="0"/>
        <w:jc w:val="left"/>
      </w:pPr>
      <w:r>
        <w:rPr>
          <w:rFonts w:ascii="Arial" w:hAnsi="Arial"/>
          <w:b w:val="0"/>
          <w:i w:val="0"/>
          <w:sz w:val="20"/>
        </w:rPr>
        <w:t>Fonte: Elaboração própria a partir de Brasil (2017, 2023), Melo e Gomes (2022), Perea e Ramos (2022), Ceará (2021) e Paraná (2024a, 2025a, 2026).</w:t>
      </w:r>
    </w:p>
    <w:p>
      <w:pPr>
        <w:keepNext/>
        <w:spacing w:before="240" w:after="120" w:line="360" w:lineRule="auto"/>
        <w:ind w:firstLine="0"/>
        <w:jc w:val="left"/>
      </w:pPr>
      <w:r>
        <w:rPr>
          <w:rFonts w:ascii="Arial" w:hAnsi="Arial"/>
          <w:b/>
          <w:sz w:val="24"/>
        </w:rPr>
        <w:t>3 METODOLOGIA: DO INDICADOR À REGRA</w:t>
      </w:r>
    </w:p>
    <w:p>
      <w:pPr>
        <w:keepNext/>
        <w:spacing w:before="120" w:after="120" w:line="360" w:lineRule="auto"/>
        <w:ind w:firstLine="0"/>
        <w:jc w:val="left"/>
      </w:pPr>
      <w:r>
        <w:rPr>
          <w:rFonts w:ascii="Arial" w:hAnsi="Arial"/>
          <w:b/>
          <w:sz w:val="24"/>
        </w:rPr>
        <w:t>3.1 Perguntas que estruturaram a construção</w:t>
      </w:r>
    </w:p>
    <w:p>
      <w:pPr>
        <w:keepNext w:val="0"/>
        <w:spacing w:line="360" w:lineRule="auto" w:after="0" w:before="0"/>
        <w:ind w:firstLine="850"/>
        <w:jc w:val="both"/>
      </w:pPr>
      <w:r>
        <w:rPr>
          <w:rFonts w:ascii="Arial" w:hAnsi="Arial"/>
          <w:b w:val="0"/>
          <w:i w:val="0"/>
          <w:sz w:val="24"/>
        </w:rPr>
        <w:t>A metodologia foi construída como resposta a uma sequência de perguntas, da definição de necessidade à conversão do índice em unidades (Figura 3). A construção do indicador seguiu as etapas recomendadas pelo manual da OCDE e do Centro Comum de Pesquisa da Comissão Europeia para indicadores compostos: marco conceitual, seleção de dados, normalização, ponderação e agregação, análise de sensibilidade e apresentação (OECD; JRC, 2008, p. 20-22). 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pPr>
        <w:keepNext/>
        <w:spacing w:line="240" w:lineRule="auto" w:after="60" w:before="160"/>
        <w:ind w:firstLine="0"/>
        <w:jc w:val="left"/>
      </w:pPr>
      <w:r>
        <w:rPr>
          <w:rFonts w:ascii="Arial" w:hAnsi="Arial"/>
          <w:b w:val="0"/>
          <w:i w:val="0"/>
          <w:sz w:val="22"/>
        </w:rPr>
        <w:t>Figura 3. Perguntas que estruturaram a construção do indicador e da regra</w:t>
      </w:r>
    </w:p>
    <w:tbl>
      <w:tblPr>
        <w:tblW w:type="auto" w:w="0"/>
        <w:jc w:val="center"/>
        <w:tblLayout w:type="fixed"/>
        <w:tblLook w:firstColumn="1" w:firstRow="1" w:lastColumn="0" w:lastRow="0" w:noHBand="0" w:noVBand="1" w:val="04A0"/>
        <w:tblLayout w:type="fixed"/>
        <w:tblW w:w="9072" w:type="dxa"/>
      </w:tblPr>
      <w:tblGrid>
        <w:gridCol w:w="2948"/>
        <w:gridCol w:w="283"/>
        <w:gridCol w:w="5840"/>
      </w:tblGrid>
      <w:tr>
        <w:trPr>
          <w:cantSplit/>
        </w:trPr>
        <w:tc>
          <w:tcPr>
            <w:tcW w:type="dxa" w:w="2948"/>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1. Necessidade</w:t>
            </w:r>
          </w:p>
          <w:p>
            <w:pPr>
              <w:spacing w:after="0" w:before="0" w:line="240" w:lineRule="auto"/>
              <w:ind w:firstLine="0" w:left="0"/>
              <w:jc w:val="center"/>
            </w:pPr>
            <w:r>
              <w:rPr>
                <w:rFonts w:ascii="Arial" w:hAnsi="Arial"/>
                <w:b w:val="0"/>
                <w:color w:val="FFFFFF"/>
                <w:sz w:val="16"/>
              </w:rPr>
              <w:t>O que significa um município precisar de creche?</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C24C12"/>
              <w:left w:val="single" w:sz="8" w:color="C24C12"/>
              <w:bottom w:val="single" w:sz="8" w:color="C24C12"/>
              <w:right w:val="single" w:sz="8" w:color="C24C12"/>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Três pilares: oferta educacional existente, pressão demográfica e vulnerabilidade socioeconômica</w:t>
            </w:r>
          </w:p>
        </w:tc>
      </w:tr>
      <w:tr>
        <w:trPr>
          <w:cantSplit/>
        </w:trPr>
        <w:tc>
          <w:tcPr>
            <w:tcW w:type="dxa" w:w="2948"/>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2. Dados</w:t>
            </w:r>
          </w:p>
          <w:p>
            <w:pPr>
              <w:spacing w:after="0" w:before="0" w:line="240" w:lineRule="auto"/>
              <w:ind w:firstLine="0" w:left="0"/>
              <w:jc w:val="center"/>
            </w:pPr>
            <w:r>
              <w:rPr>
                <w:rFonts w:ascii="Arial" w:hAnsi="Arial"/>
                <w:b w:val="0"/>
                <w:color w:val="FFFFFF"/>
                <w:sz w:val="16"/>
              </w:rPr>
              <w:t>Há dado oficial e recente para os 399 municípios?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0171C1"/>
              <w:left w:val="single" w:sz="8" w:color="0171C1"/>
              <w:bottom w:val="single" w:sz="8" w:color="0171C1"/>
              <w:right w:val="single" w:sz="8" w:color="0171C1"/>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Nove indicadores de bases públicas (Censo Escolar, Censo 2022, Datasus, Sisvan, CadÚnico, IPDM), unidos pelo código do IBGE</w:t>
            </w:r>
          </w:p>
        </w:tc>
      </w:tr>
      <w:tr>
        <w:trPr>
          <w:cantSplit/>
        </w:trPr>
        <w:tc>
          <w:tcPr>
            <w:tcW w:type="dxa" w:w="2948"/>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3. Comparabilidade</w:t>
            </w:r>
          </w:p>
          <w:p>
            <w:pPr>
              <w:spacing w:after="0" w:before="0" w:line="240" w:lineRule="auto"/>
              <w:ind w:firstLine="0" w:left="0"/>
              <w:jc w:val="center"/>
            </w:pPr>
            <w:r>
              <w:rPr>
                <w:rFonts w:ascii="Arial" w:hAnsi="Arial"/>
                <w:b w:val="0"/>
                <w:color w:val="FFFFFF"/>
                <w:sz w:val="16"/>
              </w:rPr>
              <w:t>Como pôr indicadores de unidades distintas na mesma escala?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0171C1"/>
              <w:left w:val="single" w:sz="8" w:color="0171C1"/>
              <w:bottom w:val="single" w:sz="8" w:color="0171C1"/>
              <w:right w:val="single" w:sz="8" w:color="0171C1"/>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Normalização mínimo-máximo de 0 a 100; cobertura, oferta privada e renda em sentido inverso</w:t>
            </w:r>
          </w:p>
        </w:tc>
      </w:tr>
      <w:tr>
        <w:trPr>
          <w:cantSplit/>
        </w:trPr>
        <w:tc>
          <w:tcPr>
            <w:tcW w:type="dxa" w:w="2948"/>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4. Ponderação</w:t>
            </w:r>
          </w:p>
          <w:p>
            <w:pPr>
              <w:spacing w:after="0" w:before="0" w:line="240" w:lineRule="auto"/>
              <w:ind w:firstLine="0" w:left="0"/>
              <w:jc w:val="center"/>
            </w:pPr>
            <w:r>
              <w:rPr>
                <w:rFonts w:ascii="Arial" w:hAnsi="Arial"/>
                <w:b w:val="0"/>
                <w:color w:val="FFFFFF"/>
                <w:sz w:val="16"/>
              </w:rPr>
              <w:t>Quanto pesa cada indicador e cada pilar?</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307E3E"/>
              <w:left w:val="single" w:sz="8" w:color="307E3E"/>
              <w:bottom w:val="single" w:sz="8" w:color="307E3E"/>
              <w:right w:val="single" w:sz="8" w:color="307E3E"/>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Cobertura de creche com peso 2 no pilar educacional; pilares educacional e socioeconômico com peso 2 e demográfico com peso 1</w:t>
            </w:r>
          </w:p>
        </w:tc>
      </w:tr>
      <w:tr>
        <w:trPr>
          <w:cantSplit/>
        </w:trPr>
        <w:tc>
          <w:tcPr>
            <w:tcW w:type="dxa" w:w="2948"/>
            <w:shd w:val="clear" w:color="auto" w:fill="96969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5. Escala</w:t>
            </w:r>
          </w:p>
          <w:p>
            <w:pPr>
              <w:spacing w:after="0" w:before="0" w:line="240" w:lineRule="auto"/>
              <w:ind w:firstLine="0" w:left="0"/>
              <w:jc w:val="center"/>
            </w:pPr>
            <w:r>
              <w:rPr>
                <w:rFonts w:ascii="Arial" w:hAnsi="Arial"/>
                <w:b w:val="0"/>
                <w:color w:val="FFFFFF"/>
                <w:sz w:val="16"/>
              </w:rPr>
              <w:t>Como comparar a capital com um município de 3 mil habitantes?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969696"/>
              <w:left w:val="single" w:sz="8" w:color="969696"/>
              <w:bottom w:val="single" w:sz="8" w:color="969696"/>
              <w:right w:val="single" w:sz="8" w:color="969696"/>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Oito faixas de porte; cota de cada faixa proporcional à população-alvo; regimes distintos para portes grandes e pequenos</w:t>
            </w:r>
          </w:p>
        </w:tc>
      </w:tr>
      <w:tr>
        <w:trPr>
          <w:cantSplit/>
        </w:trPr>
        <w:tc>
          <w:tcPr>
            <w:tcW w:type="dxa" w:w="2948"/>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 Conversão</w:t>
            </w:r>
          </w:p>
          <w:p>
            <w:pPr>
              <w:spacing w:after="0" w:before="0" w:line="240" w:lineRule="auto"/>
              <w:ind w:firstLine="0" w:left="0"/>
              <w:jc w:val="center"/>
            </w:pPr>
            <w:r>
              <w:rPr>
                <w:rFonts w:ascii="Arial" w:hAnsi="Arial"/>
                <w:b w:val="0"/>
                <w:color w:val="FFFFFF"/>
                <w:sz w:val="16"/>
              </w:rPr>
              <w:t>Como transformar um índice contínuo em unidades inteiras?</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54278F"/>
              <w:left w:val="single" w:sz="8" w:color="54278F"/>
              <w:bottom w:val="single" w:sz="8" w:color="54278F"/>
              <w:right w:val="single" w:sz="8" w:color="54278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Cota do município × (1 + PCM); parte inteira; maior resto; tetos por município nos portes grandes e uma unidade por município nos pequenos</w:t>
            </w:r>
          </w:p>
        </w:tc>
      </w:tr>
      <w:tr>
        <w:trPr>
          <w:cantSplit/>
        </w:trPr>
        <w:tc>
          <w:tcPr>
            <w:tcW w:type="dxa" w:w="2948"/>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7. Validação</w:t>
            </w:r>
          </w:p>
          <w:p>
            <w:pPr>
              <w:spacing w:after="0" w:before="0" w:line="240" w:lineRule="auto"/>
              <w:ind w:firstLine="0" w:left="0"/>
              <w:jc w:val="center"/>
            </w:pPr>
            <w:r>
              <w:rPr>
                <w:rFonts w:ascii="Arial" w:hAnsi="Arial"/>
                <w:b w:val="0"/>
                <w:color w:val="FFFFFF"/>
                <w:sz w:val="16"/>
              </w:rPr>
              <w:t>Quem aprova o critério e como ele vira lista?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1F1F1F"/>
              <w:left w:val="single" w:sz="8" w:color="1F1F1F"/>
              <w:bottom w:val="single" w:sz="8" w:color="1F1F1F"/>
              <w:right w:val="single" w:sz="8" w:color="1F1F1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Deliberação do CEDCA; Resolução SEDEF com critério e lista; o próximo ranqueado substitui quem não adere</w:t>
            </w:r>
          </w:p>
        </w:tc>
      </w:tr>
      <w:tr>
        <w:trPr>
          <w:cantSplit/>
        </w:trPr>
        <w:tc>
          <w:tcPr>
            <w:tcW w:type="dxa" w:w="2948"/>
            <w:shd w:val="clear" w:color="auto" w:fill="B2182B"/>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8. Limites</w:t>
            </w:r>
          </w:p>
          <w:p>
            <w:pPr>
              <w:spacing w:after="0" w:before="0" w:line="240" w:lineRule="auto"/>
              <w:ind w:firstLine="0" w:left="0"/>
              <w:jc w:val="center"/>
            </w:pPr>
            <w:r>
              <w:rPr>
                <w:rFonts w:ascii="Arial" w:hAnsi="Arial"/>
                <w:b w:val="0"/>
                <w:color w:val="FFFFFF"/>
                <w:sz w:val="16"/>
              </w:rPr>
              <w:t>O que o índice não capta?</w:t>
            </w:r>
          </w:p>
        </w:tc>
        <w:tc>
          <w:tcPr>
            <w:tcW w:type="dxa" w:w="28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5840"/>
            <w:shd w:val="clear" w:color="auto" w:fill="FFFFFF"/>
            <w:tcBorders>
              <w:top w:val="single" w:sz="8" w:color="B2182B"/>
              <w:left w:val="single" w:sz="8" w:color="B2182B"/>
              <w:bottom w:val="single" w:sz="8" w:color="B2182B"/>
              <w:right w:val="single" w:sz="8" w:color="B2182B"/>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Terreno, capacidade de licitar e fila local; margem de decisão delimitada e documentada</w:t>
            </w:r>
          </w:p>
        </w:tc>
      </w:tr>
    </w:tbl>
    <w:p>
      <w:pPr>
        <w:keepNext w:val="0"/>
        <w:spacing w:line="240" w:lineRule="auto" w:after="120" w:before="60"/>
        <w:ind w:firstLine="0"/>
        <w:jc w:val="left"/>
      </w:pPr>
      <w:r>
        <w:rPr>
          <w:rFonts w:ascii="Arial" w:hAnsi="Arial"/>
          <w:b w:val="0"/>
          <w:i w:val="0"/>
          <w:sz w:val="20"/>
        </w:rPr>
        <w:t>Fonte: Elaboração própria.</w:t>
      </w:r>
    </w:p>
    <w:p>
      <w:pPr>
        <w:keepNext/>
        <w:spacing w:before="120" w:after="120" w:line="360" w:lineRule="auto"/>
        <w:ind w:firstLine="0"/>
        <w:jc w:val="left"/>
      </w:pPr>
      <w:r>
        <w:rPr>
          <w:rFonts w:ascii="Arial" w:hAnsi="Arial"/>
          <w:b/>
          <w:sz w:val="24"/>
        </w:rPr>
        <w:t>3.2 Abordagem analítica</w:t>
      </w:r>
    </w:p>
    <w:p>
      <w:pPr>
        <w:keepNext w:val="0"/>
        <w:spacing w:line="360" w:lineRule="auto" w:after="0" w:before="0"/>
        <w:ind w:firstLine="850"/>
        <w:jc w:val="both"/>
      </w:pPr>
      <w:r>
        <w:rPr>
          <w:rFonts w:ascii="Arial" w:hAnsi="Arial"/>
          <w:b w:val="0"/>
          <w:i w:val="0"/>
          <w:sz w:val="24"/>
        </w:rPr>
        <w:t>A análise apoia-se em três procedimentos. A reconstrução documental usa a lei, as deliberações do CEDCA, as resoluções da SEDEF, o Plano Plurianual e sua base de entregas e a apresentação institucional do programa para datar decisões e parâmetros. A auditoria das planilhas de cálculo, em três versões (março, maio e junho de 2024), reproduziu célula a célula as fórmulas dos pilares, do índice e das regras de distribuição, com junção dos 399 municípios pelo código do IBGE. A análise de sensibilidade recalculou o ordenamento sob pesos e normalizações alternativos e comparou a distribuição adotada com critérios contrafactuais que distribuem o mesmo número de unidades. Os três procedimentos configuram uma avaliação ex ante da regra: examinam o que a regra faz com a seleção territorial antes de qualquer obra. Base tratada, scripts, mapas e diagramas editáveis acompanham o artigo como material suplementar.</w:t>
      </w:r>
      <w:r>
        <w:rPr>
          <w:vertAlign w:val="superscript"/>
        </w:rPr>
        <w:footnoteReference w:id="1"/>
      </w:r>
    </w:p>
    <w:p>
      <w:pPr>
        <w:keepNext/>
        <w:spacing w:before="120" w:after="120" w:line="360" w:lineRule="auto"/>
        <w:ind w:firstLine="0"/>
        <w:jc w:val="left"/>
      </w:pPr>
      <w:r>
        <w:rPr>
          <w:rFonts w:ascii="Arial" w:hAnsi="Arial"/>
          <w:b/>
          <w:sz w:val="24"/>
        </w:rPr>
        <w:t>3.3 Fator educacional</w:t>
      </w:r>
    </w:p>
    <w:p>
      <w:pPr>
        <w:keepNext w:val="0"/>
        <w:spacing w:line="360" w:lineRule="auto" w:after="0" w:before="0"/>
        <w:ind w:firstLine="850"/>
        <w:jc w:val="both"/>
      </w:pPr>
      <w:r>
        <w:rPr>
          <w:rFonts w:ascii="Arial" w:hAnsi="Arial"/>
          <w:b w:val="0"/>
          <w:i w:val="0"/>
          <w:sz w:val="24"/>
        </w:rPr>
        <w:t>O pilar educacional mede a oferta existente com três indicadores do Censo Escolar de 2023 e do Censo Demográfico de 2022 (INEP, 2024; IBGE, 2023a): a proporção de matrículas em creche sobre a população de zero a quatro anos; a proporção de matrículas em pré-escola e ensino fundamental sobre a população de cinco a catorze anos; e a participação de estabelecimentos privados na oferta. Os três entram em sentido inverso, porque um valor maior indica menor necessidade. Cada indicador bruto x é convertido a uma escala de 0 a 100 pelo método mínimo-máximo, com extremos dados pelos próprios municípios:</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z</m:t>
            </m:r>
          </m:e>
          <m:sub>
            <m:r>
              <w:rPr>
                <w:rFonts w:ascii="Cambria Math" w:hAnsi="Cambria Math"/>
              </w:rPr>
              <m:t xml:space="preserve">k,i</m:t>
            </m:r>
          </m:sub>
        </m:sSub>
        <m:r>
          <w:rPr>
            <w:rFonts w:ascii="Cambria Math" w:hAnsi="Cambria Math"/>
          </w:rPr>
          <m:t xml:space="preserve"> = 100 </m:t>
        </m:r>
        <m:r>
          <w:rPr>
            <w:rFonts w:ascii="Cambria Math" w:hAnsi="Cambria Math"/>
          </w:rPr>
          <m:t xml:space="preserve">·</m:t>
        </m:r>
        <m:r>
          <w:rPr>
            <w:rFonts w:ascii="Cambria Math" w:hAnsi="Cambria Math"/>
          </w:rPr>
          <m:t xml:space="preserve"> </m:t>
        </m:r>
        <m:f>
          <m:num>
            <m:sSub>
              <m:e>
                <m:r>
                  <m:rPr>
                    <m:sty m:val="p"/>
                  </m:rPr>
                  <w:rPr>
                    <w:rFonts w:ascii="Cambria Math" w:hAnsi="Cambria Math"/>
                  </w:rPr>
                  <m:t xml:space="preserve">max</m:t>
                </m:r>
              </m:e>
              <m:sub>
                <m:r>
                  <w:rPr>
                    <w:rFonts w:ascii="Cambria Math" w:hAnsi="Cambria Math"/>
                  </w:rPr>
                  <m:t xml:space="preserve">j</m:t>
                </m:r>
              </m:sub>
            </m:sSub>
            <m:sSub>
              <m:e>
                <m:r>
                  <w:rPr>
                    <w:rFonts w:ascii="Cambria Math" w:hAnsi="Cambria Math"/>
                  </w:rPr>
                  <m:t xml:space="preserve"> x</m:t>
                </m:r>
              </m:e>
              <m:sub>
                <m:r>
                  <w:rPr>
                    <w:rFonts w:ascii="Cambria Math" w:hAnsi="Cambria Math"/>
                  </w:rPr>
                  <m:t xml:space="preserve">k,j</m:t>
                </m:r>
              </m:sub>
            </m:sSub>
            <m:sSub>
              <m:e>
                <m:r>
                  <w:rPr>
                    <w:rFonts w:ascii="Cambria Math" w:hAnsi="Cambria Math"/>
                  </w:rPr>
                  <m:t xml:space="preserve"> - x</m:t>
                </m:r>
              </m:e>
              <m:sub>
                <m:r>
                  <w:rPr>
                    <w:rFonts w:ascii="Cambria Math" w:hAnsi="Cambria Math"/>
                  </w:rPr>
                  <m:t xml:space="preserve">k,i</m:t>
                </m:r>
              </m:sub>
            </m:sSub>
          </m:num>
          <m:den>
            <m:sSub>
              <m:e>
                <m:r>
                  <m:rPr>
                    <m:sty m:val="p"/>
                  </m:rPr>
                  <w:rPr>
                    <w:rFonts w:ascii="Cambria Math" w:hAnsi="Cambria Math"/>
                  </w:rPr>
                  <m:t xml:space="preserve">max</m:t>
                </m:r>
              </m:e>
              <m:sub>
                <m:r>
                  <w:rPr>
                    <w:rFonts w:ascii="Cambria Math" w:hAnsi="Cambria Math"/>
                  </w:rPr>
                  <m:t xml:space="preserve">j</m:t>
                </m:r>
              </m:sub>
            </m:sSub>
            <m:sSub>
              <m:e>
                <m:r>
                  <w:rPr>
                    <w:rFonts w:ascii="Cambria Math" w:hAnsi="Cambria Math"/>
                  </w:rPr>
                  <m:t xml:space="preserve"> x</m:t>
                </m:r>
              </m:e>
              <m:sub>
                <m:r>
                  <w:rPr>
                    <w:rFonts w:ascii="Cambria Math" w:hAnsi="Cambria Math"/>
                  </w:rPr>
                  <m:t xml:space="preserve">k,j</m:t>
                </m:r>
              </m:sub>
            </m:sSub>
            <m:r>
              <w:rPr>
                <w:rFonts w:ascii="Cambria Math" w:hAnsi="Cambria Math"/>
              </w:rPr>
              <m:t xml:space="preserve"> - </m:t>
            </m:r>
            <m:sSub>
              <m:e>
                <m:r>
                  <m:rPr>
                    <m:sty m:val="p"/>
                  </m:rPr>
                  <w:rPr>
                    <w:rFonts w:ascii="Cambria Math" w:hAnsi="Cambria Math"/>
                  </w:rPr>
                  <m:t xml:space="preserve">min</m:t>
                </m:r>
              </m:e>
              <m:sub>
                <m:r>
                  <w:rPr>
                    <w:rFonts w:ascii="Cambria Math" w:hAnsi="Cambria Math"/>
                  </w:rPr>
                  <m:t xml:space="preserve">j</m:t>
                </m:r>
              </m:sub>
            </m:sSub>
            <m:sSub>
              <m:e>
                <m:r>
                  <w:rPr>
                    <w:rFonts w:ascii="Cambria Math" w:hAnsi="Cambria Math"/>
                  </w:rPr>
                  <m:t xml:space="preserve"> x</m:t>
                </m:r>
              </m:e>
              <m:sub>
                <m:r>
                  <w:rPr>
                    <w:rFonts w:ascii="Cambria Math" w:hAnsi="Cambria Math"/>
                  </w:rPr>
                  <m:t xml:space="preserve">k,j</m:t>
                </m:r>
              </m:sub>
            </m:sSub>
          </m:den>
        </m:f>
      </m:oMath>
      <w:r>
        <w:rPr>
          <w:rFonts w:ascii="Arial" w:hAnsi="Arial"/>
          <w:sz w:val="22"/>
        </w:rPr>
        <w:tab/>
        <w:t>(1)</w:t>
      </w:r>
    </w:p>
    <w:p>
      <w:pPr>
        <w:keepNext w:val="0"/>
        <w:spacing w:line="360" w:lineRule="auto" w:after="0" w:before="0"/>
        <w:ind w:firstLine="850"/>
        <w:jc w:val="both"/>
      </w:pPr>
      <w:r>
        <w:rPr>
          <w:rFonts w:ascii="Arial" w:hAnsi="Arial"/>
          <w:b w:val="0"/>
          <w:i w:val="0"/>
          <w:sz w:val="24"/>
        </w:rPr>
        <w:t>em que z_{k,i} é o escore do indicador k no município i e, para indicadores de sentido direto, o numerador é x_{k,i} − min_j x_{k,j}. O fator é a média ponderada dos escores, com peso 2 para a cobertura de creche, porque é a variável que mede diretamente a lacuna de vagas, reescalonada de 0 a 100 pelo mesmo método (operador mm):</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FE</m:t>
            </m:r>
          </m:e>
          <m:sub>
            <m:r>
              <w:rPr>
                <w:rFonts w:ascii="Cambria Math" w:hAnsi="Cambria Math"/>
              </w:rPr>
              <m:t xml:space="preserve">i</m:t>
            </m:r>
          </m:sub>
        </m:sSub>
        <m:r>
          <w:rPr>
            <w:rFonts w:ascii="Cambria Math" w:hAnsi="Cambria Math"/>
          </w:rPr>
          <m:t xml:space="preserve"> = </m:t>
        </m:r>
        <m:r>
          <m:rPr>
            <m:sty m:val="p"/>
          </m:rPr>
          <w:rPr>
            <w:rFonts w:ascii="Cambria Math" w:hAnsi="Cambria Math"/>
          </w:rPr>
          <m:t xml:space="preserve">mm</m:t>
        </m:r>
        <m:d>
          <m:dPr>
            <m:begChr m:val="["/>
            <m:endChr m:val="]"/>
          </m:dPr>
          <m:e>
            <m:f>
              <m:num>
                <m:r>
                  <w:rPr>
                    <w:rFonts w:ascii="Cambria Math" w:hAnsi="Cambria Math"/>
                  </w:rPr>
                  <m:t xml:space="preserve">2 </m:t>
                </m:r>
                <m:r>
                  <w:rPr>
                    <w:rFonts w:ascii="Cambria Math" w:hAnsi="Cambria Math"/>
                  </w:rPr>
                  <m:t xml:space="preserve">·</m:t>
                </m:r>
                <m:sSub>
                  <m:e>
                    <m:r>
                      <w:rPr>
                        <w:rFonts w:ascii="Cambria Math" w:hAnsi="Cambria Math"/>
                      </w:rPr>
                      <m:t xml:space="preserve"> z</m:t>
                    </m:r>
                  </m:e>
                  <m:sub>
                    <m:r>
                      <w:rPr>
                        <w:rFonts w:ascii="Cambria Math" w:hAnsi="Cambria Math"/>
                      </w:rPr>
                      <m:t xml:space="preserve">creche,i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matrícula,i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privado,i</m:t>
                    </m:r>
                  </m:sub>
                </m:sSub>
              </m:num>
              <m:den>
                <m:r>
                  <w:rPr>
                    <w:rFonts w:ascii="Cambria Math" w:hAnsi="Cambria Math"/>
                  </w:rPr>
                  <m:t xml:space="preserve">4</m:t>
                </m:r>
              </m:den>
            </m:f>
          </m:e>
        </m:d>
      </m:oMath>
      <w:r>
        <w:rPr>
          <w:rFonts w:ascii="Arial" w:hAnsi="Arial"/>
          <w:sz w:val="22"/>
        </w:rPr>
        <w:tab/>
        <w:t>(2)</w:t>
      </w:r>
    </w:p>
    <w:p>
      <w:pPr>
        <w:keepNext w:val="0"/>
        <w:spacing w:line="360" w:lineRule="auto" w:after="0" w:before="0"/>
        <w:ind w:firstLine="850"/>
        <w:jc w:val="both"/>
      </w:pPr>
      <w:r>
        <w:rPr>
          <w:rFonts w:ascii="Arial" w:hAnsi="Arial"/>
          <w:b w:val="0"/>
          <w:i w:val="0"/>
          <w:sz w:val="24"/>
        </w:rPr>
        <w:t>No Paraná, as 185 mil matrículas em creche de 2023 correspondiam a 26,5% das 698 mil crianças de zero a quatro anos, e 42% dos estabelecimentos com creche eram privados. Em termos nacionais, a taxa de atendimento de crianças de zero a três anos era de [[FE_PR]] no estado em 2024, contra [[FE_BR]] no Brasil, o que situa o Paraná na [[FE_POS]] posição entre as unidades da federação (TODOS PELA EDUCAÇÃO, 2025). O fator varia de zero (Ivatuba) a cem (Almirante Tamandaré), com mediana de 54,8, e cresce com o tamanho do município, porque a cobertura relativa é menor nas cidades grandes (Mapa 1).</w:t>
      </w:r>
    </w:p>
    <w:p>
      <w:pPr>
        <w:keepNext/>
        <w:spacing w:line="240" w:lineRule="auto" w:after="60" w:before="160"/>
        <w:ind w:firstLine="0"/>
        <w:jc w:val="left"/>
      </w:pPr>
      <w:r>
        <w:rPr>
          <w:rFonts w:ascii="Arial" w:hAnsi="Arial"/>
          <w:b w:val="0"/>
          <w:i w:val="0"/>
          <w:sz w:val="22"/>
        </w:rPr>
        <w:t>Mapa 1. Fator educacional (FE), por quintis</w:t>
      </w:r>
    </w:p>
    <w:p>
      <w:pPr>
        <w:keepNext/>
        <w:spacing w:after="40"/>
        <w:ind w:firstLine="0"/>
        <w:jc w:val="center"/>
      </w:pPr>
      <w:r>
        <w:drawing>
          <wp:inline xmlns:a="http://schemas.openxmlformats.org/drawingml/2006/main" xmlns:pic="http://schemas.openxmlformats.org/drawingml/2006/picture">
            <wp:extent cx="3960000" cy="3481062"/>
            <wp:docPr id="1" name="Picture 1"/>
            <wp:cNvGraphicFramePr>
              <a:graphicFrameLocks noChangeAspect="1"/>
            </wp:cNvGraphicFramePr>
            <a:graphic>
              <a:graphicData uri="http://schemas.openxmlformats.org/drawingml/2006/picture">
                <pic:pic>
                  <pic:nvPicPr>
                    <pic:cNvPr id="0" name="mapa_fe_educacional.png"/>
                    <pic:cNvPicPr/>
                  </pic:nvPicPr>
                  <pic:blipFill>
                    <a:blip r:embed="rId10"/>
                    <a:stretch>
                      <a:fillRect/>
                    </a:stretch>
                  </pic:blipFill>
                  <pic:spPr>
                    <a:xfrm>
                      <a:off x="0" y="0"/>
                      <a:ext cx="3960000" cy="348106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INEP (2024), IBGE (2023a, 2023b) e das planilhas do estudo.</w:t>
      </w:r>
    </w:p>
    <w:p>
      <w:pPr>
        <w:keepNext w:val="0"/>
        <w:spacing w:line="240" w:lineRule="auto" w:after="120" w:before="0"/>
        <w:ind w:firstLine="0"/>
        <w:jc w:val="left"/>
      </w:pPr>
      <w:r>
        <w:rPr>
          <w:rFonts w:ascii="Arial" w:hAnsi="Arial"/>
          <w:b w:val="0"/>
          <w:i w:val="0"/>
          <w:sz w:val="20"/>
        </w:rPr>
        <w:t>Nota: Escore de 0 a 100. Sistema de referência SIRGAS 2000, projeção policônica.</w:t>
      </w:r>
    </w:p>
    <w:p>
      <w:pPr>
        <w:keepNext/>
        <w:spacing w:before="120" w:after="120" w:line="360" w:lineRule="auto"/>
        <w:ind w:firstLine="0"/>
        <w:jc w:val="left"/>
      </w:pPr>
      <w:r>
        <w:rPr>
          <w:rFonts w:ascii="Arial" w:hAnsi="Arial"/>
          <w:b/>
          <w:sz w:val="24"/>
        </w:rPr>
        <w:t>3.4 Fator demográfico</w:t>
      </w:r>
    </w:p>
    <w:p>
      <w:pPr>
        <w:keepNext w:val="0"/>
        <w:spacing w:line="360" w:lineRule="auto" w:after="0" w:before="0"/>
        <w:ind w:firstLine="850"/>
        <w:jc w:val="both"/>
      </w:pPr>
      <w:r>
        <w:rPr>
          <w:rFonts w:ascii="Arial" w:hAnsi="Arial"/>
          <w:b w:val="0"/>
          <w:i w:val="0"/>
          <w:sz w:val="24"/>
        </w:rPr>
        <w:t>O pilar demográfico mede a pressão da demanda com três indicadores: a mortalidade infantil, óbitos de menores de um ano por mil nascidos vivos, do Sistema de Informações sobre Mortalidade e do Sistema de Informações sobre Nascidos Vivos (DATASUS, 2022); a proporção de crianças pequenas na população total, do Censo de 2022; e a taxa bruta de natalidade, da base de dados do Ipardes (IPARDES, 2024). Os três entram em sentido direto, normalizados pela equação 1, e o fator é sua média simples reescalonada: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FD</m:t>
            </m:r>
          </m:e>
          <m:sub>
            <m:r>
              <w:rPr>
                <w:rFonts w:ascii="Cambria Math" w:hAnsi="Cambria Math"/>
              </w:rPr>
              <m:t xml:space="preserve">i</m:t>
            </m:r>
          </m:sub>
        </m:sSub>
        <m:r>
          <w:rPr>
            <w:rFonts w:ascii="Cambria Math" w:hAnsi="Cambria Math"/>
          </w:rPr>
          <m:t xml:space="preserve"> = </m:t>
        </m:r>
        <m:r>
          <m:rPr>
            <m:sty m:val="p"/>
          </m:rPr>
          <w:rPr>
            <w:rFonts w:ascii="Cambria Math" w:hAnsi="Cambria Math"/>
          </w:rPr>
          <m:t xml:space="preserve">mm</m:t>
        </m:r>
        <m:d>
          <m:dPr>
            <m:begChr m:val="["/>
            <m:endChr m:val="]"/>
          </m:dPr>
          <m:e>
            <m:f>
              <m:num>
                <m:r>
                  <w:rPr>
                    <w:rFonts w:ascii="Cambria Math" w:hAnsi="Cambria Math"/>
                  </w:rPr>
                  <m:t xml:space="preserve">1 </m:t>
                </m:r>
                <m:r>
                  <w:rPr>
                    <w:rFonts w:ascii="Cambria Math" w:hAnsi="Cambria Math"/>
                  </w:rPr>
                  <m:t xml:space="preserve">·</m:t>
                </m:r>
                <m:sSub>
                  <m:e>
                    <m:r>
                      <w:rPr>
                        <w:rFonts w:ascii="Cambria Math" w:hAnsi="Cambria Math"/>
                      </w:rPr>
                      <m:t xml:space="preserve"> z</m:t>
                    </m:r>
                  </m:e>
                  <m:sub>
                    <m:r>
                      <w:rPr>
                        <w:rFonts w:ascii="Cambria Math" w:hAnsi="Cambria Math"/>
                      </w:rPr>
                      <m:t xml:space="preserve">mortalidade,i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proporção,i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natalidade,i</m:t>
                    </m:r>
                  </m:sub>
                </m:sSub>
              </m:num>
              <m:den>
                <m:r>
                  <w:rPr>
                    <w:rFonts w:ascii="Cambria Math" w:hAnsi="Cambria Math"/>
                  </w:rPr>
                  <m:t xml:space="preserve">3</m:t>
                </m:r>
              </m:den>
            </m:f>
          </m:e>
        </m:d>
      </m:oMath>
      <w:r>
        <w:rPr>
          <w:rFonts w:ascii="Arial" w:hAnsi="Arial"/>
          <w:sz w:val="22"/>
        </w:rPr>
        <w:tab/>
        <w:t>(3)</w:t>
      </w:r>
    </w:p>
    <w:p>
      <w:pPr>
        <w:keepNext w:val="0"/>
        <w:spacing w:line="360" w:lineRule="auto" w:after="0" w:before="0"/>
        <w:ind w:firstLine="850"/>
        <w:jc w:val="both"/>
      </w:pPr>
      <w:r>
        <w:rPr>
          <w:rFonts w:ascii="Arial" w:hAnsi="Arial"/>
          <w:b w:val="0"/>
          <w:i w:val="0"/>
          <w:sz w:val="24"/>
        </w:rPr>
        <w:t>A auditoria identificou que a coluna rotulada como população de zero a quatro anos na aba demográfica corresponde, pela magnitude, à população de zero a nove anos; a diferença altera a proporção usada, mas não o ordenamento relativo entre municípios, porque ambas as faixas estão fortemente correlacionadas (0,998). No Paraná, a mortalidade infantil era de [[FD_MI_PR]] por mil em [[FD_MI_ANO]], contra [[FD_MI_BR]] no Brasil ([[FD_MI_FONTE]]), e as crianças de zero a quatro anos eram 6,1% da população em 2022, contra [[FD_P04_BR]] no país (IBGE, 2023a). O fator varia de zero (Miraselva) a cem (Prado Ferreira), com mediana de 44,7, e não guarda relação com o porte (Mapa 2).</w:t>
      </w:r>
    </w:p>
    <w:p>
      <w:pPr>
        <w:keepNext/>
        <w:spacing w:line="240" w:lineRule="auto" w:after="60" w:before="160"/>
        <w:ind w:firstLine="0"/>
        <w:jc w:val="left"/>
      </w:pPr>
      <w:r>
        <w:rPr>
          <w:rFonts w:ascii="Arial" w:hAnsi="Arial"/>
          <w:b w:val="0"/>
          <w:i w:val="0"/>
          <w:sz w:val="22"/>
        </w:rPr>
        <w:t>Mapa 2. Fator demográfico (FD), por quintis</w:t>
      </w:r>
    </w:p>
    <w:p>
      <w:pPr>
        <w:keepNext/>
        <w:spacing w:after="40"/>
        <w:ind w:firstLine="0"/>
        <w:jc w:val="center"/>
      </w:pPr>
      <w:r>
        <w:drawing>
          <wp:inline xmlns:a="http://schemas.openxmlformats.org/drawingml/2006/main" xmlns:pic="http://schemas.openxmlformats.org/drawingml/2006/picture">
            <wp:extent cx="3960000" cy="3481062"/>
            <wp:docPr id="2" name="Picture 2"/>
            <wp:cNvGraphicFramePr>
              <a:graphicFrameLocks noChangeAspect="1"/>
            </wp:cNvGraphicFramePr>
            <a:graphic>
              <a:graphicData uri="http://schemas.openxmlformats.org/drawingml/2006/picture">
                <pic:pic>
                  <pic:nvPicPr>
                    <pic:cNvPr id="0" name="mapa_fd_demografico.png"/>
                    <pic:cNvPicPr/>
                  </pic:nvPicPr>
                  <pic:blipFill>
                    <a:blip r:embed="rId11"/>
                    <a:stretch>
                      <a:fillRect/>
                    </a:stretch>
                  </pic:blipFill>
                  <pic:spPr>
                    <a:xfrm>
                      <a:off x="0" y="0"/>
                      <a:ext cx="3960000" cy="348106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DATASUS (2022), IBGE (2023a, 2023b), IPARDES (2024) e das planilhas do estudo.</w:t>
      </w:r>
    </w:p>
    <w:p>
      <w:pPr>
        <w:keepNext w:val="0"/>
        <w:spacing w:line="240" w:lineRule="auto" w:after="120" w:before="0"/>
        <w:ind w:firstLine="0"/>
        <w:jc w:val="left"/>
      </w:pPr>
      <w:r>
        <w:rPr>
          <w:rFonts w:ascii="Arial" w:hAnsi="Arial"/>
          <w:b w:val="0"/>
          <w:i w:val="0"/>
          <w:sz w:val="20"/>
        </w:rPr>
        <w:t>Nota: Escore de 0 a 100.</w:t>
      </w:r>
    </w:p>
    <w:p>
      <w:pPr>
        <w:keepNext/>
        <w:spacing w:before="120" w:after="120" w:line="360" w:lineRule="auto"/>
        <w:ind w:firstLine="0"/>
        <w:jc w:val="left"/>
      </w:pPr>
      <w:r>
        <w:rPr>
          <w:rFonts w:ascii="Arial" w:hAnsi="Arial"/>
          <w:b/>
          <w:sz w:val="24"/>
        </w:rPr>
        <w:t>3.5 Fator socioeconômico</w:t>
      </w:r>
    </w:p>
    <w:p>
      <w:pPr>
        <w:keepNext w:val="0"/>
        <w:spacing w:line="360" w:lineRule="auto" w:after="0" w:before="0"/>
        <w:ind w:firstLine="850"/>
        <w:jc w:val="both"/>
      </w:pPr>
      <w:r>
        <w:rPr>
          <w:rFonts w:ascii="Arial" w:hAnsi="Arial"/>
          <w:b w:val="0"/>
          <w:i w:val="0"/>
          <w:sz w:val="24"/>
        </w:rPr>
        <w:t>O pilar socioeconômico mede a vulnerabilidade com três indicadores: a proporção de crianças com peso baixo para a idade entre as acompanhadas pelo Sistema de Vigilância Alimentar e Nutricional (BRASIL, 2024); a proporção de crianças a serem acompanhadas pelas condicionalidades de saúde do Cadastro Único sobre a população de zero a nove anos (BRASIL, 2024); e a dimensão renda, emprego e produção agropecuária do Índice Ipardes de Desempenho Municipal (IPARDES, 2023), em sentido inverso. O fator é a média simples dos escores, reescalonada: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FS</m:t>
            </m:r>
          </m:e>
          <m:sub>
            <m:r>
              <w:rPr>
                <w:rFonts w:ascii="Cambria Math" w:hAnsi="Cambria Math"/>
              </w:rPr>
              <m:t xml:space="preserve">i</m:t>
            </m:r>
          </m:sub>
        </m:sSub>
        <m:r>
          <w:rPr>
            <w:rFonts w:ascii="Cambria Math" w:hAnsi="Cambria Math"/>
          </w:rPr>
          <m:t xml:space="preserve"> = </m:t>
        </m:r>
        <m:r>
          <m:rPr>
            <m:sty m:val="p"/>
          </m:rPr>
          <w:rPr>
            <w:rFonts w:ascii="Cambria Math" w:hAnsi="Cambria Math"/>
          </w:rPr>
          <m:t xml:space="preserve">mm</m:t>
        </m:r>
        <m:d>
          <m:dPr>
            <m:begChr m:val="["/>
            <m:endChr m:val="]"/>
          </m:dPr>
          <m:e>
            <m:f>
              <m:num>
                <m:r>
                  <w:rPr>
                    <w:rFonts w:ascii="Cambria Math" w:hAnsi="Cambria Math"/>
                  </w:rPr>
                  <m:t xml:space="preserve">1 </m:t>
                </m:r>
                <m:r>
                  <w:rPr>
                    <w:rFonts w:ascii="Cambria Math" w:hAnsi="Cambria Math"/>
                  </w:rPr>
                  <m:t xml:space="preserve">·</m:t>
                </m:r>
                <m:sSub>
                  <m:e>
                    <m:r>
                      <w:rPr>
                        <w:rFonts w:ascii="Cambria Math" w:hAnsi="Cambria Math"/>
                      </w:rPr>
                      <m:t xml:space="preserve"> z</m:t>
                    </m:r>
                  </m:e>
                  <m:sub>
                    <m:r>
                      <w:rPr>
                        <w:rFonts w:ascii="Cambria Math" w:hAnsi="Cambria Math"/>
                      </w:rPr>
                      <m:t xml:space="preserve">peso,i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CadÚnico,i</m:t>
                    </m:r>
                  </m:sub>
                </m:sSub>
                <m:r>
                  <w:rPr>
                    <w:rFonts w:ascii="Cambria Math" w:hAnsi="Cambria Math"/>
                  </w:rPr>
                  <m:t xml:space="preserve"> + 1 </m:t>
                </m:r>
                <m:r>
                  <w:rPr>
                    <w:rFonts w:ascii="Cambria Math" w:hAnsi="Cambria Math"/>
                  </w:rPr>
                  <m:t xml:space="preserve">·</m:t>
                </m:r>
                <m:sSub>
                  <m:e>
                    <m:r>
                      <w:rPr>
                        <w:rFonts w:ascii="Cambria Math" w:hAnsi="Cambria Math"/>
                      </w:rPr>
                      <m:t xml:space="preserve"> z</m:t>
                    </m:r>
                  </m:e>
                  <m:sub>
                    <m:r>
                      <w:rPr>
                        <w:rFonts w:ascii="Cambria Math" w:hAnsi="Cambria Math"/>
                      </w:rPr>
                      <m:t xml:space="preserve">IPDM,i</m:t>
                    </m:r>
                  </m:sub>
                </m:sSub>
              </m:num>
              <m:den>
                <m:r>
                  <w:rPr>
                    <w:rFonts w:ascii="Cambria Math" w:hAnsi="Cambria Math"/>
                  </w:rPr>
                  <m:t xml:space="preserve">3</m:t>
                </m:r>
              </m:den>
            </m:f>
          </m:e>
        </m:d>
      </m:oMath>
      <w:r>
        <w:rPr>
          <w:rFonts w:ascii="Arial" w:hAnsi="Arial"/>
          <w:sz w:val="22"/>
        </w:rPr>
        <w:tab/>
        <w:t>(4)</w:t>
      </w:r>
    </w:p>
    <w:p>
      <w:pPr>
        <w:keepNext w:val="0"/>
        <w:spacing w:line="360" w:lineRule="auto" w:after="0" w:before="0"/>
        <w:ind w:firstLine="850"/>
        <w:jc w:val="both"/>
      </w:pPr>
      <w:r>
        <w:rPr>
          <w:rFonts w:ascii="Arial" w:hAnsi="Arial"/>
          <w:b w:val="0"/>
          <w:i w:val="0"/>
          <w:sz w:val="24"/>
        </w:rPr>
        <w:t>Na mediana dos municípios, 23,6% das crianças de zero a nove anos estavam entre as acompanhadas pelo Cadastro Único e 2,8% das crianças pesadas tinham peso baixo para a idade. No plano nacional, [[FS_CAD_PR]] das crianças paranaenses de zero a seis anos estavam inscritas no Cadastro Único em [[FS_CAD_ANO]], contra [[FS_CAD_BR]] no Brasil ([[FS_CAD_FONTE]]), e a renda domiciliar per capita do estado era a [[FS_RENDA_POS]] maior do país em [[FS_RENDA_ANO]] (IBGE, 2025). Curitiba tem fator zero, a referência mínima do estado; o máximo é Cruzmaltina; a mediana é 42,1. O fator cai com o tamanho do município e concentra os maiores valores no Centro-Sul, no Vale do Ribeira e no litoral norte (Mapa 3).</w:t>
      </w:r>
    </w:p>
    <w:p>
      <w:pPr>
        <w:keepNext/>
        <w:spacing w:line="240" w:lineRule="auto" w:after="60" w:before="160"/>
        <w:ind w:firstLine="0"/>
        <w:jc w:val="left"/>
      </w:pPr>
      <w:r>
        <w:rPr>
          <w:rFonts w:ascii="Arial" w:hAnsi="Arial"/>
          <w:b w:val="0"/>
          <w:i w:val="0"/>
          <w:sz w:val="22"/>
        </w:rPr>
        <w:t>Mapa 3. Fator socioeconômico (FS), por quintis</w:t>
      </w:r>
    </w:p>
    <w:p>
      <w:pPr>
        <w:keepNext/>
        <w:spacing w:after="40"/>
        <w:ind w:firstLine="0"/>
        <w:jc w:val="center"/>
      </w:pPr>
      <w:r>
        <w:drawing>
          <wp:inline xmlns:a="http://schemas.openxmlformats.org/drawingml/2006/main" xmlns:pic="http://schemas.openxmlformats.org/drawingml/2006/picture">
            <wp:extent cx="3960000" cy="3481062"/>
            <wp:docPr id="3" name="Picture 3"/>
            <wp:cNvGraphicFramePr>
              <a:graphicFrameLocks noChangeAspect="1"/>
            </wp:cNvGraphicFramePr>
            <a:graphic>
              <a:graphicData uri="http://schemas.openxmlformats.org/drawingml/2006/picture">
                <pic:pic>
                  <pic:nvPicPr>
                    <pic:cNvPr id="0" name="mapa_fs_socioeconomico.png"/>
                    <pic:cNvPicPr/>
                  </pic:nvPicPr>
                  <pic:blipFill>
                    <a:blip r:embed="rId12"/>
                    <a:stretch>
                      <a:fillRect/>
                    </a:stretch>
                  </pic:blipFill>
                  <pic:spPr>
                    <a:xfrm>
                      <a:off x="0" y="0"/>
                      <a:ext cx="3960000" cy="348106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de Brasil (2024), IPARDES (2023), IBGE (2023b) e das planilhas do estudo.</w:t>
      </w:r>
    </w:p>
    <w:p>
      <w:pPr>
        <w:keepNext w:val="0"/>
        <w:spacing w:line="240" w:lineRule="auto" w:after="120" w:before="0"/>
        <w:ind w:firstLine="0"/>
        <w:jc w:val="left"/>
      </w:pPr>
      <w:r>
        <w:rPr>
          <w:rFonts w:ascii="Arial" w:hAnsi="Arial"/>
          <w:b w:val="0"/>
          <w:i w:val="0"/>
          <w:sz w:val="20"/>
        </w:rPr>
        <w:t>Nota: Escore de 0 a 100.</w:t>
      </w:r>
    </w:p>
    <w:p>
      <w:pPr>
        <w:keepNext/>
        <w:spacing w:before="120" w:after="120" w:line="360" w:lineRule="auto"/>
        <w:ind w:firstLine="0"/>
        <w:jc w:val="left"/>
      </w:pPr>
      <w:r>
        <w:rPr>
          <w:rFonts w:ascii="Arial" w:hAnsi="Arial"/>
          <w:b/>
          <w:sz w:val="24"/>
        </w:rPr>
        <w:t>3.6 Agregação: o PCM</w:t>
      </w:r>
    </w:p>
    <w:p>
      <w:pPr>
        <w:keepNext w:val="0"/>
        <w:spacing w:line="360" w:lineRule="auto" w:after="0" w:before="0"/>
        <w:ind w:firstLine="850"/>
        <w:jc w:val="both"/>
      </w:pPr>
      <w:r>
        <w:rPr>
          <w:rFonts w:ascii="Arial" w:hAnsi="Arial"/>
          <w:b w:val="0"/>
          <w:i w:val="0"/>
          <w:sz w:val="24"/>
        </w:rPr>
        <w:t>Os três fatores são agregados por média ponderada, com peso 2 para o educacional e o socioeconômico e peso 1 para o demográfico, e o resultado é dividido por 100 para variar entre 0 e 1 (Figura 4):</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PCM</m:t>
            </m:r>
          </m:e>
          <m:sub>
            <m:r>
              <w:rPr>
                <w:rFonts w:ascii="Cambria Math" w:hAnsi="Cambria Math"/>
              </w:rPr>
              <m:t xml:space="preserve">i</m:t>
            </m:r>
          </m:sub>
        </m:sSub>
        <m:r>
          <w:rPr>
            <w:rFonts w:ascii="Cambria Math" w:hAnsi="Cambria Math"/>
          </w:rPr>
          <m:t xml:space="preserve"> = </m:t>
        </m:r>
        <m:f>
          <m:num>
            <m:r>
              <w:rPr>
                <w:rFonts w:ascii="Cambria Math" w:hAnsi="Cambria Math"/>
              </w:rPr>
              <m:t xml:space="preserve">2 </m:t>
            </m:r>
            <m:r>
              <w:rPr>
                <w:rFonts w:ascii="Cambria Math" w:hAnsi="Cambria Math"/>
              </w:rPr>
              <m:t xml:space="preserve">·</m:t>
            </m:r>
            <m:sSub>
              <m:e>
                <m:r>
                  <w:rPr>
                    <w:rFonts w:ascii="Cambria Math" w:hAnsi="Cambria Math"/>
                  </w:rPr>
                  <m:t xml:space="preserve"> FE</m:t>
                </m:r>
              </m:e>
              <m:sub>
                <m:r>
                  <w:rPr>
                    <w:rFonts w:ascii="Cambria Math" w:hAnsi="Cambria Math"/>
                  </w:rPr>
                  <m:t xml:space="preserve">i</m:t>
                </m:r>
              </m:sub>
            </m:sSub>
            <m:r>
              <w:rPr>
                <w:rFonts w:ascii="Cambria Math" w:hAnsi="Cambria Math"/>
              </w:rPr>
              <m:t xml:space="preserve"> + 1 </m:t>
            </m:r>
            <m:r>
              <w:rPr>
                <w:rFonts w:ascii="Cambria Math" w:hAnsi="Cambria Math"/>
              </w:rPr>
              <m:t xml:space="preserve">·</m:t>
            </m:r>
            <m:sSub>
              <m:e>
                <m:r>
                  <w:rPr>
                    <w:rFonts w:ascii="Cambria Math" w:hAnsi="Cambria Math"/>
                  </w:rPr>
                  <m:t xml:space="preserve"> FD</m:t>
                </m:r>
              </m:e>
              <m:sub>
                <m:r>
                  <w:rPr>
                    <w:rFonts w:ascii="Cambria Math" w:hAnsi="Cambria Math"/>
                  </w:rPr>
                  <m:t xml:space="preserve">i</m:t>
                </m:r>
              </m:sub>
            </m:sSub>
            <m:r>
              <w:rPr>
                <w:rFonts w:ascii="Cambria Math" w:hAnsi="Cambria Math"/>
              </w:rPr>
              <m:t xml:space="preserve"> + 2 </m:t>
            </m:r>
            <m:r>
              <w:rPr>
                <w:rFonts w:ascii="Cambria Math" w:hAnsi="Cambria Math"/>
              </w:rPr>
              <m:t xml:space="preserve">·</m:t>
            </m:r>
            <m:sSub>
              <m:e>
                <m:r>
                  <w:rPr>
                    <w:rFonts w:ascii="Cambria Math" w:hAnsi="Cambria Math"/>
                  </w:rPr>
                  <m:t xml:space="preserve"> FS</m:t>
                </m:r>
              </m:e>
              <m:sub>
                <m:r>
                  <w:rPr>
                    <w:rFonts w:ascii="Cambria Math" w:hAnsi="Cambria Math"/>
                  </w:rPr>
                  <m:t xml:space="preserve">i</m:t>
                </m:r>
              </m:sub>
            </m:sSub>
          </m:num>
          <m:den>
            <m:r>
              <w:rPr>
                <w:rFonts w:ascii="Cambria Math" w:hAnsi="Cambria Math"/>
              </w:rPr>
              <m:t xml:space="preserve">5 </m:t>
            </m:r>
            <m:r>
              <w:rPr>
                <w:rFonts w:ascii="Cambria Math" w:hAnsi="Cambria Math"/>
              </w:rPr>
              <m:t xml:space="preserve">·</m:t>
            </m:r>
            <m:r>
              <w:rPr>
                <w:rFonts w:ascii="Cambria Math" w:hAnsi="Cambria Math"/>
              </w:rPr>
              <m:t xml:space="preserve"> 100</m:t>
            </m:r>
          </m:den>
        </m:f>
      </m:oMath>
      <w:r>
        <w:rPr>
          <w:rFonts w:ascii="Arial" w:hAnsi="Arial"/>
          <w:sz w:val="22"/>
        </w:rPr>
        <w:tab/>
        <w:t>(5)</w:t>
      </w:r>
    </w:p>
    <w:p>
      <w:pPr>
        <w:keepNext w:val="0"/>
        <w:spacing w:line="360" w:lineRule="auto" w:after="0" w:before="0"/>
        <w:ind w:firstLine="850"/>
        <w:jc w:val="both"/>
      </w:pPr>
      <w:r>
        <w:rPr>
          <w:rFonts w:ascii="Arial" w:hAnsi="Arial"/>
          <w:b w:val="0"/>
          <w:i w:val="0"/>
          <w:sz w:val="24"/>
        </w:rPr>
        <w:t>Os pesos expressam um juízo de valor: a necessidade é definida pela lacuna de oferta e pela vulnerabilidade, e a pressão demográfica entra como moderadora. A agregação aditiva permite compensação entre pilares (GRECO et al., 2019, p. 70-75). O PCM varia de 0,240 a 0,789, com média 0,480 e desvio-padrão 0,102; o pilar educacional tem a maior correlação de postos com o índice (0,78), seguido do socioeconômico (0,66) e do demográfico (0,46), e os pilares são pouco correlacionados entre si (0,02 a 0,23). A correlação entre PCM e população é nula (−0,003), porque o pilar educacional cresce com o tamanho do município e o socioeconômico cai. Curitiba tem PCM de 0,286, o quinto menor; os maiores valores estão em municípios pequenos do Centro-Sul, do Vale do Ribeira e do litoral norte (Mapa 4). O quintil superior reúne 80 municípios com cobertura mediana de 22,3%, 34,1% das crianças no Cadastro Único e mortalidade infantil de 11,7 por mil, contra 45,2%, 15,2% e 3,0 no quintil inferior.</w:t>
      </w:r>
    </w:p>
    <w:p>
      <w:pPr>
        <w:keepNext/>
        <w:spacing w:line="240" w:lineRule="auto" w:after="60" w:before="160"/>
        <w:ind w:firstLine="0"/>
        <w:jc w:val="left"/>
      </w:pPr>
      <w:r>
        <w:rPr>
          <w:rFonts w:ascii="Arial" w:hAnsi="Arial"/>
          <w:b w:val="0"/>
          <w:i w:val="0"/>
          <w:sz w:val="22"/>
        </w:rPr>
        <w:t>Figura 4. Arquitetura do Potencial de Creche por Município: indicadores, pilares e pesos</w:t>
      </w:r>
    </w:p>
    <w:tbl>
      <w:tblPr>
        <w:tblW w:type="auto" w:w="0"/>
        <w:jc w:val="center"/>
        <w:tblLayout w:type="fixed"/>
        <w:tblLook w:firstColumn="1" w:firstRow="1" w:lastColumn="0" w:lastRow="0" w:noHBand="0" w:noVBand="1" w:val="04A0"/>
        <w:tblLayout w:type="fixed"/>
        <w:tblW w:w="9157" w:type="dxa"/>
      </w:tblPr>
      <w:tblGrid>
        <w:gridCol w:w="2097"/>
        <w:gridCol w:w="255"/>
        <w:gridCol w:w="2097"/>
        <w:gridCol w:w="255"/>
        <w:gridCol w:w="2097"/>
        <w:gridCol w:w="255"/>
        <w:gridCol w:w="2097"/>
      </w:tblGrid>
      <w:tr>
        <w:trPr>
          <w:cantSplit/>
        </w:trPr>
        <w:tc>
          <w:tcPr>
            <w:tcW w:type="dxa" w:w="2097"/>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educacional (FE)</w:t>
            </w:r>
          </w:p>
          <w:p>
            <w:pPr>
              <w:spacing w:after="0" w:before="0" w:line="240" w:lineRule="auto"/>
              <w:ind w:firstLine="0" w:left="0"/>
              <w:jc w:val="center"/>
            </w:pPr>
            <w:r>
              <w:rPr>
                <w:rFonts w:ascii="Arial" w:hAnsi="Arial"/>
                <w:b w:val="0"/>
                <w:color w:val="FFFFFF"/>
                <w:sz w:val="16"/>
              </w:rPr>
              <w:t>oferta existente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demográfico (FD)</w:t>
            </w:r>
          </w:p>
          <w:p>
            <w:pPr>
              <w:spacing w:after="0" w:before="0" w:line="240" w:lineRule="auto"/>
              <w:ind w:firstLine="0" w:left="0"/>
              <w:jc w:val="center"/>
            </w:pPr>
            <w:r>
              <w:rPr>
                <w:rFonts w:ascii="Arial" w:hAnsi="Arial"/>
                <w:b w:val="0"/>
                <w:color w:val="FFFFFF"/>
                <w:sz w:val="16"/>
              </w:rPr>
              <w:t>pressão da demanda</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Fator socioeconômico (FS)</w:t>
            </w:r>
          </w:p>
          <w:p>
            <w:pPr>
              <w:spacing w:after="0" w:before="0" w:line="240" w:lineRule="auto"/>
              <w:ind w:firstLine="0" w:left="0"/>
              <w:jc w:val="center"/>
            </w:pPr>
            <w:r>
              <w:rPr>
                <w:rFonts w:ascii="Arial" w:hAnsi="Arial"/>
                <w:b w:val="0"/>
                <w:color w:val="FFFFFF"/>
                <w:sz w:val="16"/>
              </w:rPr>
              <w:t>vulnerabilidade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000000"/>
                <w:sz w:val="16"/>
              </w:rPr>
              <w:t>Regras comuns</w:t>
            </w:r>
          </w:p>
        </w:tc>
      </w:tr>
      <w:tr>
        <w:trPr>
          <w:cantSplit/>
        </w:trPr>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2 × matrículas em creche / pop. 0 a 4 (inverso)</w:t>
            </w:r>
          </w:p>
          <w:p>
            <w:pPr>
              <w:spacing w:after="0" w:before="0" w:line="240" w:lineRule="auto"/>
              <w:ind w:firstLine="0" w:left="0"/>
              <w:jc w:val="center"/>
            </w:pPr>
            <w:r>
              <w:rPr>
                <w:rFonts w:ascii="Arial" w:hAnsi="Arial"/>
                <w:b w:val="0"/>
                <w:color w:val="000000"/>
                <w:sz w:val="14"/>
              </w:rPr>
              <w:t>1 × matrículas pré-escola e fundamental / pop. 5 a 14 (inverso)</w:t>
            </w:r>
          </w:p>
          <w:p>
            <w:pPr>
              <w:spacing w:after="0" w:before="0" w:line="240" w:lineRule="auto"/>
              <w:ind w:firstLine="0" w:left="0"/>
              <w:jc w:val="center"/>
            </w:pPr>
            <w:r>
              <w:rPr>
                <w:rFonts w:ascii="Arial" w:hAnsi="Arial"/>
                <w:b w:val="0"/>
                <w:color w:val="000000"/>
                <w:sz w:val="14"/>
              </w:rPr>
              <w:t>1 × oferta privada / oferta total (inverso)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1 × mortalidade infantil</w:t>
            </w:r>
          </w:p>
          <w:p>
            <w:pPr>
              <w:spacing w:after="0" w:before="0" w:line="240" w:lineRule="auto"/>
              <w:ind w:firstLine="0" w:left="0"/>
              <w:jc w:val="center"/>
            </w:pPr>
            <w:r>
              <w:rPr>
                <w:rFonts w:ascii="Arial" w:hAnsi="Arial"/>
                <w:b w:val="0"/>
                <w:color w:val="000000"/>
                <w:sz w:val="14"/>
              </w:rPr>
              <w:t>1 × pop. 0 a 4 / pop. total</w:t>
            </w:r>
          </w:p>
          <w:p>
            <w:pPr>
              <w:spacing w:after="0" w:before="0" w:line="240" w:lineRule="auto"/>
              <w:ind w:firstLine="0" w:left="0"/>
              <w:jc w:val="center"/>
            </w:pPr>
            <w:r>
              <w:rPr>
                <w:rFonts w:ascii="Arial" w:hAnsi="Arial"/>
                <w:b w:val="0"/>
                <w:color w:val="000000"/>
                <w:sz w:val="14"/>
              </w:rPr>
              <w:t>1 × taxa de natalidade</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1 × baixo peso para a idade (Sisvan)</w:t>
            </w:r>
          </w:p>
          <w:p>
            <w:pPr>
              <w:spacing w:after="0" w:before="0" w:line="240" w:lineRule="auto"/>
              <w:ind w:firstLine="0" w:left="0"/>
              <w:jc w:val="center"/>
            </w:pPr>
            <w:r>
              <w:rPr>
                <w:rFonts w:ascii="Arial" w:hAnsi="Arial"/>
                <w:b w:val="0"/>
                <w:color w:val="000000"/>
                <w:sz w:val="14"/>
              </w:rPr>
              <w:t>1 × crianças no CadÚnico / pop. 0 a 9</w:t>
            </w:r>
          </w:p>
          <w:p>
            <w:pPr>
              <w:spacing w:after="0" w:before="0" w:line="240" w:lineRule="auto"/>
              <w:ind w:firstLine="0" w:left="0"/>
              <w:jc w:val="center"/>
            </w:pPr>
            <w:r>
              <w:rPr>
                <w:rFonts w:ascii="Arial" w:hAnsi="Arial"/>
                <w:b w:val="0"/>
                <w:color w:val="000000"/>
                <w:sz w:val="14"/>
              </w:rPr>
              <w:t>1 × IPDM renda, emprego e produção (inverso)</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cada indicador em 0 a 100 (mínimo-máximo); sentido inverso quando o valor maior indica menor necessidade; cada fator reescalonado em 0 a 100</w:t>
            </w:r>
          </w:p>
        </w:tc>
      </w:tr>
      <w:tr>
        <w:trPr>
          <w:cantSplit/>
        </w:trPr>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2097"/>
            <w:shd w:val="clear" w:color="auto" w:fill="C24C12"/>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2</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1</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peso 2</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6804"/>
            <w:gridSpan w:val="5"/>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PCM = (2·FE + FD + 2·FS) / 5 / 100, entre 0 e 1</w:t>
            </w:r>
          </w:p>
        </w:tc>
        <w:tc>
          <w:tcPr>
            <w:tcW w:type="dxa" w:w="25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2097"/>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média ponderada dos fatores; agregação aditiva (compensatória)</w:t>
            </w:r>
          </w:p>
        </w:tc>
      </w:tr>
    </w:tbl>
    <w:p>
      <w:pPr>
        <w:keepNext w:val="0"/>
        <w:spacing w:line="240" w:lineRule="auto" w:after="0" w:before="60"/>
        <w:ind w:firstLine="0"/>
        <w:jc w:val="left"/>
      </w:pPr>
      <w:r>
        <w:rPr>
          <w:rFonts w:ascii="Arial" w:hAnsi="Arial"/>
          <w:b w:val="0"/>
          <w:i w:val="0"/>
          <w:sz w:val="20"/>
        </w:rPr>
        <w:t>Fonte: Elaboração própria a partir das planilhas do estudo e de Paraná (2024a, art. 3º).</w:t>
      </w:r>
    </w:p>
    <w:p>
      <w:pPr>
        <w:keepNext w:val="0"/>
        <w:spacing w:line="240" w:lineRule="auto" w:after="120" w:before="0"/>
        <w:ind w:firstLine="0"/>
        <w:jc w:val="left"/>
      </w:pPr>
      <w:r>
        <w:rPr>
          <w:rFonts w:ascii="Arial" w:hAnsi="Arial"/>
          <w:b w:val="0"/>
          <w:i w:val="0"/>
          <w:sz w:val="20"/>
        </w:rPr>
        <w:t>Nota: Sentido inverso: quanto maior a cobertura, a oferta privada ou a renda, menor o escore.</w:t>
      </w:r>
    </w:p>
    <w:p>
      <w:pPr>
        <w:keepNext/>
        <w:spacing w:line="240" w:lineRule="auto" w:after="60" w:before="160"/>
        <w:ind w:firstLine="0"/>
        <w:jc w:val="left"/>
      </w:pPr>
      <w:r>
        <w:rPr>
          <w:rFonts w:ascii="Arial" w:hAnsi="Arial"/>
          <w:b w:val="0"/>
          <w:i w:val="0"/>
          <w:sz w:val="22"/>
        </w:rPr>
        <w:t>Mapa 4. Potencial de Creche por Município (PCM), por quintis</w:t>
      </w:r>
    </w:p>
    <w:p>
      <w:pPr>
        <w:keepNext/>
        <w:spacing w:after="40"/>
        <w:ind w:firstLine="0"/>
        <w:jc w:val="center"/>
      </w:pPr>
      <w:r>
        <w:drawing>
          <wp:inline xmlns:a="http://schemas.openxmlformats.org/drawingml/2006/main" xmlns:pic="http://schemas.openxmlformats.org/drawingml/2006/picture">
            <wp:extent cx="3960000" cy="3481062"/>
            <wp:docPr id="4" name="Picture 4"/>
            <wp:cNvGraphicFramePr>
              <a:graphicFrameLocks noChangeAspect="1"/>
            </wp:cNvGraphicFramePr>
            <a:graphic>
              <a:graphicData uri="http://schemas.openxmlformats.org/drawingml/2006/picture">
                <pic:pic>
                  <pic:nvPicPr>
                    <pic:cNvPr id="0" name="mapa_pcm.png"/>
                    <pic:cNvPicPr/>
                  </pic:nvPicPr>
                  <pic:blipFill>
                    <a:blip r:embed="rId13"/>
                    <a:stretch>
                      <a:fillRect/>
                    </a:stretch>
                  </pic:blipFill>
                  <pic:spPr>
                    <a:xfrm>
                      <a:off x="0" y="0"/>
                      <a:ext cx="3960000" cy="3481062"/>
                    </a:xfrm>
                    <a:prstGeom prst="rect"/>
                  </pic:spPr>
                </pic:pic>
              </a:graphicData>
            </a:graphic>
          </wp:inline>
        </w:drawing>
      </w:r>
    </w:p>
    <w:p>
      <w:pPr>
        <w:keepNext w:val="0"/>
        <w:spacing w:line="240" w:lineRule="auto" w:after="0" w:before="0"/>
        <w:ind w:firstLine="0"/>
        <w:jc w:val="left"/>
      </w:pPr>
      <w:r>
        <w:rPr>
          <w:rFonts w:ascii="Arial" w:hAnsi="Arial"/>
          <w:b w:val="0"/>
          <w:i w:val="0"/>
          <w:sz w:val="20"/>
        </w:rPr>
        <w:t>Fonte: Elaboração própria a partir das planilhas do estudo e da malha municipal do IBGE (2023b).</w:t>
      </w:r>
    </w:p>
    <w:p>
      <w:pPr>
        <w:keepNext w:val="0"/>
        <w:spacing w:line="240" w:lineRule="auto" w:after="120" w:before="0"/>
        <w:ind w:firstLine="0"/>
        <w:jc w:val="left"/>
      </w:pPr>
      <w:r>
        <w:rPr>
          <w:rFonts w:ascii="Arial" w:hAnsi="Arial"/>
          <w:b w:val="0"/>
          <w:i w:val="0"/>
          <w:sz w:val="20"/>
        </w:rPr>
        <w:t>Nota: PCM entre 0 e 1.</w:t>
      </w:r>
    </w:p>
    <w:p>
      <w:pPr>
        <w:keepNext w:val="0"/>
        <w:spacing w:line="360" w:lineRule="auto" w:after="0" w:before="0"/>
        <w:ind w:firstLine="850"/>
        <w:jc w:val="both"/>
      </w:pPr>
      <w:r>
        <w:rPr>
          <w:rFonts w:ascii="Arial" w:hAnsi="Arial"/>
          <w:b w:val="0"/>
          <w:i w:val="0"/>
          <w:sz w:val="24"/>
        </w:rPr>
        <w:t>Na normalização mínimo-máximo um único município define o zero ou o cem de cada indicador, o que torna o índice sensível a valores extremos (OECD; JRC, 2008, p. 28-30). Testamos três alterações: com pesos iguais entre os pilares, a correlação de postos com o PCM padrão é 0,97; com peso triplo no pilar socioeconômico, variante usada em uma versão intermediária das planilhas, 0,93; com normalização por percentis, 0,93, e 63 dos 80 municípios do quintil superior permanecem nele. O ordenamento é estável nos extremos e mais sensível na faixa intermediária, onde centésimos separam municípios.</w:t>
      </w:r>
    </w:p>
    <w:p>
      <w:pPr>
        <w:keepNext/>
        <w:spacing w:before="120" w:after="120" w:line="360" w:lineRule="auto"/>
        <w:ind w:firstLine="0"/>
        <w:jc w:val="left"/>
      </w:pPr>
      <w:r>
        <w:rPr>
          <w:rFonts w:ascii="Arial" w:hAnsi="Arial"/>
          <w:b/>
          <w:sz w:val="24"/>
        </w:rPr>
        <w:t>3.7 Da metodologia à regra: portes, cotas, tetos e arredondamento</w:t>
      </w:r>
    </w:p>
    <w:p>
      <w:pPr>
        <w:keepNext w:val="0"/>
        <w:spacing w:line="360" w:lineRule="auto" w:after="0" w:before="0"/>
        <w:ind w:firstLine="850"/>
        <w:jc w:val="both"/>
      </w:pPr>
      <w:r>
        <w:rPr>
          <w:rFonts w:ascii="Arial" w:hAnsi="Arial"/>
          <w:b w:val="0"/>
          <w:i w:val="0"/>
          <w:sz w:val="24"/>
        </w:rPr>
        <w:t>O índice ordena os municípios, mas não diz quantas unidades cada um recebe. A segunda fase da metodologia classificou os municípios em oito faixas de porte pela população de 2022 e aplicou dois regimes: proporcionalidade corrigida pelo índice entre os 30 municípios das cinco faixas superiores, e ranqueamento pelo índice, com uma unidade por município, nas três faixas inferiores (Figura 5). Na versão apresentada ao conselho, com N* = 257 unidades a distribuir após as 43 da etapa prévia definida pelo índice de prioridade do Ipardes, a cota de cada porte é proporcional à sua parcela s_p na população-alvo, reduzida pelo fator 1 + m, em que m é o PCM médio ponderado (0,503):</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C</m:t>
            </m:r>
          </m:e>
          <m:sub>
            <m:r>
              <w:rPr>
                <w:rFonts w:ascii="Cambria Math" w:hAnsi="Cambria Math"/>
              </w:rPr>
              <m:t xml:space="preserve">p</m:t>
            </m:r>
          </m:sub>
        </m:sSub>
        <m:sSub>
          <m:e>
            <m:r>
              <w:rPr>
                <w:rFonts w:ascii="Cambria Math" w:hAnsi="Cambria Math"/>
              </w:rPr>
              <m:t xml:space="preserve"> = s</m:t>
            </m:r>
          </m:e>
          <m:sub>
            <m:r>
              <w:rPr>
                <w:rFonts w:ascii="Cambria Math" w:hAnsi="Cambria Math"/>
              </w:rPr>
              <m:t xml:space="preserve">p</m:t>
            </m:r>
          </m:sub>
        </m:sSub>
        <m:r>
          <w:rPr>
            <w:rFonts w:ascii="Cambria Math" w:hAnsi="Cambria Math"/>
          </w:rPr>
          <m:t xml:space="preserve"> </m:t>
        </m:r>
        <m:r>
          <w:rPr>
            <w:rFonts w:ascii="Cambria Math" w:hAnsi="Cambria Math"/>
          </w:rPr>
          <m:t xml:space="preserve">·</m:t>
        </m:r>
        <m:r>
          <w:rPr>
            <w:rFonts w:ascii="Cambria Math" w:hAnsi="Cambria Math"/>
          </w:rPr>
          <m:t xml:space="preserve"> </m:t>
        </m:r>
        <m:f>
          <m:num>
            <m:sSup>
              <m:e>
                <m:r>
                  <w:rPr>
                    <w:rFonts w:ascii="Cambria Math" w:hAnsi="Cambria Math"/>
                  </w:rPr>
                  <m:t xml:space="preserve">N</m:t>
                </m:r>
              </m:e>
              <m:sup>
                <m:r>
                  <w:rPr>
                    <w:rFonts w:ascii="Cambria Math" w:hAnsi="Cambria Math"/>
                  </w:rPr>
                  <m:t xml:space="preserve">*</m:t>
                </m:r>
              </m:sup>
            </m:sSup>
          </m:num>
          <m:den>
            <m:r>
              <w:rPr>
                <w:rFonts w:ascii="Cambria Math" w:hAnsi="Cambria Math"/>
              </w:rPr>
              <m:t xml:space="preserve">1 + m</m:t>
            </m:r>
          </m:den>
        </m:f>
      </m:oMath>
      <w:r>
        <w:rPr>
          <w:rFonts w:ascii="Arial" w:hAnsi="Arial"/>
          <w:sz w:val="22"/>
        </w:rPr>
        <w:tab/>
        <w:t>(6)</w:t>
      </w:r>
    </w:p>
    <w:p>
      <w:pPr>
        <w:keepNext w:val="0"/>
        <w:spacing w:line="360" w:lineRule="auto" w:after="0" w:before="0"/>
        <w:ind w:firstLine="850"/>
        <w:jc w:val="both"/>
      </w:pPr>
      <w:r>
        <w:rPr>
          <w:rFonts w:ascii="Arial" w:hAnsi="Arial"/>
          <w:b w:val="0"/>
          <w:i w:val="0"/>
          <w:sz w:val="24"/>
        </w:rPr>
        <w:t>A cota do porte é repartida entre seus municípios na proporção da população-alvo, e o índice entra como multiplicador, descontadas as unidades E_i da etapa prévia:</w:t>
      </w:r>
    </w:p>
    <w:p>
      <w:pPr>
        <w:keepNext/>
        <w:tabs>
          <w:tab w:pos="4252" w:val="center"/>
          <w:tab w:pos="9071" w:val="right"/>
        </w:tabs>
        <w:spacing w:line="240" w:lineRule="auto" w:before="120" w:after="120"/>
        <w:ind w:firstLine="0" w:left="0"/>
        <w:jc w:val="left"/>
      </w:pPr>
      <w:r>
        <w:rPr>
          <w:rFonts w:ascii="Arial" w:hAnsi="Arial"/>
          <w:sz w:val="22"/>
        </w:rPr>
        <w:tab/>
      </w:r>
      <m:oMath>
        <m:sSub>
          <m:e>
            <m:r>
              <w:rPr>
                <w:rFonts w:ascii="Cambria Math" w:hAnsi="Cambria Math"/>
              </w:rPr>
              <m:t xml:space="preserve">K</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a</m:t>
                </m:r>
              </m:e>
              <m:sub>
                <m:r>
                  <w:rPr>
                    <w:rFonts w:ascii="Cambria Math" w:hAnsi="Cambria Math"/>
                  </w:rPr>
                  <m:t xml:space="preserve">i</m:t>
                </m:r>
              </m:sub>
            </m:sSub>
          </m:num>
          <m:den>
            <m:sSub>
              <m:e>
                <m:r>
                  <w:rPr>
                    <w:rFonts w:ascii="Cambria Math" w:hAnsi="Cambria Math"/>
                  </w:rPr>
                  <m:t xml:space="preserve">A</m:t>
                </m:r>
              </m:e>
              <m:sub>
                <m:r>
                  <w:rPr>
                    <w:rFonts w:ascii="Cambria Math" w:hAnsi="Cambria Math"/>
                  </w:rPr>
                  <m:t xml:space="preserve">p</m:t>
                </m:r>
              </m:sub>
            </m:sSub>
          </m:den>
        </m:f>
        <m:r>
          <w:rPr>
            <w:rFonts w:ascii="Cambria Math" w:hAnsi="Cambria Math"/>
          </w:rPr>
          <m:t xml:space="preserve"> </m:t>
        </m:r>
        <m:r>
          <w:rPr>
            <w:rFonts w:ascii="Cambria Math" w:hAnsi="Cambria Math"/>
          </w:rPr>
          <m:t xml:space="preserve">·</m:t>
        </m:r>
        <m:sSub>
          <m:e>
            <m:r>
              <w:rPr>
                <w:rFonts w:ascii="Cambria Math" w:hAnsi="Cambria Math"/>
              </w:rPr>
              <m:t xml:space="preserve"> C</m:t>
            </m:r>
          </m:e>
          <m:sub>
            <m:r>
              <w:rPr>
                <w:rFonts w:ascii="Cambria Math" w:hAnsi="Cambria Math"/>
              </w:rPr>
              <m:t xml:space="preserve">p</m:t>
            </m:r>
          </m:sub>
        </m:sSub>
        <m:r>
          <w:rPr>
            <w:rFonts w:ascii="Cambria Math" w:hAnsi="Cambria Math"/>
          </w:rPr>
          <m:t xml:space="preserve"> </m:t>
        </m:r>
        <m:r>
          <w:rPr>
            <w:rFonts w:ascii="Cambria Math" w:hAnsi="Cambria Math"/>
          </w:rPr>
          <m:t xml:space="preserve">·</m:t>
        </m:r>
        <m:r>
          <w:rPr>
            <w:rFonts w:ascii="Cambria Math" w:hAnsi="Cambria Math"/>
          </w:rPr>
          <m:t xml:space="preserve"> </m:t>
        </m:r>
        <m:d>
          <m:dPr>
            <m:begChr m:val="("/>
            <m:endChr m:val=")"/>
          </m:dPr>
          <m:e>
            <m:sSub>
              <m:e>
                <m:r>
                  <w:rPr>
                    <w:rFonts w:ascii="Cambria Math" w:hAnsi="Cambria Math"/>
                  </w:rPr>
                  <m:t xml:space="preserve">1 + PCM</m:t>
                </m:r>
              </m:e>
              <m:sub>
                <m:r>
                  <w:rPr>
                    <w:rFonts w:ascii="Cambria Math" w:hAnsi="Cambria Math"/>
                  </w:rPr>
                  <m:t xml:space="preserve">i</m:t>
                </m:r>
              </m:sub>
            </m:sSub>
          </m:e>
        </m:d>
        <m:sSub>
          <m:e>
            <m:r>
              <w:rPr>
                <w:rFonts w:ascii="Cambria Math" w:hAnsi="Cambria Math"/>
              </w:rPr>
              <m:t xml:space="preserve"> - E</m:t>
            </m:r>
          </m:e>
          <m:sub>
            <m:r>
              <w:rPr>
                <w:rFonts w:ascii="Cambria Math" w:hAnsi="Cambria Math"/>
              </w:rPr>
              <m:t xml:space="preserve">i</m:t>
            </m:r>
          </m:sub>
        </m:sSub>
      </m:oMath>
      <w:r>
        <w:rPr>
          <w:rFonts w:ascii="Arial" w:hAnsi="Arial"/>
          <w:sz w:val="22"/>
        </w:rPr>
        <w:tab/>
        <w:t>(7)</w:t>
      </w:r>
    </w:p>
    <w:p>
      <w:pPr>
        <w:keepNext w:val="0"/>
        <w:spacing w:line="360" w:lineRule="auto" w:after="0" w:before="0"/>
        <w:ind w:firstLine="850"/>
        <w:jc w:val="both"/>
      </w:pPr>
      <w:r>
        <w:rPr>
          <w:rFonts w:ascii="Arial" w:hAnsi="Arial"/>
          <w:b w:val="0"/>
          <w:i w:val="0"/>
          <w:sz w:val="24"/>
        </w:rPr>
        <w:t>em que a_i é a população-alvo do município e A_p a do porte. Um município com PCM de 0,50 recebe 50% a mais que sua cota populacional. O arredondamento segue o método do maior resto, tal como implementado na planilha: a parte inteira de K_i é atribuída de imediato (90 unidades) e as 111 restantes vão aos municípios com as maiores frações, uma por município. Sobre esse cálculo incidem os limites por faixa: tetos por município de 10, 8, 7, 4 e 2 unidades nos portes grandes, que reduziram o resultado proporcional de 142 para 100 unidades, e cotas de 27, 100 e 30 municípios nos portes pequenos, contemplados por ordem decrescente de PCM, excluídos os da etapa prévia. A escolha do maior resto, que respeita a cota ao custo de paradoxos de monotonicidade, é a usual em problemas de repartição de unidades indivisíveis (BALINSKI; YOUNG, 2001, p. 95-110).</w:t>
      </w:r>
    </w:p>
    <w:p>
      <w:pPr>
        <w:keepNext/>
        <w:spacing w:line="240" w:lineRule="auto" w:after="60" w:before="160"/>
        <w:ind w:firstLine="0"/>
        <w:jc w:val="left"/>
      </w:pPr>
      <w:r>
        <w:rPr>
          <w:rFonts w:ascii="Arial" w:hAnsi="Arial"/>
          <w:b w:val="0"/>
          <w:i w:val="0"/>
          <w:sz w:val="22"/>
        </w:rPr>
        <w:t>Figura 5. Da cota populacional às unidades inteiras: regra aplicada na versão de maio de 2024</w:t>
      </w:r>
    </w:p>
    <w:tbl>
      <w:tblPr>
        <w:tblW w:type="auto" w:w="0"/>
        <w:jc w:val="center"/>
        <w:tblLayout w:type="fixed"/>
        <w:tblLook w:firstColumn="1" w:firstRow="1" w:lastColumn="0" w:lastRow="0" w:noHBand="0" w:noVBand="1" w:val="04A0"/>
        <w:tblLayout w:type="fixed"/>
        <w:tblW w:w="9072" w:type="dxa"/>
      </w:tblPr>
      <w:tblGrid>
        <w:gridCol w:w="4309"/>
        <w:gridCol w:w="453"/>
        <w:gridCol w:w="4309"/>
      </w:tblGrid>
      <w:tr>
        <w:trPr>
          <w:cantSplit/>
        </w:trPr>
        <w:tc>
          <w:tcPr>
            <w:tcW w:type="dxa" w:w="9072"/>
            <w:gridSpan w:val="3"/>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Parâmetros: 257 unidades a distribuir (300 menos 43 da etapa prévia), oito portes, população-alvo por porte, PCM por município, tetos e cotas por faixa</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1. Cota do porte: parcela na população-alvo × 257 / (1 + PCM médio ponderado)</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2. Cota do município: parcela do município na população-alvo do porte × cota do porte</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r>
      <w:tr>
        <w:trPr>
          <w:cantSplit/>
        </w:trPr>
        <w:tc>
          <w:tcPr>
            <w:tcW w:type="dxa" w:w="9072"/>
            <w:gridSpan w:val="3"/>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3. Ajuste pelo indicador: K = cota do município × (1 + PCM) − unidades da etapa prévia</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4. Parte inteira de K atribuída de imediato (90 unidades)</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single" w:sz="8" w:color="595959"/>
              <w:left w:val="single" w:sz="8" w:color="595959"/>
              <w:bottom w:val="single" w:sz="8" w:color="595959"/>
              <w:right w:val="single" w:sz="8" w:color="595959"/>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5. Maior resto: as 111 unidades restantes vão às maiores frações, uma por município</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4309"/>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6a. Portes grandes (30 municípios): teto por município de 10, 8, 7, 4 e 2; de 142 para 100 unidades</w:t>
            </w: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309"/>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6b. Portes pequenos (369 municípios): uma unidade aos 27, 100 e 30 municípios de maior PCM de cada faixa (157 unidades)</w:t>
            </w:r>
          </w:p>
        </w:tc>
      </w:tr>
      <w:tr>
        <w:trPr>
          <w:cantSplit/>
        </w:trPr>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453"/>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4309"/>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r>
      <w:tr>
        <w:trPr>
          <w:cantSplit/>
        </w:trPr>
        <w:tc>
          <w:tcPr>
            <w:tcW w:type="dxa" w:w="9072"/>
            <w:gridSpan w:val="3"/>
            <w:shd w:val="clear" w:color="auto" w:fill="FFFFFF"/>
            <w:tcBorders>
              <w:top w:val="single" w:sz="8" w:color="000000"/>
              <w:left w:val="single" w:sz="8" w:color="000000"/>
              <w:bottom w:val="single" w:sz="8" w:color="000000"/>
              <w:right w:val="single" w:sz="8" w:color="000000"/>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000000"/>
                <w:sz w:val="16"/>
              </w:rPr>
              <w:t>Resultado: 43 + 100 + 157 = 300 unidades; tetos menores em maio de 2024 (300 em 258 municípios); Resolução 219/2024: 303 em 261</w:t>
            </w:r>
          </w:p>
        </w:tc>
      </w:tr>
    </w:tbl>
    <w:p>
      <w:pPr>
        <w:keepNext w:val="0"/>
        <w:spacing w:line="240" w:lineRule="auto" w:after="120" w:before="60"/>
        <w:ind w:firstLine="0"/>
        <w:jc w:val="left"/>
      </w:pPr>
      <w:r>
        <w:rPr>
          <w:rFonts w:ascii="Arial" w:hAnsi="Arial"/>
          <w:b w:val="0"/>
          <w:i w:val="0"/>
          <w:sz w:val="20"/>
        </w:rPr>
        <w:t>Fonte: Elaboração própria a partir das planilhas do estudo (abas Metodologia e Dados) e de Paraná (2024a).</w:t>
      </w:r>
    </w:p>
    <w:p>
      <w:pPr>
        <w:keepNext/>
        <w:spacing w:before="240" w:after="120" w:line="360" w:lineRule="auto"/>
        <w:ind w:firstLine="0"/>
        <w:jc w:val="left"/>
      </w:pPr>
      <w:r>
        <w:rPr>
          <w:rFonts w:ascii="Arial" w:hAnsi="Arial"/>
          <w:b/>
          <w:sz w:val="24"/>
        </w:rPr>
        <w:t>4 RESULTADOS: O IMPACTO ALOCATIVO DA REGRA</w:t>
      </w:r>
    </w:p>
    <w:p>
      <w:pPr>
        <w:keepNext w:val="0"/>
        <w:spacing w:line="360" w:lineRule="auto" w:after="0" w:before="0"/>
        <w:ind w:firstLine="850"/>
        <w:jc w:val="both"/>
      </w:pPr>
      <w:r>
        <w:rPr>
          <w:rFonts w:ascii="Arial" w:hAnsi="Arial"/>
          <w:b w:val="0"/>
          <w:i w:val="0"/>
          <w:sz w:val="24"/>
        </w:rPr>
        <w:t>A Tabela 1 apresenta o retrato municipal por porte. A cobertura de creche cresce à medida que o porte diminui, de 20,9% em Curitiba a 41,8% nos municípios com até cinco mil habitantes, enquanto o fator socioeconômico segue o caminho inverso; o PCM médio é semelhante entre as faixas, o que confirma que o índice não privilegia tamanho.</w:t>
      </w:r>
    </w:p>
    <w:p>
      <w:pPr>
        <w:keepNext/>
        <w:spacing w:line="240" w:lineRule="auto" w:after="60" w:before="160"/>
        <w:ind w:firstLine="0"/>
        <w:jc w:val="left"/>
      </w:pPr>
      <w:r>
        <w:rPr>
          <w:rFonts w:ascii="Arial" w:hAnsi="Arial"/>
          <w:b w:val="0"/>
          <w:i w:val="0"/>
          <w:sz w:val="22"/>
        </w:rPr>
        <w:t>Tabela 1. Municípios, população-alvo, cobertura de creche, fatores e PCM, por porte populacional</w:t>
      </w:r>
    </w:p>
    <w:tbl>
      <w:tblPr>
        <w:jc w:val="center"/>
        <w:tblLayout w:type="fixed"/>
        <w:tblLook w:firstColumn="1" w:firstRow="1" w:lastColumn="0" w:lastRow="0" w:noHBand="0" w:noVBand="1" w:val="04A0"/>
        <w:tblLayout w:type="fixed"/>
        <w:tblW w:w="9070" w:type="dxa"/>
      </w:tblPr>
      <w:tblGrid>
        <w:gridCol w:w="2154"/>
        <w:gridCol w:w="769"/>
        <w:gridCol w:w="769"/>
        <w:gridCol w:w="769"/>
        <w:gridCol w:w="769"/>
        <w:gridCol w:w="769"/>
        <w:gridCol w:w="769"/>
        <w:gridCol w:w="769"/>
        <w:gridCol w:w="769"/>
        <w:gridCol w:w="769"/>
      </w:tblGrid>
      <w:tr>
        <w:trPr>
          <w:cantSplit/>
          <w:tblHeader/>
        </w:trPr>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População 0–4 (%)</w:t>
            </w:r>
          </w:p>
        </w:tc>
        <w:tc>
          <w:tcPr>
            <w:tcW w:type="dxa" w:w="907"/>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Cobertura de creche (%)</w:t>
            </w:r>
          </w:p>
        </w:tc>
        <w:tc>
          <w:tcPr>
            <w:tcW w:type="dxa" w:w="2721"/>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Fatores (média)</w:t>
            </w:r>
          </w:p>
        </w:tc>
        <w:tc>
          <w:tcPr>
            <w:tcW w:type="dxa" w:w="2721"/>
            <w:gridSpan w:val="3"/>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PCM</w:t>
            </w:r>
          </w:p>
        </w:tc>
      </w:tr>
      <w:tr>
        <w:trPr>
          <w:cantSplit/>
          <w:tblHeader/>
        </w:trPr>
        <w:tc>
          <w:tcPr>
            <w:tcW w:type="dxa" w:w="907"/>
            <w:vMerge/>
          </w:tcPr>
          <w:p/>
        </w:tc>
        <w:tc>
          <w:tcPr>
            <w:tcW w:type="dxa" w:w="907"/>
            <w:vMerge/>
          </w:tcPr>
          <w:p/>
        </w:tc>
        <w:tc>
          <w:tcPr>
            <w:tcW w:type="dxa" w:w="907"/>
            <w:vMerge/>
          </w:tcPr>
          <w:p/>
        </w:tc>
        <w:tc>
          <w:tcPr>
            <w:tcW w:type="dxa" w:w="907"/>
            <w:vMerge/>
          </w:tcP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FE</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FD</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FS</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Média</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Mínimo</w:t>
            </w:r>
          </w:p>
        </w:tc>
        <w:tc>
          <w:tcPr>
            <w:tcW w:type="dxa" w:w="907"/>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Máximo</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G2 (acima de 1 milhão)</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29,9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G1 (500 mil a 1 milhão)</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7,6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65,9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39,5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0,440</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M2 (200 a 500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23,7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0,434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0,310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0,515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M1 (100 a 200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0,329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0,666</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P4 (70 a 100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0,415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0,344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0,535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P3 (20 a 70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19,3</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30,7</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56,4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49,1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0,288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0,675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P2 (5 a 20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19,8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57,4</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45,9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0,498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0,275</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0,775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P1 (até 5 mil)</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102</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41,8</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47,6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44,1</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46,9</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0,466</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0,240</w:t>
            </w:r>
          </w:p>
        </w:tc>
        <w:tc>
          <w:tcPr>
            <w:tcW w:type="dxa" w:w="769"/>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0,789</w:t>
            </w:r>
          </w:p>
        </w:tc>
      </w:tr>
      <w:tr>
        <w:trPr>
          <w:cantSplit/>
        </w:trPr>
        <w:tc>
          <w:tcPr>
            <w:tcW w:type="dxa" w:w="2154"/>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8"/>
              </w:rPr>
              <w:t>Paraná</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399</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100,0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26,5</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55,1</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46,1</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41,8</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0,480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0,240</w:t>
            </w:r>
          </w:p>
        </w:tc>
        <w:tc>
          <w:tcPr>
            <w:tcW w:type="dxa" w:w="769"/>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8"/>
              </w:rPr>
              <w:t>0,789</w:t>
            </w:r>
          </w:p>
        </w:tc>
      </w:tr>
    </w:tbl>
    <w:p>
      <w:pPr>
        <w:keepNext w:val="0"/>
        <w:spacing w:line="240" w:lineRule="auto" w:after="0" w:before="60"/>
        <w:ind w:firstLine="0"/>
        <w:jc w:val="left"/>
      </w:pPr>
      <w:r>
        <w:rPr>
          <w:rFonts w:ascii="Arial" w:hAnsi="Arial"/>
          <w:b w:val="0"/>
          <w:i w:val="0"/>
          <w:sz w:val="20"/>
        </w:rPr>
        <w:t>Fonte: Elaboração própria a partir de IBGE (2023a), INEP (2024) e das planilhas do estudo.</w:t>
      </w:r>
    </w:p>
    <w:p>
      <w:pPr>
        <w:keepNext w:val="0"/>
        <w:spacing w:line="240" w:lineRule="auto" w:after="120" w:before="0"/>
        <w:ind w:firstLine="0"/>
        <w:jc w:val="left"/>
      </w:pPr>
      <w:r>
        <w:rPr>
          <w:rFonts w:ascii="Arial" w:hAnsi="Arial"/>
          <w:b w:val="0"/>
          <w:i w:val="0"/>
          <w:sz w:val="20"/>
        </w:rPr>
        <w:t>Nota: Cobertura de creche: matrículas em creche em 2023 por criança de 0 a 4 anos em 2022. Fatores em escala de 0 a 100; PCM entre 0 e 1.</w:t>
      </w:r>
    </w:p>
    <w:p>
      <w:pPr>
        <w:keepNext w:val="0"/>
        <w:spacing w:line="360" w:lineRule="auto" w:after="0" w:before="0"/>
        <w:ind w:firstLine="850"/>
        <w:jc w:val="both"/>
      </w:pPr>
      <w:r>
        <w:rPr>
          <w:rFonts w:ascii="Arial" w:hAnsi="Arial"/>
          <w:b w:val="0"/>
          <w:i w:val="0"/>
          <w:sz w:val="24"/>
        </w:rPr>
        <w:t>A Tabela 2 mostra o cálculo por porte e o resultado das versões sucessivas. A reprodução das regras foi verificada: nos portes pequenos, os 157 contemplados são exatamente os de maior PCM em cada faixa, e o menor índice entre os selecionados supera o maior entre os excluídos por centésimos; nos portes grandes, o maior resto com tetos reproduz 28 dos 30 valores. A versão levada ao conselho em maio de 2024 reduziu os tetos dos portes grandes, deslocou 37 unidades para 36 municípios das faixas inferiores e alcançou 300 unidades em 258 municípios, números anunciados em 10 de junho de 2024 (PARANÁ, 2024b); a Resolução SEDEF nº 219/2024 acrescentou uma unidade a três municípios e publicou 303 unidades em 261 municípios, com substituição do desistente pelo próximo ranqueado (PARANÁ, 2024a). A margem entre o modelo e a decisão ficou, assim, delimitada e documentada: tetos menores e três municípios próximos à linha de corte, sem retirada de nenhum selecionado.</w:t>
      </w:r>
    </w:p>
    <w:p>
      <w:pPr>
        <w:keepNext/>
        <w:spacing w:line="240" w:lineRule="auto" w:after="60" w:before="160"/>
        <w:ind w:firstLine="0"/>
        <w:jc w:val="left"/>
      </w:pPr>
      <w:r>
        <w:rPr>
          <w:rFonts w:ascii="Arial" w:hAnsi="Arial"/>
          <w:b w:val="0"/>
          <w:i w:val="0"/>
          <w:sz w:val="22"/>
        </w:rPr>
        <w:t>Tabela 2. Cálculo proporcional, limites por faixa e creches atribuídas por porte nas versões do estudo e na lista publicada</w:t>
      </w:r>
    </w:p>
    <w:tbl>
      <w:tblPr>
        <w:jc w:val="center"/>
        <w:tblLayout w:type="fixed"/>
        <w:tblLook w:firstColumn="1" w:firstRow="1" w:lastColumn="0" w:lastRow="0" w:noHBand="0" w:noVBand="1" w:val="04A0"/>
        <w:tblLayout w:type="fixed"/>
        <w:tblW w:w="9070" w:type="dxa"/>
      </w:tblPr>
      <w:tblGrid>
        <w:gridCol w:w="1871"/>
        <w:gridCol w:w="655"/>
        <w:gridCol w:w="655"/>
        <w:gridCol w:w="655"/>
        <w:gridCol w:w="655"/>
        <w:gridCol w:w="655"/>
        <w:gridCol w:w="655"/>
        <w:gridCol w:w="655"/>
        <w:gridCol w:w="655"/>
        <w:gridCol w:w="655"/>
        <w:gridCol w:w="655"/>
        <w:gridCol w:w="655"/>
      </w:tblGrid>
      <w:tr>
        <w:trPr>
          <w:cantSplit/>
          <w:tblHeader/>
        </w:trPr>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Porte (habitantes)</w:t>
            </w:r>
          </w:p>
        </w:tc>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w:t>
            </w:r>
          </w:p>
        </w:tc>
        <w:tc>
          <w:tcPr>
            <w:tcW w:type="dxa" w:w="756"/>
            <w:vMerge w:val="restart"/>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w:t>
            </w:r>
          </w:p>
        </w:tc>
        <w:tc>
          <w:tcPr>
            <w:tcW w:type="dxa" w:w="3024"/>
            <w:gridSpan w:val="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Cálculo proporcional (G2 a P4)</w:t>
            </w:r>
          </w:p>
        </w:tc>
        <w:tc>
          <w:tcPr>
            <w:tcW w:type="dxa" w:w="75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Limite</w:t>
            </w:r>
          </w:p>
        </w:tc>
        <w:tc>
          <w:tcPr>
            <w:tcW w:type="dxa" w:w="3024"/>
            <w:gridSpan w:val="4"/>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w:t>
            </w:r>
          </w:p>
        </w:tc>
      </w:tr>
      <w:tr>
        <w:trPr>
          <w:cantSplit/>
          <w:tblHeader/>
        </w:trPr>
        <w:tc>
          <w:tcPr>
            <w:tcW w:type="dxa" w:w="756"/>
            <w:vMerge/>
          </w:tcPr>
          <w:p/>
        </w:tc>
        <w:tc>
          <w:tcPr>
            <w:tcW w:type="dxa" w:w="756"/>
            <w:vMerge/>
          </w:tcPr>
          <w:p/>
        </w:tc>
        <w:tc>
          <w:tcPr>
            <w:tcW w:type="dxa" w:w="756"/>
            <w:vMerge/>
          </w:tcP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Cota do porte</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Soma de K</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Parte inteira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Maior resto</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Teto ou cota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Prévia</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PCM (mar/2024)</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Total (mai/2024)</w:t>
            </w:r>
          </w:p>
        </w:tc>
        <w:tc>
          <w:tcPr>
            <w:tcW w:type="dxa" w:w="756"/>
            <w:tcMar>
              <w:left w:w="40" w:type="dxa"/>
              <w:right w:w="40" w:type="dxa"/>
            </w:tcMar>
            <w:vAlign w:val="center"/>
            <w:tcBorders>
              <w:top w:val="nil"/>
              <w:bottom w:val="single" w:sz="4" w:color="3A3A3A"/>
              <w:left w:val="nil"/>
              <w:right w:val="nil"/>
            </w:tcBorders>
          </w:tcPr>
          <w:p>
            <w:pPr>
              <w:pStyle w:val="Tabela"/>
              <w:keepNext/>
              <w:ind w:firstLine="0" w:left="0"/>
              <w:jc w:val="center"/>
            </w:pPr>
            <w:r/>
            <w:r>
              <w:rPr>
                <w:rFonts w:ascii="Arial" w:hAnsi="Arial"/>
                <w:b/>
                <w:sz w:val="16"/>
              </w:rPr>
              <w:t>Publicada</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G2 (acima de 1 milhão)</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12,2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G1 (500 mil a 1 milhão)</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7.6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M2 (200 a 500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42.7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18</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M1 (100 a 200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17,4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P4 (70 a 100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16</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13</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P3 (20 a 70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62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27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27</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49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50</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P2 (5 a 20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205</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19,8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100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29</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145</w:t>
            </w:r>
          </w:p>
        </w:tc>
      </w:tr>
      <w:tr>
        <w:trPr>
          <w:cantSplit/>
        </w:trPr>
        <w:tc>
          <w:tcPr>
            <w:tcW w:type="dxa" w:w="1871"/>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6"/>
              </w:rPr>
              <w:t>P1 (até 5 mil)</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102</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3,1</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 mun.</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30</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w:t>
            </w:r>
          </w:p>
        </w:tc>
        <w:tc>
          <w:tcPr>
            <w:tcW w:type="dxa" w:w="655"/>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6"/>
              </w:rPr>
              <w:t>38</w:t>
            </w:r>
          </w:p>
        </w:tc>
      </w:tr>
      <w:tr>
        <w:trPr>
          <w:cantSplit/>
        </w:trPr>
        <w:tc>
          <w:tcPr>
            <w:tcW w:type="dxa" w:w="1871"/>
            <w:tcMar>
              <w:left w:w="40" w:type="dxa"/>
              <w:right w:w="40" w:type="dxa"/>
            </w:tcMar>
            <w:vAlign w:val="center"/>
            <w:tcBorders>
              <w:top w:val="single" w:sz="4" w:color="3A3A3A"/>
              <w:bottom w:val="single" w:sz="8" w:color="3A3A3A"/>
              <w:left w:val="nil"/>
              <w:right w:val="nil"/>
            </w:tcBorders>
          </w:tcPr>
          <w:p>
            <w:pPr>
              <w:pStyle w:val="Tabela"/>
              <w:keepNext/>
              <w:ind w:firstLine="0" w:left="0"/>
              <w:jc w:val="left"/>
            </w:pPr>
            <w:r/>
            <w:r>
              <w:rPr>
                <w:rFonts w:ascii="Arial" w:hAnsi="Arial"/>
                <w:b w:val="0"/>
                <w:sz w:val="16"/>
              </w:rPr>
              <w:t>Paraná</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399</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100,0</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100.9</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136.1</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118</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142</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100 + 157</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43</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257</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300</w:t>
            </w:r>
          </w:p>
        </w:tc>
        <w:tc>
          <w:tcPr>
            <w:tcW w:type="dxa" w:w="655"/>
            <w:tcMar>
              <w:left w:w="40" w:type="dxa"/>
              <w:right w:w="40" w:type="dxa"/>
            </w:tcMar>
            <w:vAlign w:val="center"/>
            <w:tcBorders>
              <w:top w:val="single" w:sz="4" w:color="3A3A3A"/>
              <w:bottom w:val="single" w:sz="8" w:color="3A3A3A"/>
              <w:left w:val="nil"/>
              <w:right w:val="nil"/>
            </w:tcBorders>
          </w:tcPr>
          <w:p>
            <w:pPr>
              <w:pStyle w:val="Tabela"/>
              <w:keepNext/>
              <w:ind w:firstLine="0" w:left="0"/>
              <w:jc w:val="right"/>
            </w:pPr>
            <w:r/>
            <w:r>
              <w:rPr>
                <w:rFonts w:ascii="Arial" w:hAnsi="Arial"/>
                <w:b w:val="0"/>
                <w:sz w:val="16"/>
              </w:rPr>
              <w:t>303</w:t>
            </w:r>
          </w:p>
        </w:tc>
      </w:tr>
    </w:tbl>
    <w:p>
      <w:pPr>
        <w:keepNext w:val="0"/>
        <w:spacing w:line="240" w:lineRule="auto" w:after="0" w:before="60"/>
        <w:ind w:firstLine="0"/>
        <w:jc w:val="left"/>
      </w:pPr>
      <w:r>
        <w:rPr>
          <w:rFonts w:ascii="Arial" w:hAnsi="Arial"/>
          <w:b w:val="0"/>
          <w:i w:val="0"/>
          <w:sz w:val="20"/>
        </w:rPr>
        <w:t>Fonte: Elaboração própria a partir das planilhas do estudo (versões de 27 de março e 21 de maio de 2024) e de Paraná (2024a).</w:t>
      </w:r>
    </w:p>
    <w:p>
      <w:pPr>
        <w:keepNext w:val="0"/>
        <w:spacing w:line="240" w:lineRule="auto" w:after="120" w:before="0"/>
        <w:ind w:firstLine="0"/>
        <w:jc w:val="left"/>
      </w:pPr>
      <w:r>
        <w:rPr>
          <w:rFonts w:ascii="Arial" w:hAnsi="Arial"/>
          <w:b w:val="0"/>
          <w:i w:val="0"/>
          <w:sz w:val="20"/>
        </w:rPr>
        <w:t>Nota: Cota do porte, soma de K, parte inteira e maior resto conforme as equações 6 e 7, calculados apenas para as faixas com regime proporcional; nas faixas P3 a P1 a atribuição é por ranqueamento (uma unidade por município). Prévia: 43 unidades da etapa definida pelo índice do Ipardes. Total de maio de 2024: versão de 21 de maio, apresentada ao CEDCA, com tetos menores nos portes grandes.</w:t>
      </w:r>
    </w:p>
    <w:p>
      <w:pPr>
        <w:keepNext w:val="0"/>
        <w:spacing w:line="360" w:lineRule="auto" w:after="0" w:before="0"/>
        <w:ind w:firstLine="850"/>
        <w:jc w:val="both"/>
      </w:pPr>
      <w:r>
        <w:rPr>
          <w:rFonts w:ascii="Arial" w:hAnsi="Arial"/>
          <w:b w:val="0"/>
          <w:i w:val="0"/>
          <w:sz w:val="24"/>
        </w:rPr>
        <w:t>O efeito sobre a seleção territorial aparece na comparação com critérios contrafactuais que distribuem as mesmas 300 unidades (Tabela 3). A proporcionalidade à população infantil contemplaria 147 municípios, daria 37 unidades a Curitiba, concentraria 38% das unidades nos dez maiores receptores e destinaria 12,7% delas ao quintil de maior PCM. O ranqueamento puro pelo índice contemplaria 300 municípios com uma unidade cada e 26,7% das unidades no quintil superior, mas deixaria de fora as capitais regionais e alcançaria apenas 63% das crianças em municípios contemplados. A regra adotada ocupa posição intermediária: 258 municípios na versão de maio de 2024, 6 unidades em Curitiba, 11% das unidades nos dez maiores receptores, 28% no quintil de maior necessidade, com cobertura integral desse quintil, e 89% das crianças de zero a quatro anos em municípios contemplados. As faixas de porte são o mecanismo que permite essa posição: a proporcionalidade governa a alocação entre os grandes, o ranqueamento governa a alocação entre os pequenos, e a fronteira entre os regimes é o parâmetro de política que mais altera o resultado.</w:t>
      </w:r>
    </w:p>
    <w:p>
      <w:pPr>
        <w:keepNext/>
        <w:spacing w:line="240" w:lineRule="auto" w:after="60" w:before="160"/>
        <w:ind w:firstLine="0"/>
        <w:jc w:val="left"/>
      </w:pPr>
      <w:r>
        <w:rPr>
          <w:rFonts w:ascii="Arial" w:hAnsi="Arial"/>
          <w:b w:val="0"/>
          <w:i w:val="0"/>
          <w:sz w:val="22"/>
        </w:rPr>
        <w:t>Tabela 3. Consequências distributivas de critérios alternativos e das versões da regra adotada</w:t>
      </w:r>
    </w:p>
    <w:tbl>
      <w:tblPr>
        <w:jc w:val="center"/>
        <w:tblLayout w:type="fixed"/>
        <w:tblLook w:firstColumn="1" w:firstRow="1" w:lastColumn="0" w:lastRow="0" w:noHBand="0" w:noVBand="1" w:val="04A0"/>
        <w:tblLayout w:type="fixed"/>
        <w:tblW w:w="9070" w:type="dxa"/>
      </w:tblPr>
      <w:tblGrid>
        <w:gridCol w:w="2154"/>
        <w:gridCol w:w="1153"/>
        <w:gridCol w:w="1153"/>
        <w:gridCol w:w="1153"/>
        <w:gridCol w:w="1153"/>
        <w:gridCol w:w="1153"/>
        <w:gridCol w:w="1153"/>
      </w:tblGrid>
      <w:tr>
        <w:trPr>
          <w:cantSplit/>
          <w:tblHeader/>
        </w:trPr>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left"/>
            </w:pPr>
            <w:r/>
            <w:r>
              <w:rPr>
                <w:rFonts w:ascii="Arial" w:hAnsi="Arial"/>
                <w:b/>
                <w:sz w:val="16"/>
              </w:rPr>
              <w:t>Critério</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Municípios contemplados</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Creches em Curitiba</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Dez maiores receptores (%)</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Quintil de maior PCM (%)</w:t>
            </w:r>
          </w:p>
        </w:tc>
        <w:tc>
          <w:tcPr>
            <w:tcW w:type="dxa" w:w="1296"/>
            <w:tcMar>
              <w:left w:w="40" w:type="dxa"/>
              <w:right w:w="40" w:type="dxa"/>
            </w:tcMar>
            <w:vAlign w:val="center"/>
            <w:tcBorders>
              <w:top w:val="single" w:sz="8" w:color="3A3A3A"/>
              <w:bottom w:val="single" w:sz="4" w:color="3A3A3A"/>
              <w:left w:val="nil"/>
              <w:right w:val="nil"/>
            </w:tcBorders>
          </w:tcPr>
          <w:p>
            <w:pPr>
              <w:pStyle w:val="Tabela"/>
              <w:keepNext/>
              <w:ind w:firstLine="0" w:left="0"/>
              <w:jc w:val="center"/>
            </w:pPr>
            <w:r/>
            <w:r>
              <w:rPr>
                <w:rFonts w:ascii="Arial" w:hAnsi="Arial"/>
                <w:b/>
                <w:sz w:val="16"/>
              </w:rPr>
              <w:t>Pop. 0–4 em municípios contemplados (%)</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Proporcional à população de 0 a 4 anos (S2)</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37,7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12,7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85,5</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Ranqueamento puro pelo PCM (S6)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26,7</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63,3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Distribuição técnica (mar/2024, 251)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251</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209</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17,5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31,5</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89,3</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Distribuição consolidada (mar/2024, 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224</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21,0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82,1</w:t>
            </w:r>
          </w:p>
        </w:tc>
      </w:tr>
      <w:tr>
        <w:trPr>
          <w:cantSplit/>
        </w:trPr>
        <w:tc>
          <w:tcPr>
            <w:tcW w:type="dxa" w:w="2154"/>
            <w:tcMar>
              <w:left w:w="40" w:type="dxa"/>
              <w:right w:w="40" w:type="dxa"/>
            </w:tcMar>
            <w:vAlign w:val="center"/>
            <w:tcBorders>
              <w:top w:val="nil"/>
              <w:bottom w:val="nil"/>
              <w:left w:val="nil"/>
              <w:right w:val="nil"/>
            </w:tcBorders>
          </w:tcPr>
          <w:p>
            <w:pPr>
              <w:pStyle w:val="Tabela"/>
              <w:keepNext/>
              <w:ind w:firstLine="0" w:left="0"/>
              <w:jc w:val="left"/>
            </w:pPr>
            <w:r/>
            <w:r>
              <w:rPr>
                <w:rFonts w:ascii="Arial" w:hAnsi="Arial"/>
                <w:b w:val="0"/>
                <w:sz w:val="18"/>
              </w:rPr>
              <w:t>Versão de 21/05/2024 (300)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300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258</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11,3</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28,0</w:t>
            </w:r>
          </w:p>
        </w:tc>
        <w:tc>
          <w:tcPr>
            <w:tcW w:type="dxa" w:w="1153"/>
            <w:tcMar>
              <w:left w:w="40" w:type="dxa"/>
              <w:right w:w="40" w:type="dxa"/>
            </w:tcMar>
            <w:vAlign w:val="center"/>
            <w:tcBorders>
              <w:top w:val="nil"/>
              <w:bottom w:val="nil"/>
              <w:left w:val="nil"/>
              <w:right w:val="nil"/>
            </w:tcBorders>
          </w:tcPr>
          <w:p>
            <w:pPr>
              <w:pStyle w:val="Tabela"/>
              <w:keepNext/>
              <w:ind w:firstLine="0" w:left="0"/>
              <w:jc w:val="right"/>
            </w:pPr>
            <w:r/>
            <w:r>
              <w:rPr>
                <w:rFonts w:ascii="Arial" w:hAnsi="Arial"/>
                <w:b w:val="0"/>
                <w:sz w:val="18"/>
              </w:rPr>
              <w:t>88,9</w:t>
            </w:r>
          </w:p>
        </w:tc>
      </w:tr>
      <w:tr>
        <w:trPr>
          <w:cantSplit/>
        </w:trPr>
        <w:tc>
          <w:tcPr>
            <w:tcW w:type="dxa" w:w="2154"/>
            <w:tcMar>
              <w:left w:w="40" w:type="dxa"/>
              <w:right w:w="40" w:type="dxa"/>
            </w:tcMar>
            <w:vAlign w:val="center"/>
            <w:tcBorders>
              <w:top w:val="nil"/>
              <w:bottom w:val="single" w:sz="8" w:color="3A3A3A"/>
              <w:left w:val="nil"/>
              <w:right w:val="nil"/>
            </w:tcBorders>
          </w:tcPr>
          <w:p>
            <w:pPr>
              <w:pStyle w:val="Tabela"/>
              <w:keepNext/>
              <w:ind w:firstLine="0" w:left="0"/>
              <w:jc w:val="left"/>
            </w:pPr>
            <w:r/>
            <w:r>
              <w:rPr>
                <w:rFonts w:ascii="Arial" w:hAnsi="Arial"/>
                <w:b w:val="0"/>
                <w:sz w:val="18"/>
              </w:rPr>
              <w:t>Lista publicada (Res. 219/2024, 303)</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303</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261</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6</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11,2</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27,7</w:t>
            </w:r>
          </w:p>
        </w:tc>
        <w:tc>
          <w:tcPr>
            <w:tcW w:type="dxa" w:w="1153"/>
            <w:tcMar>
              <w:left w:w="40" w:type="dxa"/>
              <w:right w:w="40" w:type="dxa"/>
            </w:tcMar>
            <w:vAlign w:val="center"/>
            <w:tcBorders>
              <w:top w:val="nil"/>
              <w:bottom w:val="single" w:sz="8" w:color="3A3A3A"/>
              <w:left w:val="nil"/>
              <w:right w:val="nil"/>
            </w:tcBorders>
          </w:tcPr>
          <w:p>
            <w:pPr>
              <w:pStyle w:val="Tabela"/>
              <w:keepNext/>
              <w:ind w:firstLine="0" w:left="0"/>
              <w:jc w:val="right"/>
            </w:pPr>
            <w:r/>
            <w:r>
              <w:rPr>
                <w:rFonts w:ascii="Arial" w:hAnsi="Arial"/>
                <w:b w:val="0"/>
                <w:sz w:val="18"/>
              </w:rPr>
              <w:t>89,4</w:t>
            </w:r>
          </w:p>
        </w:tc>
      </w:tr>
    </w:tbl>
    <w:p>
      <w:pPr>
        <w:keepNext w:val="0"/>
        <w:spacing w:line="240" w:lineRule="auto" w:after="0" w:before="60"/>
        <w:ind w:firstLine="0"/>
        <w:jc w:val="left"/>
      </w:pPr>
      <w:r>
        <w:rPr>
          <w:rFonts w:ascii="Arial" w:hAnsi="Arial"/>
          <w:b w:val="0"/>
          <w:i w:val="0"/>
          <w:sz w:val="20"/>
        </w:rPr>
        <w:t>Fonte: Elaboração própria a partir das planilhas do estudo, de Paraná (2024a) e de IBGE (2023a).</w:t>
      </w:r>
    </w:p>
    <w:p>
      <w:pPr>
        <w:keepNext w:val="0"/>
        <w:spacing w:line="240" w:lineRule="auto" w:after="120" w:before="0"/>
        <w:ind w:firstLine="0"/>
        <w:jc w:val="left"/>
      </w:pPr>
      <w:r>
        <w:rPr>
          <w:rFonts w:ascii="Arial" w:hAnsi="Arial"/>
          <w:b w:val="0"/>
          <w:i w:val="0"/>
          <w:sz w:val="20"/>
        </w:rPr>
        <w:t>Nota: Cenários contrafactuais com 300 unidades e arredondamento pelo maior resto. Dez maiores receptores: participação nas unidades distribuídas; quintil de maior PCM: 80 municípios.</w:t>
      </w:r>
    </w:p>
    <w:p>
      <w:pPr>
        <w:keepNext w:val="0"/>
        <w:spacing w:line="360" w:lineRule="auto" w:after="0" w:before="0"/>
        <w:ind w:firstLine="850"/>
        <w:jc w:val="both"/>
      </w:pPr>
      <w:r>
        <w:rPr>
          <w:rFonts w:ascii="Arial" w:hAnsi="Arial"/>
          <w:b w:val="0"/>
          <w:i w:val="0"/>
          <w:sz w:val="24"/>
        </w:rPr>
        <w:t>A Figura 6 resume o mecanismo que liga as evidências à alocação. Cada elo foi verificado: as fórmulas e fontes dos dados foram reproduzidas; o índice é estável a variações de pesos e normalização; as regras de conversão reproduzem 157 dos 157 casos nos portes pequenos e 28 dos 30 nos grandes; a deliberação do conselho e a resolução da SEDEF converteram o ranqueamento em lista pública com suplentes; e a adesão, a habilitação e o repasse fundo a fundo converteram a lista em investimento. A história institucional é parte do mecanismo: sem a aprovação pelo conselho e a publicação em resolução, o índice teria permanecido um diagnóstico.</w:t>
      </w:r>
    </w:p>
    <w:p>
      <w:pPr>
        <w:keepNext/>
        <w:spacing w:line="240" w:lineRule="auto" w:after="60" w:before="160"/>
        <w:ind w:firstLine="0"/>
        <w:jc w:val="left"/>
      </w:pPr>
      <w:r>
        <w:rPr>
          <w:rFonts w:ascii="Arial" w:hAnsi="Arial"/>
          <w:b w:val="0"/>
          <w:i w:val="0"/>
          <w:sz w:val="22"/>
        </w:rPr>
        <w:t>Figura 6. Mecanismo: das evidências municipais à alocação do investimento</w:t>
      </w:r>
    </w:p>
    <w:tbl>
      <w:tblPr>
        <w:tblW w:type="auto" w:w="0"/>
        <w:jc w:val="center"/>
        <w:tblLayout w:type="fixed"/>
        <w:tblLook w:firstColumn="1" w:firstRow="1" w:lastColumn="0" w:lastRow="0" w:noHBand="0" w:noVBand="1" w:val="04A0"/>
        <w:tblLayout w:type="fixed"/>
        <w:tblW w:w="9072" w:type="dxa"/>
      </w:tblPr>
      <w:tblGrid>
        <w:gridCol w:w="1332"/>
        <w:gridCol w:w="215"/>
        <w:gridCol w:w="1332"/>
        <w:gridCol w:w="215"/>
        <w:gridCol w:w="1332"/>
        <w:gridCol w:w="215"/>
        <w:gridCol w:w="1332"/>
        <w:gridCol w:w="215"/>
        <w:gridCol w:w="1332"/>
        <w:gridCol w:w="215"/>
        <w:gridCol w:w="1332"/>
      </w:tblGrid>
      <w:tr>
        <w:trPr>
          <w:cantSplit/>
        </w:trPr>
        <w:tc>
          <w:tcPr>
            <w:tcW w:type="dxa" w:w="1332"/>
            <w:shd w:val="clear" w:color="auto" w:fill="E6E6E6"/>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6"/>
              </w:rPr>
              <w:t>Dados municipais</w:t>
            </w:r>
          </w:p>
          <w:p>
            <w:pPr>
              <w:spacing w:after="0" w:before="0" w:line="240" w:lineRule="auto"/>
              <w:ind w:firstLine="0" w:left="0"/>
              <w:jc w:val="center"/>
            </w:pPr>
            <w:r>
              <w:rPr>
                <w:rFonts w:ascii="Arial" w:hAnsi="Arial"/>
                <w:b w:val="0"/>
                <w:color w:val="000000"/>
                <w:sz w:val="16"/>
              </w:rPr>
              <w:t>nove indicadores oficiais (Inep, IBGE, Datasus, MS, Ipardes)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54278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color w:val="FFFFFF"/>
                <w:sz w:val="16"/>
              </w:rPr>
              <w:t>PCM</w:t>
            </w:r>
          </w:p>
          <w:p>
            <w:pPr>
              <w:spacing w:after="0" w:before="0" w:line="240" w:lineRule="auto"/>
              <w:ind w:firstLine="0" w:left="0"/>
              <w:jc w:val="center"/>
            </w:pPr>
            <w:r>
              <w:rPr>
                <w:rFonts w:ascii="Arial" w:hAnsi="Arial"/>
                <w:b w:val="0"/>
                <w:color w:val="FFFFFF"/>
                <w:sz w:val="16"/>
              </w:rPr>
              <w:t>normalização mínimo-máximo, três pilares, pesos 2:1:2</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595959"/>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Faixas e parâmetros</w:t>
            </w:r>
          </w:p>
          <w:p>
            <w:pPr>
              <w:spacing w:after="0" w:before="0" w:line="240" w:lineRule="auto"/>
              <w:ind w:firstLine="0" w:left="0"/>
              <w:jc w:val="center"/>
            </w:pPr>
            <w:r>
              <w:rPr>
                <w:rFonts w:ascii="Arial" w:hAnsi="Arial"/>
                <w:b w:val="0"/>
                <w:color w:val="FFFFFF"/>
                <w:sz w:val="16"/>
              </w:rPr>
              <w:t>oito portes, cotas, tetos, maior resto</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307E3E"/>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Deliberação</w:t>
            </w:r>
          </w:p>
          <w:p>
            <w:pPr>
              <w:spacing w:after="0" w:before="0" w:line="240" w:lineRule="auto"/>
              <w:ind w:firstLine="0" w:left="0"/>
              <w:jc w:val="center"/>
            </w:pPr>
            <w:r>
              <w:rPr>
                <w:rFonts w:ascii="Arial" w:hAnsi="Arial"/>
                <w:b w:val="0"/>
                <w:color w:val="FFFFFF"/>
                <w:sz w:val="16"/>
              </w:rPr>
              <w:t>CEDCA aprova estudo e ranqueamento (Del. 25/2024)</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0171C1"/>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Lista de municípios</w:t>
            </w:r>
          </w:p>
          <w:p>
            <w:pPr>
              <w:spacing w:after="0" w:before="0" w:line="240" w:lineRule="auto"/>
              <w:ind w:firstLine="0" w:left="0"/>
              <w:jc w:val="center"/>
            </w:pPr>
            <w:r>
              <w:rPr>
                <w:rFonts w:ascii="Arial" w:hAnsi="Arial"/>
                <w:b w:val="0"/>
                <w:color w:val="FFFFFF"/>
                <w:sz w:val="16"/>
              </w:rPr>
              <w:t>Res. SEDEF 219/2024: 303 unidades, 261 municípios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pPr>
              <w:ind w:firstLine="0" w:left="0"/>
              <w:jc w:val="center"/>
            </w:pPr>
            <w:r>
              <w:rPr>
                <w:rFonts w:ascii="Arial" w:hAnsi="Arial"/>
                <w:sz w:val="20"/>
              </w:rPr>
              <w:t>→</w:t>
            </w:r>
          </w:p>
        </w:tc>
        <w:tc>
          <w:tcPr>
            <w:tcW w:type="dxa" w:w="1332"/>
            <w:shd w:val="clear" w:color="auto" w:fill="1F1F1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FFFFFF"/>
                <w:sz w:val="16"/>
              </w:rPr>
              <w:t>Alocação do investimento</w:t>
            </w:r>
          </w:p>
          <w:p>
            <w:pPr>
              <w:spacing w:after="0" w:before="0" w:line="240" w:lineRule="auto"/>
              <w:ind w:firstLine="0" w:left="0"/>
              <w:jc w:val="center"/>
            </w:pPr>
            <w:r>
              <w:rPr>
                <w:rFonts w:ascii="Arial" w:hAnsi="Arial"/>
                <w:b w:val="0"/>
                <w:color w:val="FFFFFF"/>
                <w:sz w:val="16"/>
              </w:rPr>
              <w:t>adesão, habilitação, repasse fundo a fundo, obra</w:t>
            </w:r>
          </w:p>
        </w:tc>
      </w:tr>
      <w:tr>
        <w:trPr>
          <w:cantSplit/>
        </w:trPr>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Auditoria das planilhas: fórmulas e fontes reproduzidas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Sensibilidade: pesos e normalização (ρ ≥ 0,93)</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Regras reproduzidas: 157/157 nos portes pequenos; 28/30 nos grandes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Margem de decisão: tetos menores e 3 municípios acrescidos</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Fila pública: o próximo ranqueado substitui o desistente</w:t>
            </w:r>
          </w:p>
        </w:tc>
        <w:tc>
          <w:tcPr>
            <w:tcW w:type="dxa" w:w="215"/>
            <w:shd w:val="clear" w:color="auto" w:fill="FFFFFF"/>
            <w:tcBorders>
              <w:top w:val="nil" w:sz="8" w:color="FFFFFF"/>
              <w:left w:val="nil" w:sz="8" w:color="FFFFFF"/>
              <w:bottom w:val="nil" w:sz="8" w:color="FFFFFF"/>
              <w:right w:val="nil" w:sz="8" w:color="FFFFFF"/>
            </w:tcBorders>
            <w:vAlign w:val="center"/>
            <w:tcMar>
              <w:top w:w="30" w:type="dxa"/>
              <w:bottom w:w="30" w:type="dxa"/>
              <w:left w:w="50" w:type="dxa"/>
              <w:right w:w="50" w:type="dxa"/>
            </w:tcMar>
          </w:tcPr>
          <w:p/>
        </w:tc>
        <w:tc>
          <w:tcPr>
            <w:tcW w:type="dxa" w:w="1332"/>
            <w:shd w:val="clear" w:color="auto" w:fill="FFFFFF"/>
            <w:tcBorders>
              <w:top w:val="single" w:sz="8" w:color="7F7F7F"/>
              <w:left w:val="single" w:sz="8" w:color="7F7F7F"/>
              <w:bottom w:val="single" w:sz="8" w:color="7F7F7F"/>
              <w:right w:val="single" w:sz="8" w:color="7F7F7F"/>
            </w:tcBorders>
            <w:vAlign w:val="center"/>
            <w:tcMar>
              <w:top w:w="30" w:type="dxa"/>
              <w:bottom w:w="30" w:type="dxa"/>
              <w:left w:w="50" w:type="dxa"/>
              <w:right w:w="50" w:type="dxa"/>
            </w:tcMar>
          </w:tcPr>
          <w:p>
            <w:pPr>
              <w:spacing w:after="0" w:before="0" w:line="240" w:lineRule="auto"/>
              <w:ind w:firstLine="0" w:left="0"/>
              <w:jc w:val="center"/>
            </w:pPr>
            <w:r>
              <w:rPr>
                <w:rFonts w:ascii="Arial" w:hAnsi="Arial"/>
                <w:b w:val="0"/>
                <w:color w:val="000000"/>
                <w:sz w:val="14"/>
              </w:rPr>
              <w:t>Resultado analisado: quem recebe e quantas unidades (não os efeitos sociais)</w:t>
            </w:r>
          </w:p>
        </w:tc>
      </w:tr>
    </w:tbl>
    <w:p>
      <w:pPr>
        <w:keepNext w:val="0"/>
        <w:spacing w:line="240" w:lineRule="auto" w:after="120" w:before="60"/>
        <w:ind w:firstLine="0"/>
        <w:jc w:val="left"/>
      </w:pPr>
      <w:r>
        <w:rPr>
          <w:rFonts w:ascii="Arial" w:hAnsi="Arial"/>
          <w:b w:val="0"/>
          <w:i w:val="0"/>
          <w:sz w:val="20"/>
        </w:rPr>
        <w:t>Fonte: Elaboração própria.</w:t>
      </w:r>
    </w:p>
    <w:p>
      <w:pPr>
        <w:keepNext/>
        <w:spacing w:before="240" w:after="120" w:line="360" w:lineRule="auto"/>
        <w:ind w:firstLine="0"/>
        <w:jc w:val="left"/>
      </w:pPr>
      <w:r>
        <w:rPr>
          <w:rFonts w:ascii="Arial" w:hAnsi="Arial"/>
          <w:b/>
          <w:sz w:val="24"/>
        </w:rPr>
        <w:t>5 DISCUSSÃO E CONSIDERAÇÕES FINAIS</w:t>
      </w:r>
    </w:p>
    <w:p>
      <w:pPr>
        <w:keepNext w:val="0"/>
        <w:spacing w:line="360" w:lineRule="auto" w:after="0" w:before="0"/>
        <w:ind w:firstLine="850"/>
        <w:jc w:val="both"/>
      </w:pPr>
      <w:r>
        <w:rPr>
          <w:rFonts w:ascii="Arial" w:hAnsi="Arial"/>
          <w:b w:val="0"/>
          <w:i w:val="0"/>
          <w:sz w:val="24"/>
        </w:rPr>
        <w:t>O caso mostra que o desenho metodológico foi parte substantiva da política pública, porque definiu sua territorialização. Três lições decorrem dele. A primeira é que o índice resolve o problema da medida e a regra de conversão resolve o problema da unidade: um município com PCM de 0,46 recebe uma creche na faixa de 5 a 20 mil habitantes, nenhuma na faixa de 20 a 70 mil e uma fração de cota entre os 30 grandes. A regra de conversão merece a mesma documentação que o índice, porque é nela que estão as escolhas sobre cobertura mínima e concentração. A segunda é a transversalidade: a necessidade foi medida com dados da educação, da saúde, da assistência social e da economia regional, e a decisão percorreu a Casa Civil, o Ipardes, o conselho paritário, a SEDEF, o Paranacidade, a Assembleia Legislativa e os municípios. O município pequeno recebe, além do recurso, o projeto, o orçamento e a análise técnica, e o repasse por marco físico limita o risco de obra inacabada. A terceira é que a transparência organiza a dimensão político-institucional: publicada a fórmula e a lista, a margem de decisão ficou restrita a tetos e a municípios próximos à linha de corte, onde as diferenças de PCM são de centésimos e estão dentro da imprecisão de qualquer indicador composto (OECD; JRC, 2008), e informações que o índice não capta, como terreno, capacidade de licitar e fila local, tiveram entrada delimitada.</w:t>
      </w:r>
    </w:p>
    <w:p>
      <w:pPr>
        <w:keepNext w:val="0"/>
        <w:spacing w:line="360" w:lineRule="auto" w:after="0" w:before="0"/>
        <w:ind w:firstLine="850"/>
        <w:jc w:val="both"/>
      </w:pPr>
      <w:r>
        <w:rPr>
          <w:rFonts w:ascii="Arial" w:hAnsi="Arial"/>
          <w:b w:val="0"/>
          <w:i w:val="0"/>
          <w:sz w:val="24"/>
        </w:rPr>
        <w:t>A qualidade da alocação importa para o desenvolvimento. A literatura de economia política mostra que a distribuição territorial de investimentos públicos responde a incentivos eleitorais e a barganhas entre níveis de governo, e que regras explícitas e verificáveis reduzem o espaço para alocações clientelistas e elevam a eficiência distributiva do gasto ([[EJDR]]). Uma regra pública de alocação é um bem em si: o prefeito sabe por que seu município foi ou não contemplado, conhece sua posição na fila e pode planejar o custeio de uma unidade cuja localização foi decidida com dados que ele mesmo pode verificar. A cronologia posterior ao anúncio, registrada pela Agência Estadual de Notícias e replicada pela imprensa regional, mostra a passagem da lista à execução: adesão de 258 municípios em duas semanas, primeiros repasses em 2024, 107 licitações autorizadas em outubro de 2025 e 110 obras em andamento em maio de 2026.</w:t>
      </w:r>
      <w:r>
        <w:rPr>
          <w:vertAlign w:val="superscript"/>
        </w:rPr>
        <w:footnoteReference w:id="2"/>
      </w:r>
    </w:p>
    <w:p>
      <w:pPr>
        <w:keepNext w:val="0"/>
        <w:spacing w:line="360" w:lineRule="auto" w:after="0" w:before="0"/>
        <w:ind w:firstLine="850"/>
        <w:jc w:val="both"/>
      </w:pPr>
      <w:r>
        <w:rPr>
          <w:rFonts w:ascii="Arial" w:hAnsi="Arial"/>
          <w:b w:val="0"/>
          <w:i w:val="0"/>
          <w:sz w:val="24"/>
        </w:rPr>
        <w:t>As limitações são as de qualquer indicador composto: dependência da qualidade e da data dos registros administrativos, sensibilidade da normalização a valores extremos e distância entre a necessidade medida por proxies e a vivida pelas famílias. O resultado aqui analisado é a alocação. Uma futura avaliação ex post, quando as unidades estiverem em funcionamento, poderá estudar execução, matrículas, emprego dos cuidadores e demais resultados sociais, e verificar se o investimento produziu efeitos onde o índice apontou maior carência. Até lá, a contribuição do caso é mostrar como um indicador construído com dados públicos, aprovado por um conselho paritário e publicado com sua regra de conversão pode integrar a implementação de uma política de infraestrutura social e decidir, de forma reprodutível, onde o Estado investe.</w:t>
      </w:r>
    </w:p>
    <w:p>
      <w:pPr>
        <w:keepNext/>
        <w:spacing w:before="240" w:after="120" w:line="360" w:lineRule="auto"/>
        <w:ind w:firstLine="0"/>
        <w:jc w:val="left"/>
      </w:pPr>
      <w:r>
        <w:rPr>
          <w:rFonts w:ascii="Arial" w:hAnsi="Arial"/>
          <w:b/>
          <w:sz w:val="24"/>
        </w:rPr>
        <w:t>REFERÊNCIAS</w:t>
      </w:r>
    </w:p>
    <w:p>
      <w:pPr>
        <w:keepNext w:val="0"/>
        <w:spacing w:line="240" w:lineRule="auto" w:after="80" w:before="0"/>
        <w:ind w:firstLine="0"/>
        <w:jc w:val="left"/>
      </w:pPr>
      <w:r>
        <w:rPr>
          <w:rFonts w:ascii="Arial" w:hAnsi="Arial"/>
          <w:b w:val="0"/>
          <w:i w:val="0"/>
          <w:sz w:val="24"/>
        </w:rPr>
        <w:t>ARRETCHE, M. Democracia, federalismo e centralização no Brasil. Rio de Janeiro: Editora FGV; Editora Fiocruz, 2012.</w:t>
      </w:r>
    </w:p>
    <w:p>
      <w:pPr>
        <w:keepNext w:val="0"/>
        <w:spacing w:line="240" w:lineRule="auto" w:after="80" w:before="0"/>
        <w:ind w:firstLine="0"/>
        <w:jc w:val="left"/>
      </w:pPr>
      <w:r>
        <w:rPr>
          <w:rFonts w:ascii="Arial" w:hAnsi="Arial"/>
          <w:b w:val="0"/>
          <w:i w:val="0"/>
          <w:sz w:val="24"/>
        </w:rPr>
        <w:t>ATTANASIO, O.; CATTAN, S.; MEGHIR, C. Early childhood development, human capital, and poverty. Annual Review of Economics, v. 14, p. 853-892, 2022.</w:t>
      </w:r>
    </w:p>
    <w:p>
      <w:pPr>
        <w:keepNext w:val="0"/>
        <w:spacing w:line="240" w:lineRule="auto" w:after="80" w:before="0"/>
        <w:ind w:firstLine="0"/>
        <w:jc w:val="left"/>
      </w:pPr>
      <w:r>
        <w:rPr>
          <w:rFonts w:ascii="Arial" w:hAnsi="Arial"/>
          <w:b w:val="0"/>
          <w:i w:val="0"/>
          <w:sz w:val="24"/>
        </w:rPr>
        <w:t>[[REF_NBER]]</w:t>
      </w:r>
    </w:p>
    <w:p>
      <w:pPr>
        <w:keepNext w:val="0"/>
        <w:spacing w:line="240" w:lineRule="auto" w:after="80" w:before="0"/>
        <w:ind w:firstLine="0"/>
        <w:jc w:val="left"/>
      </w:pPr>
      <w:r>
        <w:rPr>
          <w:rFonts w:ascii="Arial" w:hAnsi="Arial"/>
          <w:b w:val="0"/>
          <w:i w:val="0"/>
          <w:sz w:val="24"/>
        </w:rPr>
        <w:t>BALINSKI, M. L.; YOUNG, H. P. Fair representation: meeting the ideal of one man, one vote. 2. ed. Washington, DC: Brookings Institution Press, 2001.</w:t>
      </w:r>
    </w:p>
    <w:p>
      <w:pPr>
        <w:keepNext w:val="0"/>
        <w:spacing w:line="240" w:lineRule="auto" w:after="80" w:before="0"/>
        <w:ind w:firstLine="0"/>
        <w:jc w:val="left"/>
      </w:pPr>
      <w:r>
        <w:rPr>
          <w:rFonts w:ascii="Arial" w:hAnsi="Arial"/>
          <w:b w:val="0"/>
          <w:i w:val="0"/>
          <w:sz w:val="24"/>
        </w:rPr>
        <w:t>BRASIL. Constituição da República Federativa do Brasil de 1988. Brasília, DF: Presidência da República, 1988.</w:t>
      </w:r>
    </w:p>
    <w:p>
      <w:pPr>
        <w:keepNext w:val="0"/>
        <w:spacing w:line="240" w:lineRule="auto" w:after="80" w:before="0"/>
        <w:ind w:firstLine="0"/>
        <w:jc w:val="left"/>
      </w:pPr>
      <w:r>
        <w:rPr>
          <w:rFonts w:ascii="Arial" w:hAnsi="Arial"/>
          <w:b w:val="0"/>
          <w:i w:val="0"/>
          <w:sz w:val="24"/>
        </w:rPr>
        <w:t>BRASIL. Lei nº 9.394, de 20 de dezembro de 1996. Estabelece as diretrizes e bases da educação nacional. Diário Oficial da União, Brasília, DF, 23 dez. 1996.</w:t>
      </w:r>
    </w:p>
    <w:p>
      <w:pPr>
        <w:keepNext w:val="0"/>
        <w:spacing w:line="240" w:lineRule="auto" w:after="80" w:before="0"/>
        <w:ind w:firstLine="0"/>
        <w:jc w:val="left"/>
      </w:pPr>
      <w:r>
        <w:rPr>
          <w:rFonts w:ascii="Arial" w:hAnsi="Arial"/>
          <w:b w:val="0"/>
          <w:i w:val="0"/>
          <w:sz w:val="24"/>
        </w:rPr>
        <w:t>BRASIL. Lei nº 13.005, de 25 de junho de 2014. Aprova o Plano Nacional de Educação (PNE) e dá outras providências. Diário Oficial da União, Brasília, DF, 26 jun. 2014.</w:t>
      </w:r>
    </w:p>
    <w:p>
      <w:pPr>
        <w:keepNext w:val="0"/>
        <w:spacing w:line="240" w:lineRule="auto" w:after="80" w:before="0"/>
        <w:ind w:firstLine="0"/>
        <w:jc w:val="left"/>
      </w:pPr>
      <w:r>
        <w:rPr>
          <w:rFonts w:ascii="Arial" w:hAnsi="Arial"/>
          <w:b w:val="0"/>
          <w:i w:val="0"/>
          <w:sz w:val="24"/>
        </w:rPr>
        <w:t>BRASIL. Controladoria-Geral da União. Relatório de avaliação da execução de programa de governo: Programa Nacional de Reestruturação e Aquisição de Equipamentos para a Rede Escolar Pública de Educação Infantil (Proinfância). Brasília, DF: CGU, 2017.</w:t>
      </w:r>
    </w:p>
    <w:p>
      <w:pPr>
        <w:keepNext w:val="0"/>
        <w:spacing w:line="240" w:lineRule="auto" w:after="80" w:before="0"/>
        <w:ind w:firstLine="0"/>
        <w:jc w:val="left"/>
      </w:pPr>
      <w:r>
        <w:rPr>
          <w:rFonts w:ascii="Arial" w:hAnsi="Arial"/>
          <w:b w:val="0"/>
          <w:i w:val="0"/>
          <w:sz w:val="24"/>
        </w:rPr>
        <w:t>BRASIL. Lei nº 14.113, de 25 de dezembro de 2020. Regulamenta o Fundo de Manutenção e Desenvolvimento da Educação Básica e de Valorização dos Profissionais da Educação (Fundeb). Diário Oficial da União, Brasília, DF, 25 dez. 2020.</w:t>
      </w:r>
    </w:p>
    <w:p>
      <w:pPr>
        <w:keepNext w:val="0"/>
        <w:spacing w:line="240" w:lineRule="auto" w:after="80" w:before="0"/>
        <w:ind w:firstLine="0"/>
        <w:jc w:val="left"/>
      </w:pPr>
      <w:r>
        <w:rPr>
          <w:rFonts w:ascii="Arial" w:hAnsi="Arial"/>
          <w:b w:val="0"/>
          <w:i w:val="0"/>
          <w:sz w:val="24"/>
        </w:rPr>
        <w:t>BRASIL. Supremo Tribunal Federal. Recurso Extraordinário nº 1.008.166 (Tema 548 da repercussão geral). Plenário, 22 set. 2022.</w:t>
      </w:r>
    </w:p>
    <w:p>
      <w:pPr>
        <w:keepNext w:val="0"/>
        <w:spacing w:line="240" w:lineRule="auto" w:after="80" w:before="0"/>
        <w:ind w:firstLine="0"/>
        <w:jc w:val="left"/>
      </w:pPr>
      <w:r>
        <w:rPr>
          <w:rFonts w:ascii="Arial" w:hAnsi="Arial"/>
          <w:b w:val="0"/>
          <w:i w:val="0"/>
          <w:sz w:val="24"/>
        </w:rPr>
        <w:t>BRASIL. Casa Civil da Presidência da República. Novo PAC Seleções: creches e escolas de educação infantil. Brasília, DF, 2023. Disponível em: https://www.gov.br/casacivil/pt-br/novopac/selecoes-2023/eixos/educacao-ciencia-e-tecnologia/creches-e-escolas-de-educacao-infantil. Acesso em: 28 set. 2026.</w:t>
      </w:r>
    </w:p>
    <w:p>
      <w:pPr>
        <w:keepNext w:val="0"/>
        <w:spacing w:line="240" w:lineRule="auto" w:after="80" w:before="0"/>
        <w:ind w:firstLine="0"/>
        <w:jc w:val="left"/>
      </w:pPr>
      <w:r>
        <w:rPr>
          <w:rFonts w:ascii="Arial" w:hAnsi="Arial"/>
          <w:b w:val="0"/>
          <w:i w:val="0"/>
          <w:sz w:val="24"/>
        </w:rPr>
        <w:t>BRASIL. Ministério da Saúde. Sistema de Vigilância Alimentar e Nutricional (Sisvan) e acompanhamento das condicionalidades de saúde do Programa Bolsa Família: relatórios públicos de 2023. Brasília, DF: Ministério da Saúde, 2024. Disponível em: https://sisaps.saude.gov.br/sisvan/. Acesso em: 28 set. 2026.</w:t>
      </w:r>
    </w:p>
    <w:p>
      <w:pPr>
        <w:keepNext w:val="0"/>
        <w:spacing w:line="240" w:lineRule="auto" w:after="80" w:before="0"/>
        <w:ind w:firstLine="0"/>
        <w:jc w:val="left"/>
      </w:pPr>
      <w:r>
        <w:rPr>
          <w:rFonts w:ascii="Arial" w:hAnsi="Arial"/>
          <w:b w:val="0"/>
          <w:i w:val="0"/>
          <w:sz w:val="24"/>
        </w:rPr>
        <w:t>CEARÁ. Lei nº 17.380, de 5 de janeiro de 2021. Institui a política pública Mais Infância Ceará. Diário Oficial do Estado, Fortaleza, 5 jan. 2021.</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60/2023, de 4 de dezembro de 2023. Aprova o repasse de recursos fundo a fundo para a construção de creches. Diário Oficial do Estado do Paraná, Curitiba, 6 dez. 2023.</w:t>
      </w:r>
    </w:p>
    <w:p>
      <w:pPr>
        <w:keepNext w:val="0"/>
        <w:spacing w:line="240" w:lineRule="auto" w:after="80" w:before="0"/>
        <w:ind w:firstLine="0"/>
        <w:jc w:val="left"/>
      </w:pPr>
      <w:r>
        <w:rPr>
          <w:rFonts w:ascii="Arial" w:hAnsi="Arial"/>
          <w:b w:val="0"/>
          <w:i w:val="0"/>
          <w:sz w:val="24"/>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pPr>
        <w:keepNext w:val="0"/>
        <w:spacing w:line="240" w:lineRule="auto" w:after="80" w:before="0"/>
        <w:ind w:firstLine="0"/>
        <w:jc w:val="left"/>
      </w:pPr>
      <w:r>
        <w:rPr>
          <w:rFonts w:ascii="Arial" w:hAnsi="Arial"/>
          <w:b w:val="0"/>
          <w:i w:val="0"/>
          <w:sz w:val="24"/>
        </w:rPr>
        <w:t>CHILE. Subsecretaría de la Niñez. Chile Crece Contigo: ¿quiénes tienen acceso garantizado a sala cuna y jardín infantil? Santiago, 2024. Disponível em: https://www.crececontigo.gob.cl/faqs/quienes-tienen-acceso-garantizada-a-sala-cuna-y-jardin-infantil/. Acesso em: 28 set. 2026.</w:t>
      </w:r>
    </w:p>
    <w:p>
      <w:pPr>
        <w:keepNext w:val="0"/>
        <w:spacing w:line="240" w:lineRule="auto" w:after="80" w:before="0"/>
        <w:ind w:firstLine="0"/>
        <w:jc w:val="left"/>
      </w:pPr>
      <w:r>
        <w:rPr>
          <w:rFonts w:ascii="Arial" w:hAnsi="Arial"/>
          <w:b w:val="0"/>
          <w:i w:val="0"/>
          <w:sz w:val="24"/>
        </w:rPr>
        <w:t>COUTO, A. A.; SOUSA, S. Z. Acesso à creche nos municípios brasileiros e o Plano Nacional de Educação. Estudos em Avaliação Educacional, São Paulo, v. 35, 2024.</w:t>
      </w:r>
    </w:p>
    <w:p>
      <w:pPr>
        <w:keepNext w:val="0"/>
        <w:spacing w:line="240" w:lineRule="auto" w:after="80" w:before="0"/>
        <w:ind w:firstLine="0"/>
        <w:jc w:val="left"/>
      </w:pPr>
      <w:r>
        <w:rPr>
          <w:rFonts w:ascii="Arial" w:hAnsi="Arial"/>
          <w:b w:val="0"/>
          <w:i w:val="0"/>
          <w:sz w:val="24"/>
        </w:rPr>
        <w:t>DATASUS. Sistema de Informações sobre Mortalidade e Sistema de Informações sobre Nascidos Vivos: dados de 2020. Brasília, DF: Ministério da Saúde, 2022. Disponível em: https://datasus.saude.gov.br/. Acesso em: 28 set. 2026.</w:t>
      </w:r>
    </w:p>
    <w:p>
      <w:pPr>
        <w:keepNext w:val="0"/>
        <w:spacing w:line="240" w:lineRule="auto" w:after="80" w:before="0"/>
        <w:ind w:firstLine="0"/>
        <w:jc w:val="left"/>
      </w:pPr>
      <w:r>
        <w:rPr>
          <w:rFonts w:ascii="Arial" w:hAnsi="Arial"/>
          <w:b w:val="0"/>
          <w:i w:val="0"/>
          <w:sz w:val="24"/>
        </w:rPr>
        <w:t>DEVERCELLI, A. E.; BEATON-DAY, F. Better jobs and brighter futures: investing in childcare to build human capital. Washington, DC: The World Bank, 2020.</w:t>
      </w:r>
    </w:p>
    <w:p>
      <w:pPr>
        <w:keepNext w:val="0"/>
        <w:spacing w:line="240" w:lineRule="auto" w:after="80" w:before="0"/>
        <w:ind w:firstLine="0"/>
        <w:jc w:val="left"/>
      </w:pPr>
      <w:r>
        <w:rPr>
          <w:rFonts w:ascii="Arial" w:hAnsi="Arial"/>
          <w:b w:val="0"/>
          <w:i w:val="0"/>
          <w:sz w:val="24"/>
        </w:rPr>
        <w:t>[[REF_EJDR]]</w:t>
      </w:r>
    </w:p>
    <w:p>
      <w:pPr>
        <w:keepNext w:val="0"/>
        <w:spacing w:line="240" w:lineRule="auto" w:after="80" w:before="0"/>
        <w:ind w:firstLine="0"/>
        <w:jc w:val="left"/>
      </w:pPr>
      <w:r>
        <w:rPr>
          <w:rFonts w:ascii="Arial" w:hAnsi="Arial"/>
          <w:b w:val="0"/>
          <w:i w:val="0"/>
          <w:sz w:val="24"/>
        </w:rPr>
        <w:t>FRANSEN, L.; DEL BUFALO, G.; REVIGLIO, E. Boosting investment in social infrastructure in Europe: report of the High-Level Task Force on Investing in Social Infrastructure in Europe. Luxembourg: Publications Office of the European Union, 2018. (European Economy Discussion Paper, 74).</w:t>
      </w:r>
    </w:p>
    <w:p>
      <w:pPr>
        <w:keepNext w:val="0"/>
        <w:spacing w:line="240" w:lineRule="auto" w:after="80" w:before="0"/>
        <w:ind w:firstLine="0"/>
        <w:jc w:val="left"/>
      </w:pPr>
      <w:r>
        <w:rPr>
          <w:rFonts w:ascii="Arial" w:hAnsi="Arial"/>
          <w:b w:val="0"/>
          <w:i w:val="0"/>
          <w:sz w:val="24"/>
        </w:rPr>
        <w:t>FUNDAÇÃO MARIA CECILIA SOUTO VIDIGAL. INC – Índice de Necessidade de Creche 2018-2020 e estimativas de frequência: insumos para a focalização de políticas públicas. São Paulo: FMCSV, 2021.</w:t>
      </w:r>
    </w:p>
    <w:p>
      <w:pPr>
        <w:keepNext w:val="0"/>
        <w:spacing w:line="240" w:lineRule="auto" w:after="80" w:before="0"/>
        <w:ind w:firstLine="0"/>
        <w:jc w:val="left"/>
      </w:pPr>
      <w:r>
        <w:rPr>
          <w:rFonts w:ascii="Arial" w:hAnsi="Arial"/>
          <w:b w:val="0"/>
          <w:i w:val="0"/>
          <w:sz w:val="24"/>
        </w:rPr>
        <w:t>GRECO, S.; ISHIZAKA, A.; TASIOU, M.; TORRISI, G. On the methodological framework of composite indices: a review of the issues of weighting, aggregation, and robustness. Social Indicators Research, v. 141, n. 1, p. 61-94, 2019.</w:t>
      </w:r>
    </w:p>
    <w:p>
      <w:pPr>
        <w:keepNext w:val="0"/>
        <w:spacing w:line="240" w:lineRule="auto" w:after="80" w:before="0"/>
        <w:ind w:firstLine="0"/>
        <w:jc w:val="left"/>
      </w:pPr>
      <w:r>
        <w:rPr>
          <w:rFonts w:ascii="Arial" w:hAnsi="Arial"/>
          <w:b w:val="0"/>
          <w:i w:val="0"/>
          <w:sz w:val="24"/>
        </w:rPr>
        <w:t>IBGE. Censo Demográfico 2022: população por idade e sexo. Rio de Janeiro: IBGE, 2023a.</w:t>
      </w:r>
    </w:p>
    <w:p>
      <w:pPr>
        <w:keepNext w:val="0"/>
        <w:spacing w:line="240" w:lineRule="auto" w:after="80" w:before="0"/>
        <w:ind w:firstLine="0"/>
        <w:jc w:val="left"/>
      </w:pPr>
      <w:r>
        <w:rPr>
          <w:rFonts w:ascii="Arial" w:hAnsi="Arial"/>
          <w:b w:val="0"/>
          <w:i w:val="0"/>
          <w:sz w:val="24"/>
        </w:rPr>
        <w:t>IBGE. Malhas territoriais 2022: malha municipal e estadual do Paraná. Rio de Janeiro: IBGE, 2023b. Disponível em: https://www.ibge.gov.br/geociencias/organizacao-do-territorio/malhas-territoriais/. Acesso em: 28 set. 2026.</w:t>
      </w:r>
    </w:p>
    <w:p>
      <w:pPr>
        <w:keepNext w:val="0"/>
        <w:spacing w:line="240" w:lineRule="auto" w:after="80" w:before="0"/>
        <w:ind w:firstLine="0"/>
        <w:jc w:val="left"/>
      </w:pPr>
      <w:r>
        <w:rPr>
          <w:rFonts w:ascii="Arial" w:hAnsi="Arial"/>
          <w:b w:val="0"/>
          <w:i w:val="0"/>
          <w:sz w:val="24"/>
        </w:rPr>
        <w:t>IBGE. Pesquisa Nacional por Amostra de Domicílios Contínua: educação 2024. Rio de Janeiro: IBGE, 2025.</w:t>
      </w:r>
    </w:p>
    <w:p>
      <w:pPr>
        <w:keepNext w:val="0"/>
        <w:spacing w:line="240" w:lineRule="auto" w:after="80" w:before="0"/>
        <w:ind w:firstLine="0"/>
        <w:jc w:val="left"/>
      </w:pPr>
      <w:r>
        <w:rPr>
          <w:rFonts w:ascii="Arial" w:hAnsi="Arial"/>
          <w:b w:val="0"/>
          <w:i w:val="0"/>
          <w:sz w:val="24"/>
        </w:rPr>
        <w:t>INEP. Censo Escolar da Educação Básica 2023: sinopse estatística. Brasília, DF: Inep, 2024. Disponível em: https://www.gov.br/inep/pt-br/acesso-a-informacao/dados-abertos/sinopses-estatisticas/educacao-basica. Acesso em: 28 set. 2026.</w:t>
      </w:r>
    </w:p>
    <w:p>
      <w:pPr>
        <w:keepNext w:val="0"/>
        <w:spacing w:line="240" w:lineRule="auto" w:after="80" w:before="0"/>
        <w:ind w:firstLine="0"/>
        <w:jc w:val="left"/>
      </w:pPr>
      <w:r>
        <w:rPr>
          <w:rFonts w:ascii="Arial" w:hAnsi="Arial"/>
          <w:b w:val="0"/>
          <w:i w:val="0"/>
          <w:sz w:val="24"/>
        </w:rPr>
        <w:t>IPARDES. Índice Ipardes de Desempenho Municipal (IPDM) 2021: nota metodológica e resultados. Curitiba: Ipardes, 2023.</w:t>
      </w:r>
    </w:p>
    <w:p>
      <w:pPr>
        <w:keepNext w:val="0"/>
        <w:spacing w:line="240" w:lineRule="auto" w:after="80" w:before="0"/>
        <w:ind w:firstLine="0"/>
        <w:jc w:val="left"/>
      </w:pPr>
      <w:r>
        <w:rPr>
          <w:rFonts w:ascii="Arial" w:hAnsi="Arial"/>
          <w:b w:val="0"/>
          <w:i w:val="0"/>
          <w:sz w:val="24"/>
        </w:rPr>
        <w:t>IPARDES. Base de Dados do Estado (BDEweb): taxa bruta de natalidade por município, 2022. Curitiba: Ipardes, 2024. Disponível em: https://www.ipardes.pr.gov.br/. Acesso em: 28 set. 2026.</w:t>
      </w:r>
    </w:p>
    <w:p>
      <w:pPr>
        <w:keepNext w:val="0"/>
        <w:spacing w:line="240" w:lineRule="auto" w:after="80" w:before="0"/>
        <w:ind w:firstLine="0"/>
        <w:jc w:val="left"/>
      </w:pPr>
      <w:r>
        <w:rPr>
          <w:rFonts w:ascii="Arial" w:hAnsi="Arial"/>
          <w:b w:val="0"/>
          <w:i w:val="0"/>
          <w:sz w:val="24"/>
        </w:rPr>
        <w:t>MELO, Y. M.; GOMES, S. C. A implementação do Proinfância sob a ótica das relações intergovernamentais. Revista Ibero-Americana de Estudos em Educação, Araraquara, v. 17, n. esp. 3, p. 2118-2138, 2022.</w:t>
      </w:r>
    </w:p>
    <w:p>
      <w:pPr>
        <w:keepNext w:val="0"/>
        <w:spacing w:line="240" w:lineRule="auto" w:after="80" w:before="0"/>
        <w:ind w:firstLine="0"/>
        <w:jc w:val="left"/>
      </w:pPr>
      <w:r>
        <w:rPr>
          <w:rFonts w:ascii="Arial" w:hAnsi="Arial"/>
          <w:b w:val="0"/>
          <w:i w:val="0"/>
          <w:sz w:val="24"/>
        </w:rPr>
        <w:t>MUSGRAVE, R. A.; MUSGRAVE, P. B. Finanças públicas: teoria e prática. São Paulo: Campus; Editora da USP, 1980.</w:t>
      </w:r>
    </w:p>
    <w:p>
      <w:pPr>
        <w:keepNext w:val="0"/>
        <w:spacing w:line="240" w:lineRule="auto" w:after="80" w:before="0"/>
        <w:ind w:firstLine="0"/>
        <w:jc w:val="left"/>
      </w:pPr>
      <w:r>
        <w:rPr>
          <w:rFonts w:ascii="Arial" w:hAnsi="Arial"/>
          <w:b w:val="0"/>
          <w:i w:val="0"/>
          <w:sz w:val="24"/>
        </w:rPr>
        <w:t>OECD. Starting Strong VI: supporting meaningful interactions in early childhood education and care. Paris: OECD Publishing, 2021.</w:t>
      </w:r>
    </w:p>
    <w:p>
      <w:pPr>
        <w:keepNext w:val="0"/>
        <w:spacing w:line="240" w:lineRule="auto" w:after="80" w:before="0"/>
        <w:ind w:firstLine="0"/>
        <w:jc w:val="left"/>
      </w:pPr>
      <w:r>
        <w:rPr>
          <w:rFonts w:ascii="Arial" w:hAnsi="Arial"/>
          <w:b w:val="0"/>
          <w:i w:val="0"/>
          <w:sz w:val="24"/>
        </w:rPr>
        <w:t>OECD. Education at a glance 2024: OECD indicators. Paris: OECD Publishing, 2024.</w:t>
      </w:r>
    </w:p>
    <w:p>
      <w:pPr>
        <w:keepNext w:val="0"/>
        <w:spacing w:line="240" w:lineRule="auto" w:after="80" w:before="0"/>
        <w:ind w:firstLine="0"/>
        <w:jc w:val="left"/>
      </w:pPr>
      <w:r>
        <w:rPr>
          <w:rFonts w:ascii="Arial" w:hAnsi="Arial"/>
          <w:b w:val="0"/>
          <w:i w:val="0"/>
          <w:sz w:val="24"/>
        </w:rPr>
        <w:t>OECD; JRC. Handbook on constructing composite indicators: methodology and user guide. Paris: OECD Publishing, 2008. Disponível em: https://www.oecd.org/en/publications/handbook-on-constructing-composite-indicators-methodology-and-user-guide_9789264043466-en.html. Acesso em: 28 set. 2026.</w:t>
      </w:r>
    </w:p>
    <w:p>
      <w:pPr>
        <w:keepNext w:val="0"/>
        <w:spacing w:line="240" w:lineRule="auto" w:after="80" w:before="0"/>
        <w:ind w:firstLine="0"/>
        <w:jc w:val="left"/>
      </w:pPr>
      <w:r>
        <w:rPr>
          <w:rFonts w:ascii="Arial" w:hAnsi="Arial"/>
          <w:b w:val="0"/>
          <w:i w:val="0"/>
          <w:sz w:val="24"/>
        </w:rPr>
        <w:t>PARANÁ. Lei nº 18.492, de 24 de junho de 2015. Aprova o Plano Estadual de Educação. Diário Oficial do Estado do Paraná, Curitiba, 25 jun. 2015.</w:t>
      </w:r>
    </w:p>
    <w:p>
      <w:pPr>
        <w:keepNext w:val="0"/>
        <w:spacing w:line="240" w:lineRule="auto" w:after="80" w:before="0"/>
        <w:ind w:firstLine="0"/>
        <w:jc w:val="left"/>
      </w:pPr>
      <w:r>
        <w:rPr>
          <w:rFonts w:ascii="Arial" w:hAnsi="Arial"/>
          <w:b w:val="0"/>
          <w:i w:val="0"/>
          <w:sz w:val="24"/>
        </w:rPr>
        <w:t>PARANÁ. Lei nº 21.870, de 19 de dezembro de 2023. Institui o Programa Infância Feliz Paraná. Diário Oficial do Estado do Paraná, Curitiba, 19 dez. 2023a.</w:t>
      </w:r>
    </w:p>
    <w:p>
      <w:pPr>
        <w:keepNext w:val="0"/>
        <w:spacing w:line="240" w:lineRule="auto" w:after="80" w:before="0"/>
        <w:ind w:firstLine="0"/>
        <w:jc w:val="left"/>
      </w:pPr>
      <w:r>
        <w:rPr>
          <w:rFonts w:ascii="Arial" w:hAnsi="Arial"/>
          <w:b w:val="0"/>
          <w:i w:val="0"/>
          <w:sz w:val="24"/>
        </w:rPr>
        <w:t>PARANÁ. Secretaria de Estado do Planejamento. Plano Plurianual 2024-2027 (Lei nº 21.861, de 18 de dezembro de 2023): base de entregas por órgão, programa e ação. Curitiba: SEPL, 2023b.</w:t>
      </w:r>
    </w:p>
    <w:p>
      <w:pPr>
        <w:keepNext w:val="0"/>
        <w:spacing w:line="240" w:lineRule="auto" w:after="80" w:before="0"/>
        <w:ind w:firstLine="0"/>
        <w:jc w:val="left"/>
      </w:pPr>
      <w:r>
        <w:rPr>
          <w:rFonts w:ascii="Arial" w:hAnsi="Arial"/>
          <w:b w:val="0"/>
          <w:i w:val="0"/>
          <w:sz w:val="24"/>
        </w:rPr>
        <w:t>PARANÁ. Secretaria de Estado do Desenvolvimento Social e Família. Resolução nº 219/2024, de 4 de junho de 2024 (retificada). Estabelece os critérios para ranqueamento de municípios do Programa Infância Feliz Paraná. Curitiba: SEDEF, 2024a.</w:t>
      </w:r>
    </w:p>
    <w:p>
      <w:pPr>
        <w:keepNext w:val="0"/>
        <w:spacing w:line="240" w:lineRule="auto" w:after="80" w:before="0"/>
        <w:ind w:firstLine="0"/>
        <w:jc w:val="left"/>
      </w:pPr>
      <w:r>
        <w:rPr>
          <w:rFonts w:ascii="Arial" w:hAnsi="Arial"/>
          <w:b w:val="0"/>
          <w:i w:val="0"/>
          <w:sz w:val="24"/>
        </w:rPr>
        <w:t>PARANÁ. Agência Estadual de Notícias. Maior programa do País: Estado vai destinar R$ 391,4 milhões para construir 300 creches. Curitiba, 10 jun. 2024b.</w:t>
      </w:r>
    </w:p>
    <w:p>
      <w:pPr>
        <w:keepNext w:val="0"/>
        <w:spacing w:line="240" w:lineRule="auto" w:after="80" w:before="0"/>
        <w:ind w:firstLine="0"/>
        <w:jc w:val="left"/>
      </w:pPr>
      <w:r>
        <w:rPr>
          <w:rFonts w:ascii="Arial" w:hAnsi="Arial"/>
          <w:b w:val="0"/>
          <w:i w:val="0"/>
          <w:sz w:val="24"/>
        </w:rPr>
        <w:t>PARANÁ. Secretaria de Estado do Desenvolvimento Social e Família. Resolução nº 212/2024, de 3 de junho de 2024 (retificada). Regulamenta o incentivo financeiro fundo a fundo para a construção de creches. Curitiba: SEDEF, 2024c.</w:t>
      </w:r>
    </w:p>
    <w:p>
      <w:pPr>
        <w:keepNext w:val="0"/>
        <w:spacing w:line="240" w:lineRule="auto" w:after="80" w:before="0"/>
        <w:ind w:firstLine="0"/>
        <w:jc w:val="left"/>
      </w:pPr>
      <w:r>
        <w:rPr>
          <w:rFonts w:ascii="Arial" w:hAnsi="Arial"/>
          <w:b w:val="0"/>
          <w:i w:val="0"/>
          <w:sz w:val="24"/>
        </w:rPr>
        <w:t>PARANÁ. Secretaria de Estado do Desenvolvimento Social e Família. Resolução nº 029/2025, de 25 de fevereiro de 2025 (retificada). Altera o valor do incentivo e as parcelas de repasse. Curitiba: SEDEF, 2025a.</w:t>
      </w:r>
    </w:p>
    <w:p>
      <w:pPr>
        <w:keepNext w:val="0"/>
        <w:spacing w:line="240" w:lineRule="auto" w:after="80" w:before="0"/>
        <w:ind w:firstLine="0"/>
        <w:jc w:val="left"/>
      </w:pPr>
      <w:r>
        <w:rPr>
          <w:rFonts w:ascii="Arial" w:hAnsi="Arial"/>
          <w:b w:val="0"/>
          <w:i w:val="0"/>
          <w:sz w:val="24"/>
        </w:rPr>
        <w:t>PARANÁ. Secretaria de Estado do Desenvolvimento Social e Família. Resolução nº 479/2025, de 1º de outubro de 2025. Estabelece os critérios da segunda etapa do Programa Infância Feliz Paraná. Curitiba: SEDEF, 2025b.</w:t>
      </w:r>
    </w:p>
    <w:p>
      <w:pPr>
        <w:keepNext w:val="0"/>
        <w:spacing w:line="240" w:lineRule="auto" w:after="80" w:before="0"/>
        <w:ind w:firstLine="0"/>
        <w:jc w:val="left"/>
      </w:pPr>
      <w:r>
        <w:rPr>
          <w:rFonts w:ascii="Arial" w:hAnsi="Arial"/>
          <w:b w:val="0"/>
          <w:i w:val="0"/>
          <w:sz w:val="24"/>
        </w:rPr>
        <w:t>PARANÁ. Secretaria de Estado do Planejamento. Anexo IV: ajustamento do Plano Plurianual, anexo ao Projeto de Lei de Diretrizes Orçamentárias para 2026. Curitiba: SEPL, 2025c. p. 168-239.</w:t>
      </w:r>
    </w:p>
    <w:p>
      <w:pPr>
        <w:keepNext w:val="0"/>
        <w:spacing w:line="240" w:lineRule="auto" w:after="80" w:before="0"/>
        <w:ind w:firstLine="0"/>
        <w:jc w:val="left"/>
      </w:pPr>
      <w:r>
        <w:rPr>
          <w:rFonts w:ascii="Arial" w:hAnsi="Arial"/>
          <w:b w:val="0"/>
          <w:i w:val="0"/>
          <w:sz w:val="24"/>
        </w:rPr>
        <w:t>PARANÁ. Agência Estadual de Notícias. Maior programa de creches do Brasil: Paraná chega a 110 obras. Curitiba, 21 maio 2026.</w:t>
      </w:r>
    </w:p>
    <w:p>
      <w:pPr>
        <w:keepNext w:val="0"/>
        <w:spacing w:line="240" w:lineRule="auto" w:after="80" w:before="0"/>
        <w:ind w:firstLine="0"/>
        <w:jc w:val="left"/>
      </w:pPr>
      <w:r>
        <w:rPr>
          <w:rFonts w:ascii="Arial" w:hAnsi="Arial"/>
          <w:b w:val="0"/>
          <w:i w:val="0"/>
          <w:sz w:val="24"/>
        </w:rPr>
        <w:t>PEREA, N. M.; RAMOS, G. P. A implantação do Programa Creche Escola em Araraquara/SP: entre limites e possibilidades. Jornal de Políticas Educacionais, Curitiba, v. 16, 2022.</w:t>
      </w:r>
    </w:p>
    <w:p>
      <w:pPr>
        <w:keepNext w:val="0"/>
        <w:spacing w:line="240" w:lineRule="auto" w:after="80" w:before="0"/>
        <w:ind w:firstLine="0"/>
        <w:jc w:val="left"/>
      </w:pPr>
      <w:r>
        <w:rPr>
          <w:rFonts w:ascii="Arial" w:hAnsi="Arial"/>
          <w:b w:val="0"/>
          <w:i w:val="0"/>
          <w:sz w:val="24"/>
        </w:rPr>
        <w:t>TODOS PELA EDUCAÇÃO. Panorama do acesso à educação infantil no Brasil. São Paulo: Todos pela Educação, 2025.</w:t>
      </w:r>
    </w:p>
    <w:p>
      <w:pPr>
        <w:keepNext w:val="0"/>
        <w:spacing w:line="240" w:lineRule="auto" w:after="80" w:before="0"/>
        <w:ind w:firstLine="0"/>
        <w:jc w:val="left"/>
      </w:pPr>
      <w:r>
        <w:rPr>
          <w:rFonts w:ascii="Arial" w:hAnsi="Arial"/>
          <w:b w:val="0"/>
          <w:i w:val="0"/>
          <w:sz w:val="24"/>
        </w:rPr>
        <w:t>UNITED NATIONS. Transforming our world: the 2030 Agenda for Sustainable Development. New York: United Nations, 2015. (A/RES/70/1).</w:t>
      </w:r>
    </w:p>
    <w:p>
      <w:pPr>
        <w:keepNext w:val="0"/>
        <w:spacing w:line="240" w:lineRule="auto" w:after="80" w:before="0"/>
        <w:ind w:firstLine="0"/>
        <w:jc w:val="left"/>
      </w:pPr>
      <w:r>
        <w:rPr>
          <w:rFonts w:ascii="Arial" w:hAnsi="Arial"/>
          <w:b w:val="0"/>
          <w:i w:val="0"/>
          <w:sz w:val="24"/>
        </w:rPr>
        <w:t>URUGUAI. Presidencia de la República. Plan CAIF celebra 30 años: 423 centros distribuidos en todo Uruguay asisten a 54.500 niños. Montevideo, 10 out. 2018.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spacing w:after="0" w:line="240" w:lineRule="auto"/>
        <w:ind w:firstLine="0"/>
        <w:jc w:val="both"/>
      </w:pPr>
      <w:r>
        <w:rPr>
          <w:vertAlign w:val="superscript"/>
          <w:sz w:val="20"/>
        </w:rPr>
        <w:footnoteRef/>
      </w:r>
      <w:r>
        <w:rPr>
          <w:rFonts w:ascii="Arial" w:hAnsi="Arial"/>
          <w:sz w:val="20"/>
        </w:rPr>
        <w:t xml:space="preserve"> O material suplementar (auditoria das planilhas, base municipal tratada, scripts, tabelas completas, simulações, mapas e diagramas editáveis em SVG e PPTX, e o levantamento documental) está disponível em repositório público [link omitido para avaliação cega].</w:t>
      </w:r>
    </w:p>
  </w:footnote>
  <w:footnote w:id="2">
    <w:p>
      <w:pPr>
        <w:spacing w:after="0" w:line="240" w:lineRule="auto"/>
        <w:ind w:firstLine="0"/>
        <w:jc w:val="both"/>
      </w:pPr>
      <w:r>
        <w:rPr>
          <w:vertAlign w:val="superscript"/>
          <w:sz w:val="20"/>
        </w:rPr>
        <w:footnoteRef/>
      </w:r>
      <w:r>
        <w:rPr>
          <w:rFonts w:ascii="Arial" w:hAnsi="Arial"/>
          <w:sz w:val="20"/>
        </w:rPr>
        <w:t xml:space="preserve"> [[NOTA_NOTICIAS]]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85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after="0" w:before="0"/>
      <w:ind w:firstLine="0" w:left="0"/>
      <w:jc w:val="left"/>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