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20" w:line="360" w:lineRule="auto"/>
        <w:ind w:firstLine="0"/>
        <w:jc w:val="left"/>
      </w:pPr>
      <w:r>
        <w:rPr>
          <w:rFonts w:ascii="Arial" w:hAnsi="Arial"/>
          <w:b/>
          <w:sz w:val="24"/>
        </w:rPr>
        <w:t>4.1 Adaptação para o Programa Infância Feliz</w:t>
      </w:r>
    </w:p>
    <w:p>
      <w:pPr>
        <w:keepNext w:val="0"/>
        <w:spacing w:line="360" w:lineRule="auto" w:after="0" w:before="0"/>
        <w:ind w:firstLine="850"/>
        <w:jc w:val="both"/>
      </w:pPr>
      <w:r>
        <w:rPr>
          <w:rFonts w:ascii="Arial" w:hAnsi="Arial"/>
          <w:b w:val="0"/>
          <w:i w:val="0"/>
          <w:sz w:val="24"/>
        </w:rPr>
        <w:t>O PCM ordena os municípios, mas não diz quantas unidades cada um deve receber. Para converter o ordenamento em uma distribuição, o programa dividiu as 300 unidades em três blocos, definidos em momentos e por regras diferentes (Figura 4). O primeiro são 43 unidades de uma etapa prévia, aprovada pelo conselho antes do PCM. O segundo são 100 unidades para os 30 municípios das cinco faixas superiores de porte, repartidas na proporção da população-alvo, corrigidas pelo PCM e limitadas por tetos. O terceiro são 157 unidades para os 369 municípios das três faixas inferiores, atribuídas por ranqueamento do PCM dentro de cada faixa, uma unidade por município. Os dois regimes respondem a uma diferença de escala: em uma cidade grande, uma unidade atende a uma fração pequena das crianças, e faz sentido repartir várias unidades na proporção da população; em um município pequeno, uma unidade já altera a cobertura, e a decisão relevante é quem entra na lista.</w:t>
      </w:r>
    </w:p>
    <w:p>
      <w:pPr>
        <w:keepNext/>
        <w:spacing w:line="240" w:lineRule="auto" w:after="60" w:before="160"/>
        <w:ind w:firstLine="0"/>
        <w:jc w:val="left"/>
      </w:pPr>
      <w:r>
        <w:rPr>
          <w:rFonts w:ascii="Arial" w:hAnsi="Arial"/>
          <w:b w:val="0"/>
          <w:i w:val="0"/>
          <w:sz w:val="22"/>
        </w:rPr>
        <w:t>Figura 4. Da cota populacional às unidades inteiras: os três blocos da distribuição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2948"/>
        <w:gridCol w:w="113"/>
        <w:gridCol w:w="2948"/>
        <w:gridCol w:w="113"/>
        <w:gridCol w:w="2948"/>
      </w:tblGrid>
      <w:tr>
        <w:trPr>
          <w:cantSplit/>
        </w:trPr>
        <w:tc>
          <w:tcPr>
            <w:tcW w:type="dxa" w:w="2948"/>
            <w:shd w:val="clear" w:color="auto" w:fill="307E3E"/>
            <w:tcBorders>
              <w:top w:val="single" w:sz="8" w:color="7F7F7F"/>
              <w:left w:val="single" w:sz="8" w:color="7F7F7F"/>
              <w:bottom w:val="single" w:sz="8" w:color="7F7F7F"/>
              <w:right w:val="single" w:sz="8" w:color="7F7F7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Bloco 1. Etapa prévia</w:t>
            </w:r>
          </w:p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FFFFFF"/>
                <w:sz w:val="16"/>
              </w:rPr>
              <w:t>43 unidades</w:t>
            </w:r>
          </w:p>
        </w:tc>
        <w:tc>
          <w:tcPr>
            <w:tcW w:type="dxa" w:w="113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2948"/>
            <w:shd w:val="clear" w:color="auto" w:fill="54278F"/>
            <w:tcBorders>
              <w:top w:val="single" w:sz="8" w:color="7F7F7F"/>
              <w:left w:val="single" w:sz="8" w:color="7F7F7F"/>
              <w:bottom w:val="single" w:sz="8" w:color="7F7F7F"/>
              <w:right w:val="single" w:sz="8" w:color="7F7F7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Bloco 2. Portes grandes</w:t>
            </w:r>
          </w:p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FFFFFF"/>
                <w:sz w:val="16"/>
              </w:rPr>
              <w:t>30 municípios, 100 unidades</w:t>
            </w:r>
          </w:p>
        </w:tc>
        <w:tc>
          <w:tcPr>
            <w:tcW w:type="dxa" w:w="113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2948"/>
            <w:shd w:val="clear" w:color="auto" w:fill="595959"/>
            <w:tcBorders>
              <w:top w:val="single" w:sz="8" w:color="7F7F7F"/>
              <w:left w:val="single" w:sz="8" w:color="7F7F7F"/>
              <w:bottom w:val="single" w:sz="8" w:color="7F7F7F"/>
              <w:right w:val="single" w:sz="8" w:color="7F7F7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Bloco 3. Portes pequenos</w:t>
            </w:r>
          </w:p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FFFFFF"/>
                <w:sz w:val="16"/>
              </w:rPr>
              <w:t>369 municípios, 157 unidades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8" w:color="307E3E"/>
              <w:left w:val="single" w:sz="8" w:color="307E3E"/>
              <w:bottom w:val="single" w:sz="8" w:color="307E3E"/>
              <w:right w:val="single" w:sz="8" w:color="307E3E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Deliberação CEDCA 60/2023: índice de prioridade do Ipardes (déficit de vagas, crescimento da população de 0 a 3 anos, crianças com perfil Bolsa Família)</w:t>
            </w:r>
          </w:p>
        </w:tc>
        <w:tc>
          <w:tcPr>
            <w:tcW w:type="dxa" w:w="113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2948"/>
            <w:shd w:val="clear" w:color="auto" w:fill="FFFFFF"/>
            <w:tcBorders>
              <w:top w:val="single" w:sz="8" w:color="54278F"/>
              <w:left w:val="single" w:sz="8" w:color="54278F"/>
              <w:bottom w:val="single" w:sz="8" w:color="54278F"/>
              <w:right w:val="single" w:sz="8" w:color="54278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1. Cota da faixa de porte: parcela na população-alvo × 257 / (1 + 0,503)</w:t>
            </w:r>
          </w:p>
        </w:tc>
        <w:tc>
          <w:tcPr>
            <w:tcW w:type="dxa" w:w="113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2948"/>
            <w:shd w:val="clear" w:color="auto" w:fill="FFFFFF"/>
            <w:tcBorders>
              <w:top w:val="single" w:sz="8" w:color="595959"/>
              <w:left w:val="single" w:sz="8" w:color="595959"/>
              <w:bottom w:val="single" w:sz="8" w:color="595959"/>
              <w:right w:val="single" w:sz="8" w:color="595959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1. Ordenação pelo PCM dentro de cada faixa, excluídos os municípios da etapa prévia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8" w:color="307E3E"/>
              <w:left w:val="single" w:sz="8" w:color="307E3E"/>
              <w:bottom w:val="single" w:sz="8" w:color="307E3E"/>
              <w:right w:val="single" w:sz="8" w:color="307E3E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Uma unidade em cada um dos 43 municípios</w:t>
            </w:r>
          </w:p>
        </w:tc>
        <w:tc>
          <w:tcPr>
            <w:tcW w:type="dxa" w:w="113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2948"/>
            <w:shd w:val="clear" w:color="auto" w:fill="FFFFFF"/>
            <w:tcBorders>
              <w:top w:val="single" w:sz="8" w:color="54278F"/>
              <w:left w:val="single" w:sz="8" w:color="54278F"/>
              <w:bottom w:val="single" w:sz="8" w:color="54278F"/>
              <w:right w:val="single" w:sz="8" w:color="54278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2. Cota do município: parcela na população-alvo da faixa × cota da faixa × (1 + PCM), menos a unidade da etapa prévia</w:t>
            </w:r>
          </w:p>
        </w:tc>
        <w:tc>
          <w:tcPr>
            <w:tcW w:type="dxa" w:w="113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2948"/>
            <w:shd w:val="clear" w:color="auto" w:fill="FFFFFF"/>
            <w:tcBorders>
              <w:top w:val="single" w:sz="8" w:color="595959"/>
              <w:left w:val="single" w:sz="8" w:color="595959"/>
              <w:bottom w:val="single" w:sz="8" w:color="595959"/>
              <w:right w:val="single" w:sz="8" w:color="595959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2. Cotas por faixa: 27 de 62 municípios (20 a 70 mil hab.), 100 de 205 (5 a 20 mil) e 30 de 102 (até 5 mil)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8" w:color="307E3E"/>
              <w:left w:val="single" w:sz="8" w:color="307E3E"/>
              <w:bottom w:val="single" w:sz="8" w:color="307E3E"/>
              <w:right w:val="single" w:sz="8" w:color="307E3E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Descontada no cálculo dos blocos 2 e 3</w:t>
            </w:r>
          </w:p>
        </w:tc>
        <w:tc>
          <w:tcPr>
            <w:tcW w:type="dxa" w:w="113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2948"/>
            <w:shd w:val="clear" w:color="auto" w:fill="FFFFFF"/>
            <w:tcBorders>
              <w:top w:val="single" w:sz="8" w:color="54278F"/>
              <w:left w:val="single" w:sz="8" w:color="54278F"/>
              <w:bottom w:val="single" w:sz="8" w:color="54278F"/>
              <w:right w:val="single" w:sz="8" w:color="54278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3. Arredondamento: parte inteira e, depois, maior resto</w:t>
            </w:r>
          </w:p>
        </w:tc>
        <w:tc>
          <w:tcPr>
            <w:tcW w:type="dxa" w:w="113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2948"/>
            <w:shd w:val="clear" w:color="auto" w:fill="FFFFFF"/>
            <w:tcBorders>
              <w:top w:val="single" w:sz="8" w:color="595959"/>
              <w:left w:val="single" w:sz="8" w:color="595959"/>
              <w:bottom w:val="single" w:sz="8" w:color="595959"/>
              <w:right w:val="single" w:sz="8" w:color="595959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3. Uma unidade por município contemplado; os demais ficam como suplentes, na ordem do índice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113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2948"/>
            <w:shd w:val="clear" w:color="auto" w:fill="FFFFFF"/>
            <w:tcBorders>
              <w:top w:val="single" w:sz="8" w:color="54278F"/>
              <w:left w:val="single" w:sz="8" w:color="54278F"/>
              <w:bottom w:val="single" w:sz="8" w:color="54278F"/>
              <w:right w:val="single" w:sz="8" w:color="54278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 w:val="0"/>
                <w:color w:val="000000"/>
                <w:sz w:val="16"/>
              </w:rPr>
              <w:t>4. Tetos por município: 10, 8, 7, 4 e 2 unidades (de 142 para 100)</w:t>
            </w:r>
          </w:p>
        </w:tc>
        <w:tc>
          <w:tcPr>
            <w:tcW w:type="dxa" w:w="113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  <w:tc>
          <w:tcPr>
            <w:tcW w:type="dxa" w:w="2948"/>
            <w:shd w:val="clear" w:color="auto" w:fill="FFFFFF"/>
            <w:tcBorders>
              <w:top w:val="nil" w:sz="8" w:color="FFFFFF"/>
              <w:left w:val="nil" w:sz="8" w:color="FFFFFF"/>
              <w:bottom w:val="nil" w:sz="8" w:color="FFFFFF"/>
              <w:right w:val="nil" w:sz="8" w:color="FFFFF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/>
        </w:tc>
      </w:tr>
      <w:tr>
        <w:trPr>
          <w:cantSplit/>
        </w:trPr>
        <w:tc>
          <w:tcPr>
            <w:tcW w:type="dxa" w:w="9072"/>
            <w:gridSpan w:val="5"/>
            <w:shd w:val="clear" w:color="auto" w:fill="E6E6E6"/>
            <w:tcBorders>
              <w:top w:val="single" w:sz="8" w:color="7F7F7F"/>
              <w:left w:val="single" w:sz="8" w:color="7F7F7F"/>
              <w:bottom w:val="single" w:sz="8" w:color="7F7F7F"/>
              <w:right w:val="single" w:sz="8" w:color="7F7F7F"/>
            </w:tcBorders>
            <w:vAlign w:val="cente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Resultado: 43 + 100 + 157 = 300 unidades em 224 municípios (março de 2024). Tetos menores em maio de 2024: 300 unidades em 258 municípios. Resolução SEDEF 219/2024: 303 unidades em 261 municípios</w:t>
            </w:r>
          </w:p>
        </w:tc>
      </w:tr>
    </w:tbl>
    <w:p>
      <w:pPr>
        <w:keepNext w:val="0"/>
        <w:spacing w:line="240" w:lineRule="auto" w:after="120" w:before="60"/>
        <w:ind w:firstLine="0"/>
        <w:jc w:val="left"/>
      </w:pPr>
      <w:r>
        <w:rPr>
          <w:rFonts w:ascii="Arial" w:hAnsi="Arial"/>
          <w:b w:val="0"/>
          <w:i w:val="0"/>
          <w:sz w:val="20"/>
        </w:rPr>
        <w:t>Fonte: Elaboração própria a partir das planilhas do estudo (abas Metodologia e Dados), de CEDCA (2023) e de Paraná (2024a).</w:t>
      </w:r>
    </w:p>
    <w:p>
      <w:pPr>
        <w:keepNext w:val="0"/>
        <w:spacing w:line="360" w:lineRule="auto" w:after="0" w:before="0"/>
        <w:ind w:firstLine="850"/>
        <w:jc w:val="both"/>
      </w:pPr>
      <w:r>
        <w:rPr>
          <w:rFonts w:ascii="Arial" w:hAnsi="Arial"/>
          <w:b w:val="0"/>
          <w:i w:val="0"/>
          <w:sz w:val="24"/>
        </w:rPr>
        <w:t>A etapa prévia antecedeu o índice. A Deliberação nº 60/2023 do CEDCA/PR aprovou R$ 70,95 milhões do Fundo Estadual para a Infância e Adolescência para 43 creches, uma em cada um de 43 municípios selecionados por um índice de prioridade do Ipardes, construído a partir do déficit de vagas, do crescimento da população de zero a três anos e do número de crianças com perfil do Bolsa Família (CEDCA, 2023). Por isso, a regra descrita a seguir distribui as 257 unidades restantes e desconta, em cada município, a unidade já recebida.</w:t>
      </w:r>
    </w:p>
    <w:p>
      <w:pPr>
        <w:keepNext w:val="0"/>
        <w:spacing w:line="360" w:lineRule="auto" w:after="0" w:before="0"/>
        <w:ind w:firstLine="850"/>
        <w:jc w:val="both"/>
      </w:pPr>
      <w:r>
        <w:rPr>
          <w:rFonts w:ascii="Arial" w:hAnsi="Arial"/>
          <w:b w:val="0"/>
          <w:i w:val="0"/>
          <w:sz w:val="24"/>
        </w:rPr>
        <w:t>Nos municípios grandes, o cálculo parte de uma cota por faixa de porte, proporcional à parcela da faixa na população-alvo do estado. O total a repartir é reduzido pelo fator 1 + m, em que m é o PCM médio ponderado pela população-alvo (0,503), porque no passo seguinte a cota de cada município é ampliada pelo seu próprio PCM; sem a redução, a soma ultrapassaria o total disponível:</w:t>
      </w:r>
    </w:p>
    <w:p>
      <w:pPr>
        <w:keepNext/>
        <w:tabs>
          <w:tab w:pos="4252" w:val="center"/>
          <w:tab w:pos="9071" w:val="right"/>
        </w:tabs>
        <w:spacing w:line="240" w:lineRule="auto" w:before="120" w:after="120"/>
        <w:ind w:firstLine="0" w:left="0"/>
        <w:jc w:val="left"/>
      </w:pPr>
      <w:r>
        <w:rPr>
          <w:rFonts w:ascii="Arial" w:hAnsi="Arial"/>
          <w:sz w:val="22"/>
        </w:rPr>
        <w:tab/>
      </w:r>
      <m:oMath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 = </m:t>
        </m:r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 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1 + m</m:t>
            </m:r>
          </m:den>
        </m:f>
      </m:oMath>
      <w:r>
        <w:rPr>
          <w:rFonts w:ascii="Arial" w:hAnsi="Arial"/>
          <w:sz w:val="22"/>
        </w:rPr>
        <w:tab/>
        <w:t>(6)</w:t>
      </w:r>
    </w:p>
    <w:p>
      <w:pPr>
        <w:keepNext w:val="0"/>
        <w:spacing w:line="360" w:lineRule="auto" w:after="0" w:before="0"/>
        <w:ind w:firstLine="850"/>
        <w:jc w:val="both"/>
      </w:pPr>
      <w:r>
        <w:rPr>
          <w:rFonts w:ascii="Arial" w:hAnsi="Arial"/>
          <w:b w:val="0"/>
          <w:i w:val="0"/>
          <w:sz w:val="24"/>
        </w:rPr>
        <w:t xml:space="preserve">em que </w:t>
      </w:r>
      <w:r>
        <w:rPr>
          <w:rFonts w:ascii="Arial" w:hAnsi="Arial"/>
          <w:b w:val="0"/>
          <w:i/>
          <w:sz w:val="24"/>
        </w:rPr>
        <w:t>C</w:t>
      </w:r>
      <w:r>
        <w:rPr>
          <w:rFonts w:ascii="Arial" w:hAnsi="Arial"/>
          <w:b w:val="0"/>
          <w:i/>
          <w:sz w:val="24"/>
          <w:vertAlign w:val="subscript"/>
        </w:rPr>
        <w:t>p</w:t>
      </w:r>
      <w:r>
        <w:rPr>
          <w:rFonts w:ascii="Arial" w:hAnsi="Arial"/>
          <w:b w:val="0"/>
          <w:i w:val="0"/>
          <w:sz w:val="24"/>
        </w:rPr>
        <w:t xml:space="preserve"> é a cota da faixa p, </w:t>
      </w:r>
      <w:r>
        <w:rPr>
          <w:rFonts w:ascii="Arial" w:hAnsi="Arial"/>
          <w:b w:val="0"/>
          <w:i/>
          <w:sz w:val="24"/>
        </w:rPr>
        <w:t>s</w:t>
      </w:r>
      <w:r>
        <w:rPr>
          <w:rFonts w:ascii="Arial" w:hAnsi="Arial"/>
          <w:b w:val="0"/>
          <w:i/>
          <w:sz w:val="24"/>
          <w:vertAlign w:val="subscript"/>
        </w:rPr>
        <w:t>p</w:t>
      </w:r>
      <w:r>
        <w:rPr>
          <w:rFonts w:ascii="Arial" w:hAnsi="Arial"/>
          <w:b w:val="0"/>
          <w:i w:val="0"/>
          <w:sz w:val="24"/>
        </w:rPr>
        <w:t xml:space="preserve"> é a parcela da faixa na população-alvo e </w:t>
      </w:r>
      <w:r>
        <w:rPr>
          <w:rFonts w:ascii="Arial" w:hAnsi="Arial"/>
          <w:b w:val="0"/>
          <w:i/>
          <w:sz w:val="24"/>
        </w:rPr>
        <w:t>N</w:t>
      </w:r>
      <w:r>
        <w:rPr>
          <w:rFonts w:ascii="Arial" w:hAnsi="Arial"/>
          <w:b w:val="0"/>
          <w:i/>
          <w:sz w:val="24"/>
          <w:vertAlign w:val="subscript"/>
        </w:rPr>
        <w:t>r</w:t>
      </w:r>
      <w:r>
        <w:rPr>
          <w:rFonts w:ascii="Arial" w:hAnsi="Arial"/>
          <w:b w:val="0"/>
          <w:i w:val="0"/>
          <w:sz w:val="24"/>
        </w:rPr>
        <w:t xml:space="preserve"> = 257 é o número de unidades restantes após a etapa prévia. A cota da faixa é então repartida entre seus municípios na proporção da população-alvo, e o índice entra como multiplicador:</w:t>
      </w:r>
    </w:p>
    <w:p>
      <w:pPr>
        <w:keepNext/>
        <w:tabs>
          <w:tab w:pos="4252" w:val="center"/>
          <w:tab w:pos="9071" w:val="right"/>
        </w:tabs>
        <w:spacing w:line="240" w:lineRule="auto" w:before="120" w:after="120"/>
        <w:ind w:firstLine="0" w:left="0"/>
        <w:jc w:val="left"/>
      </w:pPr>
      <w:r>
        <w:rPr>
          <w:rFonts w:ascii="Arial" w:hAnsi="Arial"/>
          <w:sz w:val="22"/>
        </w:rPr>
        <w:tab/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 = 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p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 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 + </m:t>
            </m:r>
            <m:sSub>
              <m:e>
                <m:r>
                  <w:rPr>
                    <w:rFonts w:ascii="Cambria Math" w:hAnsi="Cambria Math"/>
                  </w:rPr>
                  <m:t xml:space="preserve">PCM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d>
        <m:r>
          <w:rPr>
            <w:rFonts w:ascii="Cambria Math" w:hAnsi="Cambria Math"/>
          </w:rPr>
          <m:t xml:space="preserve"> - 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ascii="Arial" w:hAnsi="Arial"/>
          <w:sz w:val="22"/>
        </w:rPr>
        <w:tab/>
        <w:t>(7)</w:t>
      </w:r>
    </w:p>
    <w:p>
      <w:pPr>
        <w:keepNext w:val="0"/>
        <w:spacing w:line="360" w:lineRule="auto" w:after="0" w:before="0"/>
        <w:ind w:firstLine="850"/>
        <w:jc w:val="both"/>
      </w:pPr>
      <w:r>
        <w:rPr>
          <w:rFonts w:ascii="Arial" w:hAnsi="Arial"/>
          <w:b w:val="0"/>
          <w:i w:val="0"/>
          <w:sz w:val="24"/>
        </w:rPr>
        <w:t xml:space="preserve">em que </w:t>
      </w:r>
      <w:r>
        <w:rPr>
          <w:rFonts w:ascii="Arial" w:hAnsi="Arial"/>
          <w:b w:val="0"/>
          <w:i/>
          <w:sz w:val="24"/>
        </w:rPr>
        <w:t>K</w:t>
      </w:r>
      <w:r>
        <w:rPr>
          <w:rFonts w:ascii="Arial" w:hAnsi="Arial"/>
          <w:b w:val="0"/>
          <w:i/>
          <w:sz w:val="24"/>
          <w:vertAlign w:val="subscript"/>
        </w:rPr>
        <w:t>i</w:t>
      </w:r>
      <w:r>
        <w:rPr>
          <w:rFonts w:ascii="Arial" w:hAnsi="Arial"/>
          <w:b w:val="0"/>
          <w:i w:val="0"/>
          <w:sz w:val="24"/>
        </w:rPr>
        <w:t xml:space="preserve"> é o número de unidades do município i, </w:t>
      </w:r>
      <w:r>
        <w:rPr>
          <w:rFonts w:ascii="Arial" w:hAnsi="Arial"/>
          <w:b w:val="0"/>
          <w:i/>
          <w:sz w:val="24"/>
        </w:rPr>
        <w:t>a</w:t>
      </w:r>
      <w:r>
        <w:rPr>
          <w:rFonts w:ascii="Arial" w:hAnsi="Arial"/>
          <w:b w:val="0"/>
          <w:i/>
          <w:sz w:val="24"/>
          <w:vertAlign w:val="subscript"/>
        </w:rPr>
        <w:t>i</w:t>
      </w:r>
      <w:r>
        <w:rPr>
          <w:rFonts w:ascii="Arial" w:hAnsi="Arial"/>
          <w:b w:val="0"/>
          <w:i w:val="0"/>
          <w:sz w:val="24"/>
        </w:rPr>
        <w:t xml:space="preserve"> é sua população-alvo, </w:t>
      </w:r>
      <w:r>
        <w:rPr>
          <w:rFonts w:ascii="Arial" w:hAnsi="Arial"/>
          <w:b w:val="0"/>
          <w:i/>
          <w:sz w:val="24"/>
        </w:rPr>
        <w:t>A</w:t>
      </w:r>
      <w:r>
        <w:rPr>
          <w:rFonts w:ascii="Arial" w:hAnsi="Arial"/>
          <w:b w:val="0"/>
          <w:i/>
          <w:sz w:val="24"/>
          <w:vertAlign w:val="subscript"/>
        </w:rPr>
        <w:t>p</w:t>
      </w:r>
      <w:r>
        <w:rPr>
          <w:rFonts w:ascii="Arial" w:hAnsi="Arial"/>
          <w:b w:val="0"/>
          <w:i w:val="0"/>
          <w:sz w:val="24"/>
        </w:rPr>
        <w:t xml:space="preserve"> é a população-alvo da faixa e </w:t>
      </w:r>
      <w:r>
        <w:rPr>
          <w:rFonts w:ascii="Arial" w:hAnsi="Arial"/>
          <w:b w:val="0"/>
          <w:i/>
          <w:sz w:val="24"/>
        </w:rPr>
        <w:t>E</w:t>
      </w:r>
      <w:r>
        <w:rPr>
          <w:rFonts w:ascii="Arial" w:hAnsi="Arial"/>
          <w:b w:val="0"/>
          <w:i/>
          <w:sz w:val="24"/>
          <w:vertAlign w:val="subscript"/>
        </w:rPr>
        <w:t>i</w:t>
      </w:r>
      <w:r>
        <w:rPr>
          <w:rFonts w:ascii="Arial" w:hAnsi="Arial"/>
          <w:b w:val="0"/>
          <w:i w:val="0"/>
          <w:sz w:val="24"/>
        </w:rPr>
        <w:t xml:space="preserve"> é a unidade eventualmente recebida na etapa prévia. Um município com PCM de 0,50 recebe 50% a mais do que receberia pela população. Curitiba ilustra o cálculo: a cota de sua faixa, que ocupa sozinha, é de 23,1 unidades; multiplicada por 1 + 0,286, seu PCM, chega a 29,7.</w:t>
      </w:r>
    </w:p>
    <w:p>
      <w:pPr>
        <w:keepNext w:val="0"/>
        <w:spacing w:line="360" w:lineRule="auto" w:after="0" w:before="0"/>
        <w:ind w:firstLine="850"/>
        <w:jc w:val="both"/>
      </w:pPr>
      <w:r>
        <w:rPr>
          <w:rFonts w:ascii="Arial" w:hAnsi="Arial"/>
          <w:b w:val="0"/>
          <w:i w:val="0"/>
          <w:sz w:val="24"/>
        </w:rPr>
        <w:t xml:space="preserve">Como </w:t>
      </w:r>
      <w:r>
        <w:rPr>
          <w:rFonts w:ascii="Arial" w:hAnsi="Arial"/>
          <w:b w:val="0"/>
          <w:i/>
          <w:sz w:val="24"/>
        </w:rPr>
        <w:t>K</w:t>
      </w:r>
      <w:r>
        <w:rPr>
          <w:rFonts w:ascii="Arial" w:hAnsi="Arial"/>
          <w:b w:val="0"/>
          <w:i/>
          <w:sz w:val="24"/>
          <w:vertAlign w:val="subscript"/>
        </w:rPr>
        <w:t>i</w:t>
      </w:r>
      <w:r>
        <w:rPr>
          <w:rFonts w:ascii="Arial" w:hAnsi="Arial"/>
          <w:b w:val="0"/>
          <w:i w:val="0"/>
          <w:sz w:val="24"/>
        </w:rPr>
        <w:t xml:space="preserve"> é fracionário, a conversão em unidades inteiras segue o método do maior resto, como implementado na planilha: a parte inteira é atribuída de imediato e as unidades restantes vão, uma a uma, aos municípios com as maiores frações (BALINSKI; YOUNG, 2001). Curitiba passa de 29,7 a 30 unidades. Sobre esse resultado incidem os tetos por município, de 10, 8, 7, 4 e 2 unidades nas cinco faixas, em ordem decrescente de porte, que reduziram o total dos 30 municípios grandes de 142 para 100 unidades e o de Curitiba, de 30 para 10.</w:t>
      </w:r>
    </w:p>
    <w:p>
      <w:pPr>
        <w:keepNext w:val="0"/>
        <w:spacing w:line="360" w:lineRule="auto" w:after="0" w:before="0"/>
        <w:ind w:firstLine="850"/>
        <w:jc w:val="both"/>
      </w:pPr>
      <w:r>
        <w:rPr>
          <w:rFonts w:ascii="Arial" w:hAnsi="Arial"/>
          <w:b w:val="0"/>
          <w:i w:val="0"/>
          <w:sz w:val="24"/>
        </w:rPr>
        <w:t>Nos municípios pequenos não há cálculo proporcional. Em cada uma das três faixas inferiores, os municípios são ordenados pelo PCM, excluídos os da etapa prévia, e os primeiros da fila recebem uma unidade: 27 dos 62 municípios de 20 a 70 mil habitantes, 100 dos 205 de 5 a 20 mil e 30 dos 102 com até 5 mil, o que soma 157 unidades. O PCM do último contemplado é a linha de corte da faixa; abaixo dela, os demais permanecem na ordem do índice, como suplentes.</w:t>
      </w:r>
    </w:p>
    <w:p>
      <w:pPr>
        <w:keepNext w:val="0"/>
        <w:spacing w:line="360" w:lineRule="auto" w:after="0" w:before="0"/>
        <w:ind w:firstLine="850"/>
        <w:jc w:val="both"/>
      </w:pPr>
      <w:r>
        <w:rPr>
          <w:rFonts w:ascii="Arial" w:hAnsi="Arial"/>
          <w:b w:val="0"/>
          <w:i w:val="0"/>
          <w:sz w:val="24"/>
        </w:rPr>
        <w:t>Os três blocos somam 300 unidades, em 224 municípios, na versão de março de 2024. A versão apresentada ao conselho em maio manteve o índice e as cotas e reduziu os tetos dos municípios grandes, o que deslocou 38 unidades para as faixas inferiores e elevou o alcance para 258 municípios. A Resolução SEDEF nº 219/2024 acrescentou uma unidade a três municípios e publicou 303 unidades em 261 municípios.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850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 w:after="0" w:before="0"/>
      <w:ind w:firstLine="0" w:left="0"/>
      <w:jc w:val="left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