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after="120" w:before="0"/>
        <w:ind w:firstLine="0"/>
        <w:jc w:val="left"/>
      </w:pPr>
      <w:r>
        <w:rPr>
          <w:rFonts w:ascii="Arial" w:hAnsi="Arial"/>
          <w:b/>
          <w:i w:val="0"/>
          <w:sz w:val="24"/>
        </w:rPr>
        <w:t>O POTENCIAL DE CRECHE POR MUNICÍPIO COMO INSTRUMENTO DE ALOCAÇÃO NO PROGRAMA INFÂNCIA FELIZ PARANÁ</w:t>
      </w:r>
    </w:p>
    <w:p>
      <w:pPr>
        <w:keepNext w:val="0"/>
        <w:spacing w:line="360" w:lineRule="auto" w:after="120" w:before="0"/>
        <w:ind w:firstLine="0"/>
        <w:jc w:val="left"/>
      </w:pPr>
      <w:r>
        <w:rPr>
          <w:rFonts w:ascii="Arial" w:hAnsi="Arial"/>
          <w:b/>
          <w:i w:val="0"/>
          <w:sz w:val="24"/>
        </w:rPr>
        <w:t>THE CHILDCARE POTENTIAL BY MUNICIPALITY AS AN ALLOCATION INSTRUMENT IN THE INFÂNCIA FELIZ PARANÁ PROGRAM</w:t>
      </w:r>
    </w:p>
    <w:p>
      <w:pPr>
        <w:keepNext w:val="0"/>
        <w:spacing w:line="360" w:lineRule="auto" w:after="120" w:before="0"/>
        <w:ind w:firstLine="0"/>
        <w:jc w:val="left"/>
      </w:pPr>
      <w:r>
        <w:rPr>
          <w:rFonts w:ascii="Arial" w:hAnsi="Arial"/>
          <w:b/>
          <w:i w:val="0"/>
          <w:sz w:val="24"/>
        </w:rPr>
        <w:t>EL POTENCIAL DE GUARDERÍA POR MUNICIPIO COMO INSTRUMENTO DE ASIGNACIÓN EN EL PROGRAMA INFÂNCIA FELIZ PARANÁ</w:t>
      </w:r>
    </w:p>
    <w:p>
      <w:pPr>
        <w:keepNext w:val="0"/>
        <w:spacing w:line="240" w:lineRule="auto" w:after="40" w:before="160"/>
        <w:ind w:firstLine="0"/>
        <w:jc w:val="left"/>
      </w:pPr>
      <w:r>
        <w:rPr>
          <w:rFonts w:ascii="Arial" w:hAnsi="Arial"/>
          <w:b/>
          <w:i w:val="0"/>
          <w:sz w:val="24"/>
        </w:rPr>
        <w:t>RESUMO</w:t>
      </w:r>
    </w:p>
    <w:p>
      <w:pPr>
        <w:keepNext w:val="0"/>
        <w:spacing w:line="240" w:lineRule="auto" w:after="80" w:before="0"/>
        <w:ind w:firstLine="0"/>
        <w:jc w:val="both"/>
      </w:pPr>
      <w:r>
        <w:rPr>
          <w:rFonts w:ascii="Arial" w:hAnsi="Arial"/>
          <w:b w:val="0"/>
          <w:i w:val="0"/>
          <w:sz w:val="24"/>
        </w:rPr>
        <w:t>Este artigo apresenta a metodologia construída para subsidiar a alocação de cerca de 300 creches financiadas pelo Governo do Paraná entre os 399 municípios do estado, no Programa Infância Feliz Paraná (Lei Estadual nº 21.870/2023). Situamos a construção de creches na função alocativa do Estado e na provisão de infraestrutura social, revisamos a evidência internacional sobre educação infantil, mapeamos a responsabilidade federativa pela oferta e descrevemos a base legal, orçamentária e financeira do programa, que opera por incentivo fundo a fundo aos municípios. O núcleo do artigo é o Potencial de Creche por Município (PCM), indicador composto de nove variáveis oficiais em três pilares (educacional, demográfico e socioeconômico), normalizadas pelo método mínimo-máximo e agregadas com pesos explícitos. Descrevemos sua arquitetura, comparamos sua lógica com o Índice de Necessidade de Creche, testamos sua sensibilidade e mostramos como o índice foi convertido em unidades inteiras por cotas de porte, ajuste proporcional, maior resto e tetos. A metodologia ordenou os municípios de forma reprodutível e foi aprovada pelo conselho estadual de direitos, com margem delimitada para a decisão política. Concluímos que programa, política pública, avaliação ex ante e apoio aos municípios podem ser articulados em um mesmo desenho.</w:t>
      </w:r>
    </w:p>
    <w:p>
      <w:pPr>
        <w:keepNext w:val="0"/>
        <w:spacing w:line="240" w:lineRule="auto" w:after="80" w:before="0"/>
        <w:ind w:firstLine="0"/>
        <w:jc w:val="left"/>
      </w:pPr>
      <w:r>
        <w:rPr>
          <w:rFonts w:ascii="Arial" w:hAnsi="Arial"/>
          <w:b w:val="0"/>
          <w:i w:val="0"/>
          <w:sz w:val="24"/>
        </w:rPr>
        <w:t>Palavras-chave: Educação infantil. Indicadores compostos. Federalismo fiscal. Avaliação ex ante. Paraná.</w:t>
      </w:r>
    </w:p>
    <w:p>
      <w:pPr>
        <w:keepNext w:val="0"/>
        <w:spacing w:line="240" w:lineRule="auto" w:after="40" w:before="160"/>
        <w:ind w:firstLine="0"/>
        <w:jc w:val="left"/>
      </w:pPr>
      <w:r>
        <w:rPr>
          <w:rFonts w:ascii="Arial" w:hAnsi="Arial"/>
          <w:b/>
          <w:i w:val="0"/>
          <w:sz w:val="24"/>
        </w:rPr>
        <w:t>ABSTRACT</w:t>
      </w:r>
    </w:p>
    <w:p>
      <w:pPr>
        <w:keepNext w:val="0"/>
        <w:spacing w:line="240" w:lineRule="auto" w:after="80" w:before="0"/>
        <w:ind w:firstLine="0"/>
        <w:jc w:val="both"/>
      </w:pPr>
      <w:r>
        <w:rPr>
          <w:rFonts w:ascii="Arial" w:hAnsi="Arial"/>
          <w:b w:val="0"/>
          <w:i w:val="0"/>
          <w:sz w:val="24"/>
        </w:rPr>
        <w:t>This article presents the methodology built to support the allocation of about 300 childcare centers funded by the State of Paraná among its 399 municipalities under the Infância Feliz Paraná Program (State Law 21,870/2023). We place childcare construction within the allocative function of the state and the provision of social infrastructure, review international evidence on early childhood education, map the federative responsibility for provision, and describe the program's legal, budgetary and financial basis, which operates through fund-to-fund transfers to municipalities. The core of the article is the Childcare Potential by Municipality (PCM), a composite indicator of nine official variables in three pillars (educational, demographic and socioeconomic), normalized by the min-max method and aggregated with explicit weights. We describe its architecture, compare its logic with the Childcare Need Index, test its sensitivity and show how the index was converted into integer units through size-band quotas, proportional adjustment, largest remainder and caps. The methodology ranked municipalities reproducibly and was approved by the state rights council, with a bounded margin for political decision. We conclude that program, public policy, ex ante evaluation and support to municipalities can be articulated in a single design.</w:t>
      </w:r>
    </w:p>
    <w:p>
      <w:pPr>
        <w:keepNext w:val="0"/>
        <w:spacing w:line="240" w:lineRule="auto" w:after="80" w:before="0"/>
        <w:ind w:firstLine="0"/>
        <w:jc w:val="left"/>
      </w:pPr>
      <w:r>
        <w:rPr>
          <w:rFonts w:ascii="Arial" w:hAnsi="Arial"/>
          <w:b w:val="0"/>
          <w:i w:val="0"/>
          <w:sz w:val="24"/>
        </w:rPr>
        <w:t>Keywords: Early childhood education. Composite indicators. Fiscal federalism. Ex ante evaluation. Paraná.</w:t>
      </w:r>
    </w:p>
    <w:p>
      <w:pPr>
        <w:keepNext w:val="0"/>
        <w:spacing w:line="240" w:lineRule="auto" w:after="40" w:before="160"/>
        <w:ind w:firstLine="0"/>
        <w:jc w:val="left"/>
      </w:pPr>
      <w:r>
        <w:rPr>
          <w:rFonts w:ascii="Arial" w:hAnsi="Arial"/>
          <w:b/>
          <w:i w:val="0"/>
          <w:sz w:val="24"/>
        </w:rPr>
        <w:t>RESUMEN</w:t>
      </w:r>
    </w:p>
    <w:p>
      <w:pPr>
        <w:keepNext w:val="0"/>
        <w:spacing w:line="240" w:lineRule="auto" w:after="80" w:before="0"/>
        <w:ind w:firstLine="0"/>
        <w:jc w:val="both"/>
      </w:pPr>
      <w:r>
        <w:rPr>
          <w:rFonts w:ascii="Arial" w:hAnsi="Arial"/>
          <w:b w:val="0"/>
          <w:i w:val="0"/>
          <w:sz w:val="24"/>
        </w:rPr>
        <w:t>Este artículo presenta la metodología construida para subsidiar la asignación de cerca de 300 guarderías financiadas por el Gobierno de Paraná entre los 399 municipios del estado, en el Programa Infância Feliz Paraná (Ley Estadual 21.870/2023). Situamos la construcción de guarderías en la función asignativa del Estado y en la provisión de infraestructura social, revisamos la evidencia internacional sobre educación infantil, mapeamos la responsabilidad federativa por la oferta y describimos la base legal, presupuestaria y financiera del programa, que opera mediante transferencias fondo a fondo a los municipios. El núcleo del artículo es el Potencial de Guardería por Municipio (PCM), indicador compuesto de nueve variables oficiales en tres pilares (educativo, demográfico y socioeconómico), normalizadas por el método mínimo-máximo y agregadas con pesos explícitos. Describimos su arquitectura, comparamos su lógica con el Índice de Necesidad de Guardería, probamos su sensibilidad y mostramos cómo el índice se convirtió en unidades enteras mediante cuotas por tamaño, ajuste proporcional, mayor resto y topes. La metodología ordenó los municipios de forma reproducible y fue aprobada por el consejo estadual de derechos, con un margen delimitado para la decisión política. Concluimos que programa, política pública, evaluación ex ante y apoyo a los municipios pueden articularse en un mismo diseño.</w:t>
      </w:r>
    </w:p>
    <w:p>
      <w:pPr>
        <w:keepNext w:val="0"/>
        <w:spacing w:line="240" w:lineRule="auto" w:after="80" w:before="0"/>
        <w:ind w:firstLine="0"/>
        <w:jc w:val="left"/>
      </w:pPr>
      <w:r>
        <w:rPr>
          <w:rFonts w:ascii="Arial" w:hAnsi="Arial"/>
          <w:b w:val="0"/>
          <w:i w:val="0"/>
          <w:sz w:val="24"/>
        </w:rPr>
        <w:t>Palabras clave: Educación infantil. Indicadores compuestos. Federalismo fiscal. Evaluación ex ante. Paraná.</w:t>
      </w:r>
    </w:p>
    <w:p>
      <w:pPr>
        <w:keepNext/>
        <w:spacing w:before="240" w:after="120" w:line="360" w:lineRule="auto"/>
        <w:ind w:firstLine="0"/>
        <w:jc w:val="left"/>
      </w:pPr>
      <w:r>
        <w:rPr>
          <w:rFonts w:ascii="Arial" w:hAnsi="Arial"/>
          <w:b/>
          <w:sz w:val="24"/>
        </w:rPr>
        <w:t>1 INTRODUÇÃO</w:t>
      </w:r>
    </w:p>
    <w:p>
      <w:pPr>
        <w:keepNext w:val="0"/>
        <w:spacing w:line="360" w:lineRule="auto" w:after="0" w:before="0"/>
        <w:ind w:firstLine="850"/>
        <w:jc w:val="both"/>
      </w:pPr>
      <w:r>
        <w:rPr>
          <w:rFonts w:ascii="Arial" w:hAnsi="Arial"/>
          <w:b w:val="0"/>
          <w:i w:val="0"/>
          <w:sz w:val="24"/>
        </w:rPr>
        <w:t>A economia do bem-estar atribui ao Estado uma função alocativa: corrigir a provisão de bens que o mercado oferece em quantidade inferior à socialmente desejável, seja por externalidades, seja por falhas de informação, seja porque o consumo do bem é considerado meritório (MUSGRAVE; MUSGRAVE, 1980; STIGLITZ; ROSENGARD, 2015). A creche reúne as três razões: seus benefícios extravasam a família, na forma de participação materna no trabalho, de desenvolvimento infantil convertido em produtividade futura e de redução de desigualdades de origem (HECKMAN, 2006; CUNHA; HECKMAN, 2007); as famílias de menor renda são as que menos pagam por vagas privadas e as que mais se beneficiam do acesso (GARCÍA et al., 2020); e a Constituição de 1988 tratou a educação infantil como direito público subjetivo. A creche pertence, assim, à infraestrutura social: um equipamento fixo, indivisível e de longa duração cuja localização define quem terá acesso ao serviço por décadas.</w:t>
      </w:r>
    </w:p>
    <w:p>
      <w:pPr>
        <w:keepNext w:val="0"/>
        <w:spacing w:line="360" w:lineRule="auto" w:after="0" w:before="0"/>
        <w:ind w:firstLine="850"/>
        <w:jc w:val="both"/>
      </w:pPr>
      <w:r>
        <w:rPr>
          <w:rFonts w:ascii="Arial" w:hAnsi="Arial"/>
          <w:b w:val="0"/>
          <w:i w:val="0"/>
          <w:sz w:val="24"/>
        </w:rPr>
        <w:t>Quando um governo dispõe de recursos para financiar um número de equipamentos muito menor que o de potenciais destinatários, a função alocativa se traduz em uma pergunta concreta: onde construir primeiro. No caso analisado, o Governo do Paraná tinha cerca de 300 unidades para 399 municípios e precisava de um critério defensável perante prefeitos, deputados, o conselho estadual de direitos e os órgãos de controle, sem renunciar à focalização nas localidades com maior carência. A resposta técnica foi um indicador composto, o Potencial de Creche por Município (PCM), articulado a uma classificação dos municípios em faixas de porte. Um dos autores integrou a equipe da Casa Civil que construiu a metodologia, com apoio de estudo prévio do Instituto Paranaense de Desenvolvimento Econômico e Social (Ipardes).</w:t>
      </w:r>
    </w:p>
    <w:p>
      <w:pPr>
        <w:keepNext w:val="0"/>
        <w:spacing w:line="360" w:lineRule="auto" w:after="0" w:before="0"/>
        <w:ind w:firstLine="850"/>
        <w:jc w:val="both"/>
      </w:pPr>
      <w:r>
        <w:rPr>
          <w:rFonts w:ascii="Arial" w:hAnsi="Arial"/>
          <w:b w:val="0"/>
          <w:i w:val="0"/>
          <w:sz w:val="24"/>
        </w:rPr>
        <w:t>O objetivo deste artigo é apresentar essa metodologia como instrumento de alocação de recursos escassos entre entes federados, com ênfase no indicador: seus pilares, suas fontes, o método de normalização, a ponderação e o diálogo com índices semelhantes. A conversão do índice em unidades inteiras, com cotas, arredondamento e tetos, é apresentada como aplicação. Não avaliamos a execução das obras nem efeitos sobre matrícula; o objeto é a priorização, anterior à obra. O artigo dialoga com o dossiê em dois pontos: a relação entre planejamento e eficiência alocativa, porque um critério explícito e reprodutível reduz o custo de negociar investimentos entre níveis de governo, e a dimensão federativa, porque a oferta de creche é atribuição municipal enquanto a capacidade de investir está nos governos estadual e federal.</w:t>
      </w:r>
    </w:p>
    <w:p>
      <w:pPr>
        <w:keepNext w:val="0"/>
        <w:spacing w:line="360" w:lineRule="auto" w:after="0" w:before="0"/>
        <w:ind w:firstLine="850"/>
        <w:jc w:val="both"/>
      </w:pPr>
      <w:r>
        <w:rPr>
          <w:rFonts w:ascii="Arial" w:hAnsi="Arial"/>
          <w:b w:val="0"/>
          <w:i w:val="0"/>
          <w:sz w:val="24"/>
        </w:rPr>
        <w:t>As seções seguintes tratam da creche como política pública e da responsabilidade federativa (2), do programa e de seu financiamento (3), do PCM (4), de sua aplicação (5), das lições do caso (6) e das conclusões (7).</w:t>
      </w:r>
    </w:p>
    <w:p>
      <w:pPr>
        <w:keepNext/>
        <w:spacing w:before="240" w:after="120" w:line="360" w:lineRule="auto"/>
        <w:ind w:firstLine="0"/>
        <w:jc w:val="left"/>
      </w:pPr>
      <w:r>
        <w:rPr>
          <w:rFonts w:ascii="Arial" w:hAnsi="Arial"/>
          <w:b/>
          <w:sz w:val="24"/>
        </w:rPr>
        <w:t>2 CRECHE COMO POLÍTICA PÚBLICA: EVIDÊNCIA E RESPONSABILIDADE FEDERATIVA</w:t>
      </w:r>
    </w:p>
    <w:p>
      <w:pPr>
        <w:keepNext/>
        <w:spacing w:before="120" w:after="120" w:line="360" w:lineRule="auto"/>
        <w:ind w:firstLine="0"/>
        <w:jc w:val="left"/>
      </w:pPr>
      <w:r>
        <w:rPr>
          <w:rFonts w:ascii="Arial" w:hAnsi="Arial"/>
          <w:b/>
          <w:sz w:val="24"/>
        </w:rPr>
        <w:t>2.1 Evidência e boas práticas internacionais</w:t>
      </w:r>
    </w:p>
    <w:p>
      <w:pPr>
        <w:keepNext w:val="0"/>
        <w:spacing w:line="360" w:lineRule="auto" w:after="0" w:before="0"/>
        <w:ind w:firstLine="850"/>
        <w:jc w:val="both"/>
      </w:pPr>
      <w:r>
        <w:rPr>
          <w:rFonts w:ascii="Arial" w:hAnsi="Arial"/>
          <w:b w:val="0"/>
          <w:i w:val="0"/>
          <w:sz w:val="24"/>
        </w:rPr>
        <w:t>A literatura econômica converge em dois resultados. Investimentos em idades precoces têm retorno elevado para crianças em desvantagem: a reanálise do programa Perry estima retorno anual de 13,7% e relação benefício-custo de 7,3 (GARCÍA et al., 2020). E a creche pública libera tempo materno para o trabalho: na loteria de vagas do Rio de Janeiro, o emprego das mães subiu de 36% para 46% e a renda familiar cresceu 16% (BARROS et al., 2011; ATTANASIO et al., 2017). Para o Brasil, Evans e Kosec (2012) recomendaram alocação de vagas transparente e orientada para os mais pobres.</w:t>
      </w:r>
    </w:p>
    <w:p>
      <w:pPr>
        <w:keepNext w:val="0"/>
        <w:spacing w:line="360" w:lineRule="auto" w:after="0" w:before="0"/>
        <w:ind w:firstLine="850"/>
        <w:jc w:val="both"/>
      </w:pPr>
      <w:r>
        <w:rPr>
          <w:rFonts w:ascii="Arial" w:hAnsi="Arial"/>
          <w:b w:val="0"/>
          <w:i w:val="0"/>
          <w:sz w:val="24"/>
        </w:rPr>
        <w:t>Os organismos internacionais transformaram essa evidência em recomendação de política. O Banco Mundial estima que cerca de 350 milhões de crianças abaixo da idade escolar precisam de cuidado e não têm acesso a ele, e propõe que os governos tratem a creche como infraestrutura de capital humano, com financiamento público, padrões de qualidade e focalização nas famílias de menor renda (DEVERCELLI; BEATON-DAY, 2020). A OCDE registra matrícula de 29% dos menores de três anos nos países-membros em 2023, com diferenças persistentes por renda, e associa os resultados à qualidade das interações, ao financiamento estável e à governança integrada entre educação e assistência (OECD, 2021, 2024). O UNICEF inclui a creche acessível entre as quatro políticas favoráveis à família (GROMADA; RICHARDSON; REES, 2020); o marco de cuidado responsivo da OMS, do UNICEF e do Banco Mundial coloca a aprendizagem precoce entre os componentes do desenvolvimento (WHO; UNICEF; WORLD BANK GROUP, 2018); a meta 4.2 dos Objetivos de Desenvolvimento Sustentável fixa o acesso à educação na primeira infância como compromisso até 2030 (UNITED NATIONS, 2015); e o relatório global sobre o tema estima em 21 bilhões de dólares por ano a lacuna de financiamento nos países de baixa e média renda (UNESCO; UNICEF, 2024).</w:t>
      </w:r>
    </w:p>
    <w:p>
      <w:pPr>
        <w:keepNext w:val="0"/>
        <w:spacing w:line="360" w:lineRule="auto" w:after="0" w:before="0"/>
        <w:ind w:firstLine="850"/>
        <w:jc w:val="both"/>
      </w:pPr>
      <w:r>
        <w:rPr>
          <w:rFonts w:ascii="Arial" w:hAnsi="Arial"/>
          <w:b w:val="0"/>
          <w:i w:val="0"/>
          <w:sz w:val="24"/>
        </w:rPr>
        <w:t>Na América Latina, a expansão chilena de salas cuna entre 2014 e 2018 garantiu acesso às famílias dos 60% mais vulneráveis (CHILE, 2024), e o Plan CAIF uruguaio dirige a abertura de centros por diagnóstico territorial de vulnerabilidade (URUGUAI, 2018): em ambos, o critério de localização é explícito.</w:t>
      </w:r>
    </w:p>
    <w:p>
      <w:pPr>
        <w:keepNext/>
        <w:spacing w:before="120" w:after="120" w:line="360" w:lineRule="auto"/>
        <w:ind w:firstLine="0"/>
        <w:jc w:val="left"/>
      </w:pPr>
      <w:r>
        <w:rPr>
          <w:rFonts w:ascii="Arial" w:hAnsi="Arial"/>
          <w:b/>
          <w:sz w:val="24"/>
        </w:rPr>
        <w:t>2.2 Responsabilidade federativa e marco legal brasileiro</w:t>
      </w:r>
    </w:p>
    <w:p>
      <w:pPr>
        <w:keepNext w:val="0"/>
        <w:spacing w:line="360" w:lineRule="auto" w:after="0" w:before="0"/>
        <w:ind w:firstLine="850"/>
        <w:jc w:val="both"/>
      </w:pPr>
      <w:r>
        <w:rPr>
          <w:rFonts w:ascii="Arial" w:hAnsi="Arial"/>
          <w:b w:val="0"/>
          <w:i w:val="0"/>
          <w:sz w:val="24"/>
        </w:rPr>
        <w:t>A Constituição define o dever e reparte a competência. O art. 208, IV, garante "educação infantil, em creche e pré-escola, às crianças até 5 (cinco) anos de idade" (BRASIL, 1988), e o art. 211 organiza a oferta em regime de colaboração:</w:t>
      </w:r>
    </w:p>
    <w:p>
      <w:pPr>
        <w:spacing w:line="240" w:lineRule="auto" w:before="120" w:after="120"/>
        <w:ind w:firstLine="0" w:left="2268"/>
        <w:jc w:val="both"/>
      </w:pPr>
      <w:r>
        <w:rPr>
          <w:rFonts w:ascii="Arial" w:hAnsi="Arial"/>
          <w:b w:val="0"/>
          <w:i w:val="0"/>
          <w:sz w:val="20"/>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pPr>
        <w:keepNext w:val="0"/>
        <w:spacing w:line="360" w:lineRule="auto" w:after="0" w:before="0"/>
        <w:ind w:firstLine="850"/>
        <w:jc w:val="both"/>
      </w:pPr>
      <w:r>
        <w:rPr>
          <w:rFonts w:ascii="Arial" w:hAnsi="Arial"/>
          <w:b w:val="0"/>
          <w:i w:val="0"/>
          <w:sz w:val="24"/>
        </w:rPr>
        <w:t>A oferta é prioritariamente municipal (art. 11, V, da Lei de Diretrizes e Bases), mas a garantia do direito é dever do Estado em sentido amplo, e o art. 30, VI, prevê programas municipais de educação infantil "com a cooperação técnica e financeira da União e do Estado" (BRASIL, 1988, 1996). O Supremo Tribunal Federal fixou a exigibilidade em 2022:</w:t>
      </w:r>
    </w:p>
    <w:p>
      <w:pPr>
        <w:spacing w:line="240" w:lineRule="auto" w:before="120" w:after="120"/>
        <w:ind w:firstLine="0" w:left="2268"/>
        <w:jc w:val="both"/>
      </w:pPr>
      <w:r>
        <w:rPr>
          <w:rFonts w:ascii="Arial" w:hAnsi="Arial"/>
          <w:b w:val="0"/>
          <w:i w:val="0"/>
          <w:sz w:val="20"/>
        </w:rPr>
        <w:t>1. A educação básica em todas as suas fases – educação infantil, ensino fundamental e ensino médio – constitui direito fundamental de todas as crianças e jovens, assegurado por normas constitucionais de eficácia plena e aplicabilidade direta e imediata. 2. A educação infantil compreende creche (de zero a 3 anos) e a pré-escola (de 4 a 5 anos). Sua oferta pelo Poder Público pode ser exigida individualmente, como no caso examinado neste processo. 3. O Poder Público tem o dever jurídico de dar efetividade integral às normas constitucionais sobre acesso à educação básica (BRASIL, 2022).</w:t>
      </w:r>
    </w:p>
    <w:p>
      <w:pPr>
        <w:keepNext w:val="0"/>
        <w:spacing w:line="360" w:lineRule="auto" w:after="0" w:before="0"/>
        <w:ind w:firstLine="850"/>
        <w:jc w:val="both"/>
      </w:pPr>
      <w:r>
        <w:rPr>
          <w:rFonts w:ascii="Arial" w:hAnsi="Arial"/>
          <w:b w:val="0"/>
          <w:i w:val="0"/>
          <w:sz w:val="24"/>
        </w:rPr>
        <w:t>O Plano Nacional de Educação fixou como Meta 1 atender, até 2024, no mínimo 50% das crianças de até três anos em creche (BRASIL, 2014), meta replicada pelo Plano Estadual de Educação do Paraná (PARANÁ, 2015). O Marco Legal da Primeira Infância exige articulação entre setores e níveis de governo (BRASIL, 2016), e o Fundeb financia o custeio com ponderação maior para a creche pública, 1,30 em tempo integral e 1,20 em tempo parcial em 2022 (BRASIL, 2020). O que falta a esse arranjo é o capital: a construção de unidades novas depende de transferências voluntárias ou de programas específicos, e o Proinfância mostra o custo de transferir recursos sem assistência técnica proporcional à capacidade dos municípios menores. De 8.824 obras pactuadas entre 2007 e 2017, 3.482 foram concluídas e 1.478 estavam em funcionamento, com mais de 90% dos problemas em municípios com menos de 50 mil habitantes (BRASIL, 2017; MELO; GOMES, 2022).</w:t>
      </w:r>
    </w:p>
    <w:p>
      <w:pPr>
        <w:keepNext w:val="0"/>
        <w:spacing w:line="360" w:lineRule="auto" w:after="0" w:before="0"/>
        <w:ind w:firstLine="850"/>
        <w:jc w:val="both"/>
      </w:pPr>
      <w:r>
        <w:rPr>
          <w:rFonts w:ascii="Arial" w:hAnsi="Arial"/>
          <w:b w:val="0"/>
          <w:i w:val="0"/>
          <w:sz w:val="24"/>
        </w:rPr>
        <w:t>Esse é o espaço em que um governo estadual atua. A competência é comum e o regime é de colaboração; o Estado dispõe de escala fiscal e de capacidade técnica que a maioria dos municípios não tem; e o descumprimento da Meta 1 é generalizado: em 2019, 85,6% dos municípios brasileiros estavam abaixo de 50% de atendimento, com média de 42,6% na região Sul (COUTO; SOUSA, 2024). Arretche (2012) e Abrucio e Franzese (2007) mostram que regras de rateio e critérios de adesão são o instrumento pelo qual o ente financiador coordena políticas executadas por outro nível de governo, e Souza (2005) aponta a assimetria entre atribuições municipais e capacidade fiscal. Um critério de alocação explícito é, nesse quadro, uma peça de coordenação federativa.</w:t>
      </w:r>
    </w:p>
    <w:p>
      <w:pPr>
        <w:keepNext/>
        <w:spacing w:before="240" w:after="120" w:line="360" w:lineRule="auto"/>
        <w:ind w:firstLine="0"/>
        <w:jc w:val="left"/>
      </w:pPr>
      <w:r>
        <w:rPr>
          <w:rFonts w:ascii="Arial" w:hAnsi="Arial"/>
          <w:b/>
          <w:sz w:val="24"/>
        </w:rPr>
        <w:t>3 O PROGRAMA INFÂNCIA FELIZ PARANÁ</w:t>
      </w:r>
    </w:p>
    <w:p>
      <w:pPr>
        <w:keepNext/>
        <w:spacing w:before="120" w:after="120" w:line="360" w:lineRule="auto"/>
        <w:ind w:firstLine="0"/>
        <w:jc w:val="left"/>
      </w:pPr>
      <w:r>
        <w:rPr>
          <w:rFonts w:ascii="Arial" w:hAnsi="Arial"/>
          <w:b/>
          <w:sz w:val="24"/>
        </w:rPr>
        <w:t>3.1 Base legal, orçamentária e institucional</w:t>
      </w:r>
    </w:p>
    <w:p>
      <w:pPr>
        <w:keepNext w:val="0"/>
        <w:spacing w:line="360" w:lineRule="auto" w:after="0" w:before="0"/>
        <w:ind w:firstLine="850"/>
        <w:jc w:val="both"/>
      </w:pPr>
      <w:r>
        <w:rPr>
          <w:rFonts w:ascii="Arial" w:hAnsi="Arial"/>
          <w:b w:val="0"/>
          <w:i w:val="0"/>
          <w:sz w:val="24"/>
        </w:rPr>
        <w:t>O programa foi instituído pela Lei Estadual nº 21.870, de 19 de dezembro de 2023, originada de projeto do Poder Executivo, com três objetivos: construir creches para crianças de zero a três anos em situação de vulnerabilidade social e assistidas por programas de transferência de renda; celebrar termos de cooperação com os municípios interessados que cumpram critérios definidos por ato do Executivo; e operacionalizar a transferência fundo a fundo (PARANÁ, 2023a). A previsão de médio prazo consta do Plano Plurianual 2024-2027 (Lei Estadual nº 21.861/2023): a entrega 4670 da ação 7010 do programa Paraná que Cuida, da Secretaria de Estado do Desenvolvimento Social e Família (SEDEF), prevê repasses para "instalação de creches sustentáveis" a 72 municípios por ano entre 2024 e 2026, com vínculo aos ODS 3, 4, 10 e 16 (PARANÁ, 2023b).</w:t>
      </w:r>
    </w:p>
    <w:p>
      <w:pPr>
        <w:keepNext w:val="0"/>
        <w:spacing w:line="360" w:lineRule="auto" w:after="0" w:before="0"/>
        <w:ind w:firstLine="850"/>
        <w:jc w:val="both"/>
      </w:pPr>
      <w:r>
        <w:rPr>
          <w:rFonts w:ascii="Arial" w:hAnsi="Arial"/>
          <w:b w:val="0"/>
          <w:i w:val="0"/>
          <w:sz w:val="24"/>
        </w:rPr>
        <w:t>A Figura 1 sintetiza o arranjo institucional. O critério de alocação foi construído pela Casa Civil a partir de estudo prévio do Ipardes. O Conselho Estadual dos Direitos da Criança e do Adolescente (CEDCA/PR), colegiado paritário e gestor das prioridades do Fundo Estadual para a Infância e Adolescência (FIA/PR), aprovou em dezembro de 2023 o aporte de R$ 70,95 milhões do fundo para 43 unidades e determinou que a seleção considerasse porte, crianças de zero a três anos, fila de espera, indicadores de gestão e sociais e recursos municipais no fundo (CEDCA, 2023); em maio de 2024 aprovou o projeto padrão de 456,86 m² a R$ 1,30 milhão por unidade, o estudo e o ranqueamento dos municípios (CEDCA, 2024). A SEDEF, gestora do FIA/PR, regulamentou o incentivo (Resolução nº 212/2024) e publicou os critérios e a lista de elegíveis (Resolução nº 219/2024), linha de base documental deste artigo (PARANÁ, 2024a, 2024c). O Paranacidade elaborou o orçamento de referência e, desde 2025, analisa projetos, autoriza licitações e vistoria obras (PARANÁ, 2025a). Os recursos vieram do Tesouro estadual, em complementação ao FIA, e da devolução de duodécimo pela Assembleia Legislativa, de R$ 100 milhões em 2024.</w:t>
      </w:r>
    </w:p>
    <w:p>
      <w:pPr>
        <w:keepNext/>
        <w:spacing w:line="240" w:lineRule="auto" w:after="60" w:before="160"/>
        <w:ind w:firstLine="0"/>
        <w:jc w:val="left"/>
      </w:pPr>
      <w:r>
        <w:rPr>
          <w:rFonts w:ascii="Arial" w:hAnsi="Arial"/>
          <w:b w:val="0"/>
          <w:i w:val="0"/>
          <w:sz w:val="22"/>
        </w:rPr>
        <w:t>Figura 1. Arranjo institucional e financeiro do Programa Infância Feliz Paraná</w:t>
      </w:r>
    </w:p>
    <w:p>
      <w:pPr>
        <w:keepNext/>
        <w:spacing w:after="40"/>
        <w:ind w:firstLine="0"/>
        <w:jc w:val="center"/>
      </w:pPr>
      <w:r>
        <w:drawing>
          <wp:inline xmlns:a="http://schemas.openxmlformats.org/drawingml/2006/main" xmlns:pic="http://schemas.openxmlformats.org/drawingml/2006/picture">
            <wp:extent cx="4680000" cy="2907320"/>
            <wp:docPr id="1" name="Picture 1"/>
            <wp:cNvGraphicFramePr>
              <a:graphicFrameLocks noChangeAspect="1"/>
            </wp:cNvGraphicFramePr>
            <a:graphic>
              <a:graphicData uri="http://schemas.openxmlformats.org/drawingml/2006/picture">
                <pic:pic>
                  <pic:nvPicPr>
                    <pic:cNvPr id="0" name="figura_institucional.png"/>
                    <pic:cNvPicPr/>
                  </pic:nvPicPr>
                  <pic:blipFill>
                    <a:blip r:embed="rId10"/>
                    <a:stretch>
                      <a:fillRect/>
                    </a:stretch>
                  </pic:blipFill>
                  <pic:spPr>
                    <a:xfrm>
                      <a:off x="0" y="0"/>
                      <a:ext cx="4680000" cy="2907320"/>
                    </a:xfrm>
                    <a:prstGeom prst="rect"/>
                  </pic:spPr>
                </pic:pic>
              </a:graphicData>
            </a:graphic>
          </wp:inline>
        </w:drawing>
      </w:r>
    </w:p>
    <w:p>
      <w:pPr>
        <w:keepNext w:val="0"/>
        <w:spacing w:line="240" w:lineRule="auto" w:after="120" w:before="0"/>
        <w:ind w:firstLine="0"/>
        <w:jc w:val="left"/>
      </w:pPr>
      <w:r>
        <w:rPr>
          <w:rFonts w:ascii="Arial" w:hAnsi="Arial"/>
          <w:b w:val="0"/>
          <w:i w:val="0"/>
          <w:sz w:val="20"/>
        </w:rPr>
        <w:t>Fonte: Elaboração própria a partir de Paraná (2023a, 2024a, 2024c, 2025a) e CEDCA (2023, 2024).</w:t>
      </w:r>
    </w:p>
    <w:p>
      <w:pPr>
        <w:keepNext/>
        <w:spacing w:before="120" w:after="120" w:line="360" w:lineRule="auto"/>
        <w:ind w:firstLine="0"/>
        <w:jc w:val="left"/>
      </w:pPr>
      <w:r>
        <w:rPr>
          <w:rFonts w:ascii="Arial" w:hAnsi="Arial"/>
          <w:b/>
          <w:sz w:val="24"/>
        </w:rPr>
        <w:t>3.2 Modalidade de financiamento e dimensão fiscal</w:t>
      </w:r>
    </w:p>
    <w:p>
      <w:pPr>
        <w:keepNext w:val="0"/>
        <w:spacing w:line="360" w:lineRule="auto" w:after="0" w:before="0"/>
        <w:ind w:firstLine="850"/>
        <w:jc w:val="both"/>
      </w:pPr>
      <w:r>
        <w:rPr>
          <w:rFonts w:ascii="Arial" w:hAnsi="Arial"/>
          <w:b w:val="0"/>
          <w:i w:val="0"/>
          <w:sz w:val="24"/>
        </w:rPr>
        <w:t>O programa não usa convênio nem operação de crédito. O instrumento é o incentivo financeiro fundo a fundo, previsto na Lei Estadual nº 19.173/2017 e no Decreto Estadual nº 10.455/2014, que regulamenta a transferência automática do FIA/PR aos fundos municipais da criança e do adolescente. O art. 1º da Resolução SEDEF nº 212/2024 define o objeto:</w:t>
      </w:r>
    </w:p>
    <w:p>
      <w:pPr>
        <w:spacing w:line="240" w:lineRule="auto" w:before="120" w:after="120"/>
        <w:ind w:firstLine="0" w:left="2268"/>
        <w:jc w:val="both"/>
      </w:pPr>
      <w:r>
        <w:rPr>
          <w:rFonts w:ascii="Arial" w:hAnsi="Arial"/>
          <w:b w:val="0"/>
          <w:i w:val="0"/>
          <w:sz w:val="20"/>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pPr>
        <w:keepNext w:val="0"/>
        <w:spacing w:line="360" w:lineRule="auto" w:after="0" w:before="0"/>
        <w:ind w:firstLine="850"/>
        <w:jc w:val="both"/>
      </w:pPr>
      <w:r>
        <w:rPr>
          <w:rFonts w:ascii="Arial" w:hAnsi="Arial"/>
          <w:b w:val="0"/>
          <w:i w:val="0"/>
          <w:sz w:val="24"/>
        </w:rPr>
        <w:t>A adesão se formaliza por termo assinado pelo prefeito e pelo fundo municipal, após aprovação do conselho municipal de direitos, com terreno próprio de 1.200 m². O repasse ocorre em cinco parcelas: 10% na habilitação, 20% na aprovação do projeto de implantação e três parcelas iguais após vistoria de 40%, 70% e 100% da obra. O teto por unidade foi de R$ 1.304.792,16 em 2024 e de R$ 1.994.362,02 a partir de 2025 (PARANÁ, 2024c, 2025a). A dimensão fiscal municipal aparece em três obrigações: o custo que exceder o teto, incluídos aditivos, é do município; a obra deve ser concluída em 36 meses, sob pena de restituição; e o custeio posterior é municipal, financiado pelo Fundeb e por receitas próprias. O desenho transfere capital com condicionalidade de execução e deixa ao município a operação, o que reproduz a divisão constitucional de responsabilidades e responde às lições do Proinfância com projeto padrão, orçamento de referência, ente técnico estadual e liberação por marco físico.</w:t>
      </w:r>
    </w:p>
    <w:p>
      <w:pPr>
        <w:keepNext/>
        <w:spacing w:before="120" w:after="120" w:line="360" w:lineRule="auto"/>
        <w:ind w:firstLine="0"/>
        <w:jc w:val="left"/>
      </w:pPr>
      <w:r>
        <w:rPr>
          <w:rFonts w:ascii="Arial" w:hAnsi="Arial"/>
          <w:b/>
          <w:sz w:val="24"/>
        </w:rPr>
        <w:t>3.3 Contexto de cobertura e déficit</w:t>
      </w:r>
    </w:p>
    <w:p>
      <w:pPr>
        <w:keepNext w:val="0"/>
        <w:spacing w:line="360" w:lineRule="auto" w:after="0" w:before="0"/>
        <w:ind w:firstLine="850"/>
        <w:jc w:val="both"/>
      </w:pPr>
      <w:r>
        <w:rPr>
          <w:rFonts w:ascii="Arial" w:hAnsi="Arial"/>
          <w:b w:val="0"/>
          <w:i w:val="0"/>
          <w:sz w:val="24"/>
        </w:rPr>
        <w:t>O Brasil chegou a 2024 com 39,8% das crianças de zero a três anos em creche, segundo a PNAD Contínua, ou 41,2% na reponderação de Todos pela Educação, contra a meta de 50%; a taxa era de 30,6% entre os 20% mais pobres e de 60,0% entre os 20% mais ricos. A região Sul registrou 44,4%, e o Paraná, 42,0% (IBGE, 2025; TODOS PELA EDUCAÇÃO, 2025). A demanda manifesta aparece nas filas: a Defensoria Pública do Estado contou 65 mil crianças à espera de vaga em 243 municípios em 2023 e 52 mil em 280 municípios em 2024 (PARANÁ, 2024d); no país, 826 mil solicitações não atendidas em 2025 (BRASIL, 2025).</w:t>
      </w:r>
    </w:p>
    <w:p>
      <w:pPr>
        <w:keepNext w:val="0"/>
        <w:spacing w:line="360" w:lineRule="auto" w:after="0" w:before="0"/>
        <w:ind w:firstLine="850"/>
        <w:jc w:val="both"/>
      </w:pPr>
      <w:r>
        <w:rPr>
          <w:rFonts w:ascii="Arial" w:hAnsi="Arial"/>
          <w:b w:val="0"/>
          <w:i w:val="0"/>
          <w:sz w:val="24"/>
        </w:rPr>
        <w:t>A Tabela 1 traz o retrato municipal usado no estudo, com a cobertura definida como matrículas em creche de 2023 por criança de zero a quatro anos em 2022: 698 mil crianças, 185 mil matrículas, cobertura de 26,5%, e 42% dos estabelecimentos privados. A cobertura cresce à medida que o porte diminui, de 20,9% em Curitiba a 41,8% nos municípios com até cinco mil habitantes, o que explica por que o pilar educacional do índice tende a favorecer os municípios maiores enquanto o socioeconômico atua no sentido oposto.</w:t>
      </w:r>
    </w:p>
    <w:p>
      <w:pPr>
        <w:keepNext/>
        <w:spacing w:line="240" w:lineRule="auto" w:after="60" w:before="160"/>
        <w:ind w:firstLine="0"/>
        <w:jc w:val="left"/>
      </w:pPr>
      <w:r>
        <w:rPr>
          <w:rFonts w:ascii="Arial" w:hAnsi="Arial"/>
          <w:b w:val="0"/>
          <w:i w:val="0"/>
          <w:sz w:val="22"/>
        </w:rPr>
        <w:t>Tabela 1. Municípios, população-alvo, cobertura de creche, fatores e PCM, por porte populacional</w:t>
      </w:r>
    </w:p>
    <w:tbl>
      <w:tblPr>
        <w:jc w:val="center"/>
        <w:tblLayout w:type="fixed"/>
        <w:tblLook w:firstColumn="1" w:firstRow="1" w:lastColumn="0" w:lastRow="0" w:noHBand="0" w:noVBand="1" w:val="04A0"/>
        <w:tblLayout w:type="fixed"/>
        <w:tblW w:w="9070" w:type="dxa"/>
      </w:tblPr>
      <w:tblGrid>
        <w:gridCol w:w="2154"/>
        <w:gridCol w:w="769"/>
        <w:gridCol w:w="769"/>
        <w:gridCol w:w="769"/>
        <w:gridCol w:w="769"/>
        <w:gridCol w:w="769"/>
        <w:gridCol w:w="769"/>
        <w:gridCol w:w="769"/>
        <w:gridCol w:w="769"/>
        <w:gridCol w:w="769"/>
      </w:tblGrid>
      <w:tr>
        <w:trPr>
          <w:cantSplit/>
          <w:tblHeader/>
        </w:trPr>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População 0–4 (%)</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Cobertura de creche (%)</w:t>
            </w:r>
          </w:p>
        </w:tc>
        <w:tc>
          <w:tcPr>
            <w:tcW w:type="dxa" w:w="2721"/>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Fatores (média)</w:t>
            </w:r>
          </w:p>
        </w:tc>
        <w:tc>
          <w:tcPr>
            <w:tcW w:type="dxa" w:w="2721"/>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PCM</w:t>
            </w:r>
          </w:p>
        </w:tc>
      </w:tr>
      <w:tr>
        <w:trPr>
          <w:cantSplit/>
          <w:tblHeader/>
        </w:trPr>
        <w:tc>
          <w:tcPr>
            <w:tcW w:type="dxa" w:w="907"/>
            <w:vMerge/>
          </w:tcPr>
          <w:p/>
        </w:tc>
        <w:tc>
          <w:tcPr>
            <w:tcW w:type="dxa" w:w="907"/>
            <w:vMerge/>
          </w:tcPr>
          <w:p/>
        </w:tc>
        <w:tc>
          <w:tcPr>
            <w:tcW w:type="dxa" w:w="907"/>
            <w:vMerge/>
          </w:tcPr>
          <w:p/>
        </w:tc>
        <w:tc>
          <w:tcPr>
            <w:tcW w:type="dxa" w:w="907"/>
            <w:vMerge/>
          </w:tcP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FE</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FD</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FS</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Média</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Mínimo</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Máximo</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65,9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0,434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0,310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0,515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0,329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0,666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0,415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0,344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0,535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0,498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0,275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46,9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0,789</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26,5</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55,1</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46,1</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41,8</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0,480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0,240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0,789</w:t>
            </w:r>
          </w:p>
        </w:tc>
      </w:tr>
    </w:tbl>
    <w:p>
      <w:pPr>
        <w:keepNext w:val="0"/>
        <w:spacing w:line="240" w:lineRule="auto" w:after="0" w:before="60"/>
        <w:ind w:firstLine="0"/>
        <w:jc w:val="left"/>
      </w:pPr>
      <w:r>
        <w:rPr>
          <w:rFonts w:ascii="Arial" w:hAnsi="Arial"/>
          <w:b w:val="0"/>
          <w:i w:val="0"/>
          <w:sz w:val="20"/>
        </w:rPr>
        <w:t>Fonte: Elaboração própria a partir de IBGE (2023a), Inep (2024) e das planilhas do estudo.</w:t>
      </w:r>
    </w:p>
    <w:p>
      <w:pPr>
        <w:keepNext w:val="0"/>
        <w:spacing w:line="240" w:lineRule="auto" w:after="120" w:before="0"/>
        <w:ind w:firstLine="0"/>
        <w:jc w:val="left"/>
      </w:pPr>
      <w:r>
        <w:rPr>
          <w:rFonts w:ascii="Arial" w:hAnsi="Arial"/>
          <w:b w:val="0"/>
          <w:i w:val="0"/>
          <w:sz w:val="20"/>
        </w:rPr>
        <w:t>Nota: Cobertura de creche: matrículas em creche em 2023 por criança de 0 a 4 anos em 2022. Fatores em escala de 0 a 100; PCM entre 0 e 1.</w:t>
      </w:r>
    </w:p>
    <w:p>
      <w:pPr>
        <w:keepNext w:val="0"/>
        <w:spacing w:line="360" w:lineRule="auto" w:after="0" w:before="0"/>
        <w:ind w:firstLine="850"/>
        <w:jc w:val="both"/>
      </w:pPr>
      <w:r>
        <w:rPr>
          <w:rFonts w:ascii="Arial" w:hAnsi="Arial"/>
          <w:b w:val="0"/>
          <w:i w:val="0"/>
          <w:sz w:val="24"/>
        </w:rPr>
        <w:t>O Quadro 1 situa o desenho paranaense entre programas de construção de creches. Três decisões variam entre os casos: quem executa (o município, com financiamento do ente superior, ou o próprio estado), como o recurso chega (transferência voluntária, seleção pública ou fundo a fundo) e como se escolhe onde construir (adesão por demanda ou critério de necessidade). O Novo PAC adotou em 2023 um critério composto de déficit em relação à Meta 1, nível socioeconômico e capacidade financeira, próximo da lógica do PCM.</w:t>
      </w:r>
    </w:p>
    <w:p>
      <w:pPr>
        <w:keepNext/>
        <w:spacing w:line="240" w:lineRule="auto" w:after="60" w:before="160"/>
        <w:ind w:firstLine="0"/>
        <w:jc w:val="left"/>
      </w:pPr>
      <w:r>
        <w:rPr>
          <w:rFonts w:ascii="Arial" w:hAnsi="Arial"/>
          <w:b w:val="0"/>
          <w:i w:val="0"/>
          <w:sz w:val="22"/>
        </w:rPr>
        <w:t>Quadro 1. Programas de construção de creches: financiamento, critério de alocação e escala</w:t>
      </w:r>
    </w:p>
    <w:tbl>
      <w:tblPr>
        <w:jc w:val="center"/>
        <w:tblLayout w:type="fixed"/>
        <w:tblLook w:firstColumn="1" w:firstRow="1" w:lastColumn="0" w:lastRow="0" w:noHBand="0" w:noVBand="1" w:val="04A0"/>
        <w:tblLayout w:type="fixed"/>
        <w:tblW w:w="9070" w:type="dxa"/>
      </w:tblPr>
      <w:tblGrid>
        <w:gridCol w:w="1701"/>
        <w:gridCol w:w="1474"/>
        <w:gridCol w:w="2268"/>
        <w:gridCol w:w="3628"/>
      </w:tblGrid>
      <w:tr>
        <w:trPr>
          <w:cantSplit/>
          <w:tblHeader/>
        </w:trPr>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Programa (ente, período)</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Financiamento e execução</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 de alocação entre municípios</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Escala e resultados documentados</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Proinfância (União, FNDE, desde 2007)</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Assistência financeira ao município no âmbito do PAR; projeto padrão do FNDE; município licita e executa</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Adesão por demanda municipal, sem ordenação explícita por necessidade</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8.824 obras pactuadas até 2017, 3.482 concluídas e 1.478 em funcionamento</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Novo PAC, creches e pré-escolas (União, 2023 e 2025)</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Seleção pública; transferência ao município; projeto padrão; execução municipal</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Déficit em relação à Meta 1 do PNE, indicador sintético do FNDE, nível socioeconômico (Inse), capacidade financeira (VAAT) e terreno</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1.000 unidades e R$ 3,25 bilhões em 2023; 500 unidades e R$ 2,3 bilhões em 2025</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Creche Escola (São Paulo, Decreto 57.367/2011)</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financia obra e mobiliário por meio da FDE, com projeto padrão; município cede terreno, licita, executa e mantém</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Vulnerabilidade social e déficit de vagas apurados pela Secretaria de Desenvolvimento Social e pela Seade</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92 unidades e 12,3 mil vagas entre 2023 e 2026</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Mais Infância Ceará (Ceará, desde 2015; Lei 17.380/2021)</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constrói os Centros de Educação Infantil e os entrega aos municípios; política intersetorial permanente</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Prioridade a municípios em extrema vulnerabilidade, por IDH e renda per capita (art. 21)</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56 unidades em construção em 2019; 42 autorizadas em 2023</w:t>
            </w:r>
          </w:p>
        </w:tc>
      </w:tr>
      <w:tr>
        <w:trPr>
          <w:cantSplit/>
        </w:trPr>
        <w:tc>
          <w:tcPr>
            <w:tcW w:type="dxa" w:w="1701"/>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Infância Feliz Paraná (Paraná, desde 2023)</w:t>
            </w:r>
          </w:p>
        </w:tc>
        <w:tc>
          <w:tcPr>
            <w:tcW w:type="dxa" w:w="147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Incentivo fundo a fundo (FIA/PR aos fundos municipais) por termo de adesão, em cinco parcelas; projeto padrão; execução municipal</w:t>
            </w:r>
          </w:p>
        </w:tc>
        <w:tc>
          <w:tcPr>
            <w:tcW w:type="dxa" w:w="2268"/>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Indicador composto (PCM) com três pilares e faixas de porte; etapa prévia com índice do Ipardes; lista pública com substituição do desistente</w:t>
            </w:r>
          </w:p>
        </w:tc>
        <w:tc>
          <w:tcPr>
            <w:tcW w:type="dxa" w:w="3628"/>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303 unidades em 261 municípios (2024); segunda etapa em 2025; 110 obras em maio de 2026</w:t>
            </w:r>
          </w:p>
        </w:tc>
      </w:tr>
    </w:tbl>
    <w:p>
      <w:pPr>
        <w:keepNext w:val="0"/>
        <w:spacing w:line="240" w:lineRule="auto" w:after="120" w:before="60"/>
        <w:ind w:firstLine="0"/>
        <w:jc w:val="left"/>
      </w:pPr>
      <w:r>
        <w:rPr>
          <w:rFonts w:ascii="Arial" w:hAnsi="Arial"/>
          <w:b w:val="0"/>
          <w:i w:val="0"/>
          <w:sz w:val="20"/>
        </w:rPr>
        <w:t>Fonte: Elaboração própria a partir de Brasil (2017, 2023), Melo e Gomes (2022), Perea e Ramos (2022), Ceará (2021), Chile (2024), Uruguai (2018) e Paraná (2024a, 2025a, 2026).</w:t>
      </w:r>
    </w:p>
    <w:p>
      <w:pPr>
        <w:keepNext/>
        <w:spacing w:before="240" w:after="120" w:line="360" w:lineRule="auto"/>
        <w:ind w:firstLine="0"/>
        <w:jc w:val="left"/>
      </w:pPr>
      <w:r>
        <w:rPr>
          <w:rFonts w:ascii="Arial" w:hAnsi="Arial"/>
          <w:b/>
          <w:sz w:val="24"/>
        </w:rPr>
        <w:t>4 O POTENCIAL DE CRECHE POR MUNICÍPIO</w:t>
      </w:r>
    </w:p>
    <w:p>
      <w:pPr>
        <w:keepNext/>
        <w:spacing w:before="120" w:after="120" w:line="360" w:lineRule="auto"/>
        <w:ind w:firstLine="0"/>
        <w:jc w:val="left"/>
      </w:pPr>
      <w:r>
        <w:rPr>
          <w:rFonts w:ascii="Arial" w:hAnsi="Arial"/>
          <w:b/>
          <w:sz w:val="24"/>
        </w:rPr>
        <w:t>4.1 Pilares e indicadores</w:t>
      </w:r>
    </w:p>
    <w:p>
      <w:pPr>
        <w:keepNext w:val="0"/>
        <w:spacing w:line="360" w:lineRule="auto" w:after="0" w:before="0"/>
        <w:ind w:firstLine="850"/>
        <w:jc w:val="both"/>
      </w:pPr>
      <w:r>
        <w:rPr>
          <w:rFonts w:ascii="Arial" w:hAnsi="Arial"/>
          <w:b w:val="0"/>
          <w:i w:val="0"/>
          <w:sz w:val="24"/>
        </w:rPr>
        <w:t>A construção do índice partiu de uma definição operacional de necessidade com três dimensões, cada uma medida por três indicadores disponíveis para os 399 municípios em bases públicas e unidos pelo código do IBGE (Figura 2). O pilar educacional mede a oferta existente (matrículas em creche por criança de zero a quatro anos, matrículas em pré-escola e fundamental por criança de cinco a catorze anos e participação privada na oferta); o demográfico, a pressão da demanda (mortalidade infantil, proporção de crianças de zero a quatro anos e natalidade); o socioeconômico, a vulnerabilidade (peso abaixo do esperado para a idade, crianças no Cadastro Único e dimensão renda do IPDM). A Resolução SEDEF nº 219/2024 publicou os fatores e seus indicadores (PARANÁ, 2024a).</w:t>
      </w:r>
    </w:p>
    <w:p>
      <w:pPr>
        <w:keepNext/>
        <w:spacing w:line="240" w:lineRule="auto" w:after="60" w:before="160"/>
        <w:ind w:firstLine="0"/>
        <w:jc w:val="left"/>
      </w:pPr>
      <w:r>
        <w:rPr>
          <w:rFonts w:ascii="Arial" w:hAnsi="Arial"/>
          <w:b w:val="0"/>
          <w:i w:val="0"/>
          <w:sz w:val="22"/>
        </w:rPr>
        <w:t>Figura 2. Arquitetura do Potencial de Creche por Município</w:t>
      </w:r>
    </w:p>
    <w:p>
      <w:pPr>
        <w:keepNext/>
        <w:spacing w:after="40"/>
        <w:ind w:firstLine="0"/>
        <w:jc w:val="center"/>
      </w:pPr>
      <w:r>
        <w:drawing>
          <wp:inline xmlns:a="http://schemas.openxmlformats.org/drawingml/2006/main" xmlns:pic="http://schemas.openxmlformats.org/drawingml/2006/picture">
            <wp:extent cx="4680000" cy="3055044"/>
            <wp:docPr id="2" name="Picture 2"/>
            <wp:cNvGraphicFramePr>
              <a:graphicFrameLocks noChangeAspect="1"/>
            </wp:cNvGraphicFramePr>
            <a:graphic>
              <a:graphicData uri="http://schemas.openxmlformats.org/drawingml/2006/picture">
                <pic:pic>
                  <pic:nvPicPr>
                    <pic:cNvPr id="0" name="diagrama01_arquitetura_pcm.png"/>
                    <pic:cNvPicPr/>
                  </pic:nvPicPr>
                  <pic:blipFill>
                    <a:blip r:embed="rId11"/>
                    <a:stretch>
                      <a:fillRect/>
                    </a:stretch>
                  </pic:blipFill>
                  <pic:spPr>
                    <a:xfrm>
                      <a:off x="0" y="0"/>
                      <a:ext cx="4680000" cy="3055044"/>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das planilhas do estudo e de Paraná (2024a).</w:t>
      </w:r>
    </w:p>
    <w:p>
      <w:pPr>
        <w:keepNext w:val="0"/>
        <w:spacing w:line="240" w:lineRule="auto" w:after="120" w:before="0"/>
        <w:ind w:firstLine="0"/>
        <w:jc w:val="left"/>
      </w:pPr>
      <w:r>
        <w:rPr>
          <w:rFonts w:ascii="Arial" w:hAnsi="Arial"/>
          <w:b w:val="0"/>
          <w:i w:val="0"/>
          <w:sz w:val="20"/>
        </w:rPr>
        <w:t>Nota: Sentido inverso: quanto maior a cobertura, a oferta privada ou a renda, menor o escore. Fontes dos indicadores: Inep (2024), IBGE (2023a), Datasus (2022), Brasil (2024), Ipardes (2023, 2024).</w:t>
      </w:r>
    </w:p>
    <w:p>
      <w:pPr>
        <w:keepNext w:val="0"/>
        <w:spacing w:line="360" w:lineRule="auto" w:after="0" w:before="0"/>
        <w:ind w:firstLine="850"/>
        <w:jc w:val="both"/>
      </w:pPr>
      <w:r>
        <w:rPr>
          <w:rFonts w:ascii="Arial" w:hAnsi="Arial"/>
          <w:b w:val="0"/>
          <w:i w:val="0"/>
          <w:sz w:val="24"/>
        </w:rPr>
        <w:t>A escolha dos indicadores dialoga com o Índice de Necessidade de Creche (INC), construído para a Fundação Maria Cecilia Souto Vidigal a partir da PNAD Contínua. O INC estima a parcela de crianças de zero a três anos que precisa de creche por pertencer a famílias pobres, monoparentais ou com mães economicamente ativas; em 2019 o índice foi de 42,4% no Brasil e de 44,0% na região Sul, e, no Paraná, a frequência das crianças pobres correspondia a 28,8% da necessidade estimada, contra 86,6% entre filhos de mães economicamente ativas (FUNDAÇÃO MARIA CECILIA SOUTO VIDIGAL, 2021). O INC parte de amostra domiciliar e não se desagrega com precisão para municípios pequenos; o PCM usa registros administrativos de cobertura universal, o que permite ranquear os 399 municípios, e acrescenta à necessidade a oferta instalada, de modo que dois municípios com a mesma vulnerabilidade se distinguem pela cobertura existente. Proxies administrativos ganham em cobertura territorial e perdem em aderência conceitual (NARDO et al., 2008).</w:t>
      </w:r>
    </w:p>
    <w:p>
      <w:pPr>
        <w:keepNext/>
        <w:spacing w:before="120" w:after="120" w:line="360" w:lineRule="auto"/>
        <w:ind w:firstLine="0"/>
        <w:jc w:val="left"/>
      </w:pPr>
      <w:r>
        <w:rPr>
          <w:rFonts w:ascii="Arial" w:hAnsi="Arial"/>
          <w:b/>
          <w:sz w:val="24"/>
        </w:rPr>
        <w:t>4.2 Normalização, ponderação e agregação</w:t>
      </w:r>
    </w:p>
    <w:p>
      <w:pPr>
        <w:keepNext w:val="0"/>
        <w:spacing w:line="360" w:lineRule="auto" w:after="0" w:before="0"/>
        <w:ind w:firstLine="850"/>
        <w:jc w:val="both"/>
      </w:pPr>
      <w:r>
        <w:rPr>
          <w:rFonts w:ascii="Arial" w:hAnsi="Arial"/>
          <w:b w:val="0"/>
          <w:i w:val="0"/>
          <w:sz w:val="24"/>
        </w:rPr>
        <w:t>Cada indicador bruto foi convertido a uma escala de 0 a 100 pelo método mínimo-máximo, com os extremos dados pelos próprios 399 municípios. Para os indicadores em que um valor maior indica menor necessidade, a cobertura de creche, a oferta privada e a renda, a normalização é invertida:</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z</w:t>
      </w:r>
      <w:r>
        <w:rPr>
          <w:rFonts w:ascii="Arial" w:hAnsi="Arial"/>
          <w:sz w:val="22"/>
          <w:vertAlign w:val="subscript"/>
        </w:rPr>
        <w:t>k,i</w:t>
      </w:r>
      <w:r>
        <w:rPr>
          <w:rFonts w:ascii="Arial" w:hAnsi="Arial"/>
          <w:sz w:val="22"/>
        </w:rPr>
        <w:t xml:space="preserve"> = 100 · (x</w:t>
      </w:r>
      <w:r>
        <w:rPr>
          <w:rFonts w:ascii="Arial" w:hAnsi="Arial"/>
          <w:sz w:val="22"/>
          <w:vertAlign w:val="subscript"/>
        </w:rPr>
        <w:t>k,i</w:t>
      </w:r>
      <w:r>
        <w:rPr>
          <w:rFonts w:ascii="Arial" w:hAnsi="Arial"/>
          <w:sz w:val="22"/>
        </w:rPr>
        <w:t xml:space="preserve"> − min x</w:t>
      </w:r>
      <w:r>
        <w:rPr>
          <w:rFonts w:ascii="Arial" w:hAnsi="Arial"/>
          <w:sz w:val="22"/>
          <w:vertAlign w:val="subscript"/>
        </w:rPr>
        <w:t>k</w:t>
      </w:r>
      <w:r>
        <w:rPr>
          <w:rFonts w:ascii="Arial" w:hAnsi="Arial"/>
          <w:sz w:val="22"/>
        </w:rPr>
        <w:t>) / (max x</w:t>
      </w:r>
      <w:r>
        <w:rPr>
          <w:rFonts w:ascii="Arial" w:hAnsi="Arial"/>
          <w:sz w:val="22"/>
          <w:vertAlign w:val="subscript"/>
        </w:rPr>
        <w:t>k</w:t>
      </w:r>
      <w:r>
        <w:rPr>
          <w:rFonts w:ascii="Arial" w:hAnsi="Arial"/>
          <w:sz w:val="22"/>
        </w:rPr>
        <w:t xml:space="preserve"> − min x</w:t>
      </w:r>
      <w:r>
        <w:rPr>
          <w:rFonts w:ascii="Arial" w:hAnsi="Arial"/>
          <w:sz w:val="22"/>
          <w:vertAlign w:val="subscript"/>
        </w:rPr>
        <w:t>k</w:t>
      </w:r>
      <w:r>
        <w:rPr>
          <w:rFonts w:ascii="Arial" w:hAnsi="Arial"/>
          <w:sz w:val="22"/>
        </w:rPr>
        <w:t>)   e, no sentido inverso,   z</w:t>
      </w:r>
      <w:r>
        <w:rPr>
          <w:rFonts w:ascii="Arial" w:hAnsi="Arial"/>
          <w:sz w:val="22"/>
          <w:vertAlign w:val="subscript"/>
        </w:rPr>
        <w:t>k,i</w:t>
      </w:r>
      <w:r>
        <w:rPr>
          <w:rFonts w:ascii="Arial" w:hAnsi="Arial"/>
          <w:sz w:val="22"/>
        </w:rPr>
        <w:t xml:space="preserve"> = 100 · (max x</w:t>
      </w:r>
      <w:r>
        <w:rPr>
          <w:rFonts w:ascii="Arial" w:hAnsi="Arial"/>
          <w:sz w:val="22"/>
          <w:vertAlign w:val="subscript"/>
        </w:rPr>
        <w:t>k</w:t>
      </w:r>
      <w:r>
        <w:rPr>
          <w:rFonts w:ascii="Arial" w:hAnsi="Arial"/>
          <w:sz w:val="22"/>
        </w:rPr>
        <w:t xml:space="preserve"> − x</w:t>
      </w:r>
      <w:r>
        <w:rPr>
          <w:rFonts w:ascii="Arial" w:hAnsi="Arial"/>
          <w:sz w:val="22"/>
          <w:vertAlign w:val="subscript"/>
        </w:rPr>
        <w:t>k,i</w:t>
      </w:r>
      <w:r>
        <w:rPr>
          <w:rFonts w:ascii="Arial" w:hAnsi="Arial"/>
          <w:sz w:val="22"/>
        </w:rPr>
        <w:t>) / (max x</w:t>
      </w:r>
      <w:r>
        <w:rPr>
          <w:rFonts w:ascii="Arial" w:hAnsi="Arial"/>
          <w:sz w:val="22"/>
          <w:vertAlign w:val="subscript"/>
        </w:rPr>
        <w:t>k</w:t>
      </w:r>
      <w:r>
        <w:rPr>
          <w:rFonts w:ascii="Arial" w:hAnsi="Arial"/>
          <w:sz w:val="22"/>
        </w:rPr>
        <w:t xml:space="preserve"> − min x</w:t>
      </w:r>
      <w:r>
        <w:rPr>
          <w:rFonts w:ascii="Arial" w:hAnsi="Arial"/>
          <w:sz w:val="22"/>
          <w:vertAlign w:val="subscript"/>
        </w:rPr>
        <w:t>k</w:t>
      </w:r>
      <w:r>
        <w:rPr>
          <w:rFonts w:ascii="Arial" w:hAnsi="Arial"/>
          <w:sz w:val="22"/>
        </w:rPr>
        <w:t>)</w:t>
      </w:r>
      <w:r>
        <w:rPr>
          <w:rFonts w:ascii="Arial" w:hAnsi="Arial"/>
          <w:sz w:val="22"/>
        </w:rPr>
        <w:tab/>
        <w:t>(1)</w:t>
      </w:r>
    </w:p>
    <w:p>
      <w:pPr>
        <w:keepNext w:val="0"/>
        <w:spacing w:line="360" w:lineRule="auto" w:after="0" w:before="0"/>
        <w:ind w:firstLine="850"/>
        <w:jc w:val="both"/>
      </w:pPr>
      <w:r>
        <w:rPr>
          <w:rFonts w:ascii="Arial" w:hAnsi="Arial"/>
          <w:b w:val="0"/>
          <w:i w:val="0"/>
          <w:sz w:val="24"/>
        </w:rPr>
        <w:t>em que x_{k,i} é o valor do indicador k no município i. Os pilares são médias dos indicadores normalizados, reescalonadas de 0 a 100 pelo mesmo método. No pilar educacional a cobertura de creche recebe peso dobrado, porque é a variável que mede diretamente a lacuna de vagas; nos demais pilares os pesos são iguais:</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FE</w:t>
      </w:r>
      <w:r>
        <w:rPr>
          <w:rFonts w:ascii="Arial" w:hAnsi="Arial"/>
          <w:sz w:val="22"/>
          <w:vertAlign w:val="subscript"/>
        </w:rPr>
        <w:t>i</w:t>
      </w:r>
      <w:r>
        <w:rPr>
          <w:rFonts w:ascii="Arial" w:hAnsi="Arial"/>
          <w:sz w:val="22"/>
        </w:rPr>
        <w:t xml:space="preserve"> = mm[(2 · z</w:t>
      </w:r>
      <w:r>
        <w:rPr>
          <w:rFonts w:ascii="Arial" w:hAnsi="Arial"/>
          <w:sz w:val="22"/>
          <w:vertAlign w:val="subscript"/>
        </w:rPr>
        <w:t>creche,i</w:t>
      </w:r>
      <w:r>
        <w:rPr>
          <w:rFonts w:ascii="Arial" w:hAnsi="Arial"/>
          <w:sz w:val="22"/>
        </w:rPr>
        <w:t xml:space="preserve"> + z</w:t>
      </w:r>
      <w:r>
        <w:rPr>
          <w:rFonts w:ascii="Arial" w:hAnsi="Arial"/>
          <w:sz w:val="22"/>
          <w:vertAlign w:val="subscript"/>
        </w:rPr>
        <w:t>matrícula,i</w:t>
      </w:r>
      <w:r>
        <w:rPr>
          <w:rFonts w:ascii="Arial" w:hAnsi="Arial"/>
          <w:sz w:val="22"/>
        </w:rPr>
        <w:t xml:space="preserve"> + z</w:t>
      </w:r>
      <w:r>
        <w:rPr>
          <w:rFonts w:ascii="Arial" w:hAnsi="Arial"/>
          <w:sz w:val="22"/>
          <w:vertAlign w:val="subscript"/>
        </w:rPr>
        <w:t>privado,i</w:t>
      </w:r>
      <w:r>
        <w:rPr>
          <w:rFonts w:ascii="Arial" w:hAnsi="Arial"/>
          <w:sz w:val="22"/>
        </w:rPr>
        <w:t>) / 4]</w:t>
      </w:r>
      <w:r>
        <w:rPr>
          <w:rFonts w:ascii="Arial" w:hAnsi="Arial"/>
          <w:sz w:val="22"/>
        </w:rPr>
        <w:tab/>
        <w:t>(2)</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FD</w:t>
      </w:r>
      <w:r>
        <w:rPr>
          <w:rFonts w:ascii="Arial" w:hAnsi="Arial"/>
          <w:sz w:val="22"/>
          <w:vertAlign w:val="subscript"/>
        </w:rPr>
        <w:t>i</w:t>
      </w:r>
      <w:r>
        <w:rPr>
          <w:rFonts w:ascii="Arial" w:hAnsi="Arial"/>
          <w:sz w:val="22"/>
        </w:rPr>
        <w:t xml:space="preserve"> = mm[(z</w:t>
      </w:r>
      <w:r>
        <w:rPr>
          <w:rFonts w:ascii="Arial" w:hAnsi="Arial"/>
          <w:sz w:val="22"/>
          <w:vertAlign w:val="subscript"/>
        </w:rPr>
        <w:t>mortalidade,i</w:t>
      </w:r>
      <w:r>
        <w:rPr>
          <w:rFonts w:ascii="Arial" w:hAnsi="Arial"/>
          <w:sz w:val="22"/>
        </w:rPr>
        <w:t xml:space="preserve"> + z</w:t>
      </w:r>
      <w:r>
        <w:rPr>
          <w:rFonts w:ascii="Arial" w:hAnsi="Arial"/>
          <w:sz w:val="22"/>
          <w:vertAlign w:val="subscript"/>
        </w:rPr>
        <w:t>proporção 0–4,i</w:t>
      </w:r>
      <w:r>
        <w:rPr>
          <w:rFonts w:ascii="Arial" w:hAnsi="Arial"/>
          <w:sz w:val="22"/>
        </w:rPr>
        <w:t xml:space="preserve"> + z</w:t>
      </w:r>
      <w:r>
        <w:rPr>
          <w:rFonts w:ascii="Arial" w:hAnsi="Arial"/>
          <w:sz w:val="22"/>
          <w:vertAlign w:val="subscript"/>
        </w:rPr>
        <w:t>natalidade,i</w:t>
      </w:r>
      <w:r>
        <w:rPr>
          <w:rFonts w:ascii="Arial" w:hAnsi="Arial"/>
          <w:sz w:val="22"/>
        </w:rPr>
        <w:t>) / 3]</w:t>
      </w:r>
      <w:r>
        <w:rPr>
          <w:rFonts w:ascii="Arial" w:hAnsi="Arial"/>
          <w:sz w:val="22"/>
        </w:rPr>
        <w:tab/>
        <w:t>(3)</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FS</w:t>
      </w:r>
      <w:r>
        <w:rPr>
          <w:rFonts w:ascii="Arial" w:hAnsi="Arial"/>
          <w:sz w:val="22"/>
          <w:vertAlign w:val="subscript"/>
        </w:rPr>
        <w:t>i</w:t>
      </w:r>
      <w:r>
        <w:rPr>
          <w:rFonts w:ascii="Arial" w:hAnsi="Arial"/>
          <w:sz w:val="22"/>
        </w:rPr>
        <w:t xml:space="preserve"> = mm[(z</w:t>
      </w:r>
      <w:r>
        <w:rPr>
          <w:rFonts w:ascii="Arial" w:hAnsi="Arial"/>
          <w:sz w:val="22"/>
          <w:vertAlign w:val="subscript"/>
        </w:rPr>
        <w:t>IPDM renda,i</w:t>
      </w:r>
      <w:r>
        <w:rPr>
          <w:rFonts w:ascii="Arial" w:hAnsi="Arial"/>
          <w:sz w:val="22"/>
        </w:rPr>
        <w:t xml:space="preserve"> + z</w:t>
      </w:r>
      <w:r>
        <w:rPr>
          <w:rFonts w:ascii="Arial" w:hAnsi="Arial"/>
          <w:sz w:val="22"/>
          <w:vertAlign w:val="subscript"/>
        </w:rPr>
        <w:t>CadÚnico,i</w:t>
      </w:r>
      <w:r>
        <w:rPr>
          <w:rFonts w:ascii="Arial" w:hAnsi="Arial"/>
          <w:sz w:val="22"/>
        </w:rPr>
        <w:t xml:space="preserve"> + z</w:t>
      </w:r>
      <w:r>
        <w:rPr>
          <w:rFonts w:ascii="Arial" w:hAnsi="Arial"/>
          <w:sz w:val="22"/>
          <w:vertAlign w:val="subscript"/>
        </w:rPr>
        <w:t>desnutrição,i</w:t>
      </w:r>
      <w:r>
        <w:rPr>
          <w:rFonts w:ascii="Arial" w:hAnsi="Arial"/>
          <w:sz w:val="22"/>
        </w:rPr>
        <w:t>) / 3]</w:t>
      </w:r>
      <w:r>
        <w:rPr>
          <w:rFonts w:ascii="Arial" w:hAnsi="Arial"/>
          <w:sz w:val="22"/>
        </w:rPr>
        <w:tab/>
        <w:t>(4)</w:t>
      </w:r>
    </w:p>
    <w:p>
      <w:pPr>
        <w:keepNext w:val="0"/>
        <w:spacing w:line="360" w:lineRule="auto" w:after="0" w:before="0"/>
        <w:ind w:firstLine="850"/>
        <w:jc w:val="both"/>
      </w:pPr>
      <w:r>
        <w:rPr>
          <w:rFonts w:ascii="Arial" w:hAnsi="Arial"/>
          <w:b w:val="0"/>
          <w:i w:val="0"/>
          <w:sz w:val="24"/>
        </w:rPr>
        <w:t>em que mm[·] denota o reescalonamento mínimo-máximo de 0 a 100. O índice é a média ponderada dos três pilares, com peso dobrado para o educacional e o socioeconômico, dividida por 100 para variar entre 0 e 1:</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PCM</w:t>
      </w:r>
      <w:r>
        <w:rPr>
          <w:rFonts w:ascii="Arial" w:hAnsi="Arial"/>
          <w:sz w:val="22"/>
          <w:vertAlign w:val="subscript"/>
        </w:rPr>
        <w:t>i</w:t>
      </w:r>
      <w:r>
        <w:rPr>
          <w:rFonts w:ascii="Arial" w:hAnsi="Arial"/>
          <w:sz w:val="22"/>
        </w:rPr>
        <w:t xml:space="preserve"> = (2 · FE</w:t>
      </w:r>
      <w:r>
        <w:rPr>
          <w:rFonts w:ascii="Arial" w:hAnsi="Arial"/>
          <w:sz w:val="22"/>
          <w:vertAlign w:val="subscript"/>
        </w:rPr>
        <w:t>i</w:t>
      </w:r>
      <w:r>
        <w:rPr>
          <w:rFonts w:ascii="Arial" w:hAnsi="Arial"/>
          <w:sz w:val="22"/>
        </w:rPr>
        <w:t xml:space="preserve"> + FD</w:t>
      </w:r>
      <w:r>
        <w:rPr>
          <w:rFonts w:ascii="Arial" w:hAnsi="Arial"/>
          <w:sz w:val="22"/>
          <w:vertAlign w:val="subscript"/>
        </w:rPr>
        <w:t>i</w:t>
      </w:r>
      <w:r>
        <w:rPr>
          <w:rFonts w:ascii="Arial" w:hAnsi="Arial"/>
          <w:sz w:val="22"/>
        </w:rPr>
        <w:t xml:space="preserve"> + 2 · FS</w:t>
      </w:r>
      <w:r>
        <w:rPr>
          <w:rFonts w:ascii="Arial" w:hAnsi="Arial"/>
          <w:sz w:val="22"/>
          <w:vertAlign w:val="subscript"/>
        </w:rPr>
        <w:t>i</w:t>
      </w:r>
      <w:r>
        <w:rPr>
          <w:rFonts w:ascii="Arial" w:hAnsi="Arial"/>
          <w:sz w:val="22"/>
        </w:rPr>
        <w:t>) / 500</w:t>
      </w:r>
      <w:r>
        <w:rPr>
          <w:rFonts w:ascii="Arial" w:hAnsi="Arial"/>
          <w:sz w:val="22"/>
        </w:rPr>
        <w:tab/>
        <w:t>(5)</w:t>
      </w:r>
    </w:p>
    <w:p>
      <w:pPr>
        <w:keepNext w:val="0"/>
        <w:spacing w:line="360" w:lineRule="auto" w:after="0" w:before="0"/>
        <w:ind w:firstLine="850"/>
        <w:jc w:val="both"/>
      </w:pPr>
      <w:r>
        <w:rPr>
          <w:rFonts w:ascii="Arial" w:hAnsi="Arial"/>
          <w:b w:val="0"/>
          <w:i w:val="0"/>
          <w:sz w:val="24"/>
        </w:rPr>
        <w:t>Os pesos expressam um juízo de valor: a necessidade é definida pela lacuna de oferta e pela vulnerabilidade, com a pressão demográfica como moderadora, e a agregação aditiva permite compensação entre pilares (GRECO et al., 2019). A Figura 3 resume as perguntas que estruturaram cada decisão.</w:t>
      </w:r>
    </w:p>
    <w:p>
      <w:pPr>
        <w:keepNext/>
        <w:spacing w:line="240" w:lineRule="auto" w:after="60" w:before="160"/>
        <w:ind w:firstLine="0"/>
        <w:jc w:val="left"/>
      </w:pPr>
      <w:r>
        <w:rPr>
          <w:rFonts w:ascii="Arial" w:hAnsi="Arial"/>
          <w:b w:val="0"/>
          <w:i w:val="0"/>
          <w:sz w:val="22"/>
        </w:rPr>
        <w:t>Figura 3. Perguntas que estruturaram a construção do PCM</w:t>
      </w:r>
    </w:p>
    <w:p>
      <w:pPr>
        <w:keepNext/>
        <w:spacing w:after="40"/>
        <w:ind w:firstLine="0"/>
        <w:jc w:val="center"/>
      </w:pPr>
      <w:r>
        <w:drawing>
          <wp:inline xmlns:a="http://schemas.openxmlformats.org/drawingml/2006/main" xmlns:pic="http://schemas.openxmlformats.org/drawingml/2006/picture">
            <wp:extent cx="5040000" cy="2342297"/>
            <wp:docPr id="3" name="Picture 3"/>
            <wp:cNvGraphicFramePr>
              <a:graphicFrameLocks noChangeAspect="1"/>
            </wp:cNvGraphicFramePr>
            <a:graphic>
              <a:graphicData uri="http://schemas.openxmlformats.org/drawingml/2006/picture">
                <pic:pic>
                  <pic:nvPicPr>
                    <pic:cNvPr id="0" name="figura_perguntas_pcm.png"/>
                    <pic:cNvPicPr/>
                  </pic:nvPicPr>
                  <pic:blipFill>
                    <a:blip r:embed="rId12"/>
                    <a:stretch>
                      <a:fillRect/>
                    </a:stretch>
                  </pic:blipFill>
                  <pic:spPr>
                    <a:xfrm>
                      <a:off x="0" y="0"/>
                      <a:ext cx="5040000" cy="2342297"/>
                    </a:xfrm>
                    <a:prstGeom prst="rect"/>
                  </pic:spPr>
                </pic:pic>
              </a:graphicData>
            </a:graphic>
          </wp:inline>
        </w:drawing>
      </w:r>
    </w:p>
    <w:p>
      <w:pPr>
        <w:keepNext w:val="0"/>
        <w:spacing w:line="240" w:lineRule="auto" w:after="120" w:before="0"/>
        <w:ind w:firstLine="0"/>
        <w:jc w:val="left"/>
      </w:pPr>
      <w:r>
        <w:rPr>
          <w:rFonts w:ascii="Arial" w:hAnsi="Arial"/>
          <w:b w:val="0"/>
          <w:i w:val="0"/>
          <w:sz w:val="20"/>
        </w:rPr>
        <w:t>Fonte: Elaboração própria.</w:t>
      </w:r>
    </w:p>
    <w:p>
      <w:pPr>
        <w:keepNext/>
        <w:spacing w:before="120" w:after="120" w:line="360" w:lineRule="auto"/>
        <w:ind w:firstLine="0"/>
        <w:jc w:val="left"/>
      </w:pPr>
      <w:r>
        <w:rPr>
          <w:rFonts w:ascii="Arial" w:hAnsi="Arial"/>
          <w:b/>
          <w:sz w:val="24"/>
        </w:rPr>
        <w:t>4.3 Resultados do índice e verificação</w:t>
      </w:r>
    </w:p>
    <w:p>
      <w:pPr>
        <w:keepNext w:val="0"/>
        <w:spacing w:line="360" w:lineRule="auto" w:after="0" w:before="0"/>
        <w:ind w:firstLine="850"/>
        <w:jc w:val="both"/>
      </w:pPr>
      <w:r>
        <w:rPr>
          <w:rFonts w:ascii="Arial" w:hAnsi="Arial"/>
          <w:b w:val="0"/>
          <w:i w:val="0"/>
          <w:sz w:val="24"/>
        </w:rPr>
        <w:t>O PCM varia de 0,240 a 0,789, com média 0,480 e desvio-padrão 0,102. O pilar educacional tem a maior correlação de postos com o índice (0,78), seguido do socioeconômico (0,66) e do demográfico (0,46); os pilares são pouco correlacionados entre si (0,02 a 0,23). A correlação entre PCM e população é nula (−0,003): o pilar educacional cresce com o tamanho do município, porque a cobertura relativa é menor nas cidades grandes, e o socioeconômico cai, porque a renda é maior. Curitiba tem fator socioeconômico zero e PCM de 0,286, o quinto menor; os maiores valores estão em municípios pequenos do Centro-Sul, do Vale do Ribeira e do litoral norte (Mapa 1). O quintil superior do índice reúne 80 municípios com cobertura mediana de 22,3%, 34,1% das crianças no Cadastro Único e mortalidade infantil de 11,7 por mil, contra 45,2%, 15,2% e 3,0 no quintil inferior.</w:t>
      </w:r>
    </w:p>
    <w:p>
      <w:pPr>
        <w:keepNext/>
        <w:spacing w:line="240" w:lineRule="auto" w:after="60" w:before="160"/>
        <w:ind w:firstLine="0"/>
        <w:jc w:val="left"/>
      </w:pPr>
      <w:r>
        <w:rPr>
          <w:rFonts w:ascii="Arial" w:hAnsi="Arial"/>
          <w:b w:val="0"/>
          <w:i w:val="0"/>
          <w:sz w:val="22"/>
        </w:rPr>
        <w:t>Mapa 1. Potencial de Creche por Município (PCM) e seus três fatores, por quintis</w:t>
      </w:r>
    </w:p>
    <w:p>
      <w:pPr>
        <w:keepNext/>
        <w:spacing w:after="40"/>
        <w:ind w:firstLine="0"/>
        <w:jc w:val="center"/>
      </w:pPr>
      <w:r>
        <w:drawing>
          <wp:inline xmlns:a="http://schemas.openxmlformats.org/drawingml/2006/main" xmlns:pic="http://schemas.openxmlformats.org/drawingml/2006/picture">
            <wp:extent cx="4320000" cy="5003352"/>
            <wp:docPr id="4" name="Picture 4"/>
            <wp:cNvGraphicFramePr>
              <a:graphicFrameLocks noChangeAspect="1"/>
            </wp:cNvGraphicFramePr>
            <a:graphic>
              <a:graphicData uri="http://schemas.openxmlformats.org/drawingml/2006/picture">
                <pic:pic>
                  <pic:nvPicPr>
                    <pic:cNvPr id="0" name="mapa01_pcm_fatores.png"/>
                    <pic:cNvPicPr/>
                  </pic:nvPicPr>
                  <pic:blipFill>
                    <a:blip r:embed="rId13"/>
                    <a:stretch>
                      <a:fillRect/>
                    </a:stretch>
                  </pic:blipFill>
                  <pic:spPr>
                    <a:xfrm>
                      <a:off x="0" y="0"/>
                      <a:ext cx="4320000" cy="500335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das planilhas do estudo e da malha municipal do IBGE (2023b).</w:t>
      </w:r>
    </w:p>
    <w:p>
      <w:pPr>
        <w:keepNext w:val="0"/>
        <w:spacing w:line="240" w:lineRule="auto" w:after="120" w:before="0"/>
        <w:ind w:firstLine="0"/>
        <w:jc w:val="left"/>
      </w:pPr>
      <w:r>
        <w:rPr>
          <w:rFonts w:ascii="Arial" w:hAnsi="Arial"/>
          <w:b w:val="0"/>
          <w:i w:val="0"/>
          <w:sz w:val="20"/>
        </w:rPr>
        <w:t>Nota: Escores dos fatores de 0 a 100. Sistema de referência SIRGAS 2000, projeção policônica.</w:t>
      </w:r>
    </w:p>
    <w:p>
      <w:pPr>
        <w:keepNext w:val="0"/>
        <w:spacing w:line="360" w:lineRule="auto" w:after="0" w:before="0"/>
        <w:ind w:firstLine="850"/>
        <w:jc w:val="both"/>
      </w:pPr>
      <w:r>
        <w:rPr>
          <w:rFonts w:ascii="Arial" w:hAnsi="Arial"/>
          <w:b w:val="0"/>
          <w:i w:val="0"/>
          <w:sz w:val="24"/>
        </w:rPr>
        <w:t>Na normalização mínimo-máximo um único município define o zero ou o cem de cada indicador, o que torna o índice sensível a valores extremos (NARDO et al., 2008). Testamos três alterações: com pesos iguais entre os pilares, a correlação de postos com o PCM padrão é 0,97; com peso triplo no pilar socioeconômico, variante usada em uma versão intermediária das planilhas, 0,93; com normalização por percentis, 0,93, e 63 dos 80 municípios do quintil superior permanecem nele. O ordenamento é estável nos extremos e mais sensível na faixa intermediária, onde centésimos separam municípios; é ali que as regras de conversão e a decisão política operam.</w:t>
      </w:r>
    </w:p>
    <w:p>
      <w:pPr>
        <w:keepNext/>
        <w:spacing w:before="240" w:after="120" w:line="360" w:lineRule="auto"/>
        <w:ind w:firstLine="0"/>
        <w:jc w:val="left"/>
      </w:pPr>
      <w:r>
        <w:rPr>
          <w:rFonts w:ascii="Arial" w:hAnsi="Arial"/>
          <w:b/>
          <w:sz w:val="24"/>
        </w:rPr>
        <w:t>5 APLICAÇÃO: DO PCM ÀS UNIDADES</w:t>
      </w:r>
    </w:p>
    <w:p>
      <w:pPr>
        <w:keepNext w:val="0"/>
        <w:spacing w:line="360" w:lineRule="auto" w:after="0" w:before="0"/>
        <w:ind w:firstLine="850"/>
        <w:jc w:val="both"/>
      </w:pPr>
      <w:r>
        <w:rPr>
          <w:rFonts w:ascii="Arial" w:hAnsi="Arial"/>
          <w:b w:val="0"/>
          <w:i w:val="0"/>
          <w:sz w:val="24"/>
        </w:rPr>
        <w:t>O índice ordena os municípios, mas não diz quantas unidades cada um recebe. A conversão exigiu comparar a capital, com 202 mil crianças de zero a quatro anos, com municípios de poucas centenas, e transformar frações em unidades inteiras. A solução foi classificar os municípios em oito faixas de porte pela população de 2022 (Tabela 1) e aplicar dois regimes: proporcionalidade corrigida pelo índice entre os 30 municípios das cinco faixas superiores e ranqueamento pelo índice, com uma unidade por município, nas três faixas inferiores. A Figura 4 e as equações 6 a 10 descrevem o cálculo da versão apresentada ao conselho, com N* = 257 unidades a distribuir após as 43 da etapa prévia definida pelo índice de prioridade do Ipardes.</w:t>
      </w:r>
    </w:p>
    <w:p>
      <w:pPr>
        <w:keepNext/>
        <w:spacing w:line="240" w:lineRule="auto" w:after="60" w:before="160"/>
        <w:ind w:firstLine="0"/>
        <w:jc w:val="left"/>
      </w:pPr>
      <w:r>
        <w:rPr>
          <w:rFonts w:ascii="Arial" w:hAnsi="Arial"/>
          <w:b w:val="0"/>
          <w:i w:val="0"/>
          <w:sz w:val="22"/>
        </w:rPr>
        <w:t>Figura 4. Aplicação do PCM: da cota populacional às unidades inteiras</w:t>
      </w:r>
    </w:p>
    <w:p>
      <w:pPr>
        <w:keepNext/>
        <w:spacing w:after="40"/>
        <w:ind w:firstLine="0"/>
        <w:jc w:val="center"/>
      </w:pPr>
      <w:r>
        <w:drawing>
          <wp:inline xmlns:a="http://schemas.openxmlformats.org/drawingml/2006/main" xmlns:pic="http://schemas.openxmlformats.org/drawingml/2006/picture">
            <wp:extent cx="4680000" cy="2457864"/>
            <wp:docPr id="5" name="Picture 5"/>
            <wp:cNvGraphicFramePr>
              <a:graphicFrameLocks noChangeAspect="1"/>
            </wp:cNvGraphicFramePr>
            <a:graphic>
              <a:graphicData uri="http://schemas.openxmlformats.org/drawingml/2006/picture">
                <pic:pic>
                  <pic:nvPicPr>
                    <pic:cNvPr id="0" name="figura_calculo_ponderado.png"/>
                    <pic:cNvPicPr/>
                  </pic:nvPicPr>
                  <pic:blipFill>
                    <a:blip r:embed="rId14"/>
                    <a:stretch>
                      <a:fillRect/>
                    </a:stretch>
                  </pic:blipFill>
                  <pic:spPr>
                    <a:xfrm>
                      <a:off x="0" y="0"/>
                      <a:ext cx="4680000" cy="2457864"/>
                    </a:xfrm>
                    <a:prstGeom prst="rect"/>
                  </pic:spPr>
                </pic:pic>
              </a:graphicData>
            </a:graphic>
          </wp:inline>
        </w:drawing>
      </w:r>
    </w:p>
    <w:p>
      <w:pPr>
        <w:keepNext w:val="0"/>
        <w:spacing w:line="240" w:lineRule="auto" w:after="120" w:before="0"/>
        <w:ind w:firstLine="0"/>
        <w:jc w:val="left"/>
      </w:pPr>
      <w:r>
        <w:rPr>
          <w:rFonts w:ascii="Arial" w:hAnsi="Arial"/>
          <w:b w:val="0"/>
          <w:i w:val="0"/>
          <w:sz w:val="20"/>
        </w:rPr>
        <w:t>Fonte: Elaboração própria a partir das planilhas do estudo e de Paraná (2024a).</w:t>
      </w:r>
    </w:p>
    <w:p>
      <w:pPr>
        <w:keepNext w:val="0"/>
        <w:spacing w:line="360" w:lineRule="auto" w:after="0" w:before="0"/>
        <w:ind w:firstLine="850"/>
        <w:jc w:val="both"/>
      </w:pPr>
      <w:r>
        <w:rPr>
          <w:rFonts w:ascii="Arial" w:hAnsi="Arial"/>
          <w:b w:val="0"/>
          <w:i w:val="0"/>
          <w:sz w:val="24"/>
        </w:rPr>
        <w:t>A cota de cada porte é proporcional à sua parcela s_p na população-alvo, reduzida pelo fator 1 + m, em que m é o PCM médio ponderado pela população-alvo (0,503), de modo que a soma das cotas (171) deixe espaço para a ampliação pelo índice:</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C</w:t>
      </w:r>
      <w:r>
        <w:rPr>
          <w:rFonts w:ascii="Arial" w:hAnsi="Arial"/>
          <w:sz w:val="22"/>
          <w:vertAlign w:val="subscript"/>
        </w:rPr>
        <w:t>p</w:t>
      </w:r>
      <w:r>
        <w:rPr>
          <w:rFonts w:ascii="Arial" w:hAnsi="Arial"/>
          <w:sz w:val="22"/>
        </w:rPr>
        <w:t xml:space="preserve"> = s</w:t>
      </w:r>
      <w:r>
        <w:rPr>
          <w:rFonts w:ascii="Arial" w:hAnsi="Arial"/>
          <w:sz w:val="22"/>
          <w:vertAlign w:val="subscript"/>
        </w:rPr>
        <w:t>p</w:t>
      </w:r>
      <w:r>
        <w:rPr>
          <w:rFonts w:ascii="Arial" w:hAnsi="Arial"/>
          <w:sz w:val="22"/>
        </w:rPr>
        <w:t xml:space="preserve"> · N* / (1 + m)</w:t>
      </w:r>
      <w:r>
        <w:rPr>
          <w:rFonts w:ascii="Arial" w:hAnsi="Arial"/>
          <w:sz w:val="22"/>
        </w:rPr>
        <w:tab/>
        <w:t>(6)</w:t>
      </w:r>
    </w:p>
    <w:p>
      <w:pPr>
        <w:keepNext w:val="0"/>
        <w:spacing w:line="360" w:lineRule="auto" w:after="0" w:before="0"/>
        <w:ind w:firstLine="850"/>
        <w:jc w:val="both"/>
      </w:pPr>
      <w:r>
        <w:rPr>
          <w:rFonts w:ascii="Arial" w:hAnsi="Arial"/>
          <w:b w:val="0"/>
          <w:i w:val="0"/>
          <w:sz w:val="24"/>
        </w:rPr>
        <w:t>A cota do porte é repartida entre seus municípios na proporção da população-alvo a_i de cada um sobre a do porte, A_p:</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J</w:t>
      </w:r>
      <w:r>
        <w:rPr>
          <w:rFonts w:ascii="Arial" w:hAnsi="Arial"/>
          <w:sz w:val="22"/>
          <w:vertAlign w:val="subscript"/>
        </w:rPr>
        <w:t>i</w:t>
      </w:r>
      <w:r>
        <w:rPr>
          <w:rFonts w:ascii="Arial" w:hAnsi="Arial"/>
          <w:sz w:val="22"/>
        </w:rPr>
        <w:t xml:space="preserve"> = (a</w:t>
      </w:r>
      <w:r>
        <w:rPr>
          <w:rFonts w:ascii="Arial" w:hAnsi="Arial"/>
          <w:sz w:val="22"/>
          <w:vertAlign w:val="subscript"/>
        </w:rPr>
        <w:t>i</w:t>
      </w:r>
      <w:r>
        <w:rPr>
          <w:rFonts w:ascii="Arial" w:hAnsi="Arial"/>
          <w:sz w:val="22"/>
        </w:rPr>
        <w:t xml:space="preserve"> / A</w:t>
      </w:r>
      <w:r>
        <w:rPr>
          <w:rFonts w:ascii="Arial" w:hAnsi="Arial"/>
          <w:sz w:val="22"/>
          <w:vertAlign w:val="subscript"/>
        </w:rPr>
        <w:t>p</w:t>
      </w:r>
      <w:r>
        <w:rPr>
          <w:rFonts w:ascii="Arial" w:hAnsi="Arial"/>
          <w:sz w:val="22"/>
        </w:rPr>
        <w:t>) · C</w:t>
      </w:r>
      <w:r>
        <w:rPr>
          <w:rFonts w:ascii="Arial" w:hAnsi="Arial"/>
          <w:sz w:val="22"/>
          <w:vertAlign w:val="subscript"/>
        </w:rPr>
        <w:t>p</w:t>
      </w:r>
      <w:r>
        <w:rPr>
          <w:rFonts w:ascii="Arial" w:hAnsi="Arial"/>
          <w:sz w:val="22"/>
        </w:rPr>
        <w:tab/>
        <w:t>(7)</w:t>
      </w:r>
    </w:p>
    <w:p>
      <w:pPr>
        <w:keepNext w:val="0"/>
        <w:spacing w:line="360" w:lineRule="auto" w:after="0" w:before="0"/>
        <w:ind w:firstLine="850"/>
        <w:jc w:val="both"/>
      </w:pPr>
      <w:r>
        <w:rPr>
          <w:rFonts w:ascii="Arial" w:hAnsi="Arial"/>
          <w:b w:val="0"/>
          <w:i w:val="0"/>
          <w:sz w:val="24"/>
        </w:rPr>
        <w:t>O índice entra como multiplicador da cota populacional, e as unidades já atribuídas na etapa prévia, E_i, são descontadas:</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K</w:t>
      </w:r>
      <w:r>
        <w:rPr>
          <w:rFonts w:ascii="Arial" w:hAnsi="Arial"/>
          <w:sz w:val="22"/>
          <w:vertAlign w:val="subscript"/>
        </w:rPr>
        <w:t>i</w:t>
      </w:r>
      <w:r>
        <w:rPr>
          <w:rFonts w:ascii="Arial" w:hAnsi="Arial"/>
          <w:sz w:val="22"/>
        </w:rPr>
        <w:t xml:space="preserve"> = J</w:t>
      </w:r>
      <w:r>
        <w:rPr>
          <w:rFonts w:ascii="Arial" w:hAnsi="Arial"/>
          <w:sz w:val="22"/>
          <w:vertAlign w:val="subscript"/>
        </w:rPr>
        <w:t>i</w:t>
      </w:r>
      <w:r>
        <w:rPr>
          <w:rFonts w:ascii="Arial" w:hAnsi="Arial"/>
          <w:sz w:val="22"/>
        </w:rPr>
        <w:t xml:space="preserve"> · (1 + PCM</w:t>
      </w:r>
      <w:r>
        <w:rPr>
          <w:rFonts w:ascii="Arial" w:hAnsi="Arial"/>
          <w:sz w:val="22"/>
          <w:vertAlign w:val="subscript"/>
        </w:rPr>
        <w:t>i</w:t>
      </w:r>
      <w:r>
        <w:rPr>
          <w:rFonts w:ascii="Arial" w:hAnsi="Arial"/>
          <w:sz w:val="22"/>
        </w:rPr>
        <w:t>) − E</w:t>
      </w:r>
      <w:r>
        <w:rPr>
          <w:rFonts w:ascii="Arial" w:hAnsi="Arial"/>
          <w:sz w:val="22"/>
          <w:vertAlign w:val="subscript"/>
        </w:rPr>
        <w:t>i</w:t>
      </w:r>
      <w:r>
        <w:rPr>
          <w:rFonts w:ascii="Arial" w:hAnsi="Arial"/>
          <w:sz w:val="22"/>
        </w:rPr>
        <w:tab/>
        <w:t>(8)</w:t>
      </w:r>
    </w:p>
    <w:p>
      <w:pPr>
        <w:keepNext w:val="0"/>
        <w:spacing w:line="360" w:lineRule="auto" w:after="0" w:before="0"/>
        <w:ind w:firstLine="850"/>
        <w:jc w:val="both"/>
      </w:pPr>
      <w:r>
        <w:rPr>
          <w:rFonts w:ascii="Arial" w:hAnsi="Arial"/>
          <w:b w:val="0"/>
          <w:i w:val="0"/>
          <w:sz w:val="24"/>
        </w:rPr>
        <w:t>Um município com PCM de 0,50 recebe, assim, 50% a mais do que sua cota populacional. O arredondamento segue o método do maior resto, tal como implementado na planilha: a parte inteira é atribuída de imediato e as unidades restantes vão aos municípios com as maiores frações, uma por município, até esgotar o total:</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n</w:t>
      </w:r>
      <w:r>
        <w:rPr>
          <w:rFonts w:ascii="Arial" w:hAnsi="Arial"/>
          <w:sz w:val="22"/>
          <w:vertAlign w:val="subscript"/>
        </w:rPr>
        <w:t>i</w:t>
      </w:r>
      <w:r>
        <w:rPr>
          <w:rFonts w:ascii="Arial" w:hAnsi="Arial"/>
          <w:sz w:val="22"/>
        </w:rPr>
        <w:t xml:space="preserve"> = int(K</w:t>
      </w:r>
      <w:r>
        <w:rPr>
          <w:rFonts w:ascii="Arial" w:hAnsi="Arial"/>
          <w:sz w:val="22"/>
          <w:vertAlign w:val="subscript"/>
        </w:rPr>
        <w:t>i</w:t>
      </w:r>
      <w:r>
        <w:rPr>
          <w:rFonts w:ascii="Arial" w:hAnsi="Arial"/>
          <w:sz w:val="22"/>
        </w:rPr>
        <w:t>);   r</w:t>
      </w:r>
      <w:r>
        <w:rPr>
          <w:rFonts w:ascii="Arial" w:hAnsi="Arial"/>
          <w:sz w:val="22"/>
          <w:vertAlign w:val="subscript"/>
        </w:rPr>
        <w:t>i</w:t>
      </w:r>
      <w:r>
        <w:rPr>
          <w:rFonts w:ascii="Arial" w:hAnsi="Arial"/>
          <w:sz w:val="22"/>
        </w:rPr>
        <w:t xml:space="preserve"> = K</w:t>
      </w:r>
      <w:r>
        <w:rPr>
          <w:rFonts w:ascii="Arial" w:hAnsi="Arial"/>
          <w:sz w:val="22"/>
          <w:vertAlign w:val="subscript"/>
        </w:rPr>
        <w:t>i</w:t>
      </w:r>
      <w:r>
        <w:rPr>
          <w:rFonts w:ascii="Arial" w:hAnsi="Arial"/>
          <w:sz w:val="22"/>
        </w:rPr>
        <w:t xml:space="preserve"> − n</w:t>
      </w:r>
      <w:r>
        <w:rPr>
          <w:rFonts w:ascii="Arial" w:hAnsi="Arial"/>
          <w:sz w:val="22"/>
          <w:vertAlign w:val="subscript"/>
        </w:rPr>
        <w:t>i</w:t>
      </w:r>
      <w:r>
        <w:rPr>
          <w:rFonts w:ascii="Arial" w:hAnsi="Arial"/>
          <w:sz w:val="22"/>
        </w:rPr>
        <w:t>;   R = Σ</w:t>
      </w:r>
      <w:r>
        <w:rPr>
          <w:rFonts w:ascii="Arial" w:hAnsi="Arial"/>
          <w:sz w:val="22"/>
          <w:vertAlign w:val="subscript"/>
        </w:rPr>
        <w:t>i</w:t>
      </w:r>
      <w:r>
        <w:rPr>
          <w:rFonts w:ascii="Arial" w:hAnsi="Arial"/>
          <w:sz w:val="22"/>
        </w:rPr>
        <w:t xml:space="preserve"> K</w:t>
      </w:r>
      <w:r>
        <w:rPr>
          <w:rFonts w:ascii="Arial" w:hAnsi="Arial"/>
          <w:sz w:val="22"/>
          <w:vertAlign w:val="subscript"/>
        </w:rPr>
        <w:t>i</w:t>
      </w:r>
      <w:r>
        <w:rPr>
          <w:rFonts w:ascii="Arial" w:hAnsi="Arial"/>
          <w:sz w:val="22"/>
        </w:rPr>
        <w:t xml:space="preserve"> − Σ</w:t>
      </w:r>
      <w:r>
        <w:rPr>
          <w:rFonts w:ascii="Arial" w:hAnsi="Arial"/>
          <w:sz w:val="22"/>
          <w:vertAlign w:val="subscript"/>
        </w:rPr>
        <w:t>i</w:t>
      </w:r>
      <w:r>
        <w:rPr>
          <w:rFonts w:ascii="Arial" w:hAnsi="Arial"/>
          <w:sz w:val="22"/>
        </w:rPr>
        <w:t xml:space="preserve"> n</w:t>
      </w:r>
      <w:r>
        <w:rPr>
          <w:rFonts w:ascii="Arial" w:hAnsi="Arial"/>
          <w:sz w:val="22"/>
          <w:vertAlign w:val="subscript"/>
        </w:rPr>
        <w:t>i</w:t>
      </w:r>
      <w:r>
        <w:rPr>
          <w:rFonts w:ascii="Arial" w:hAnsi="Arial"/>
          <w:sz w:val="22"/>
        </w:rPr>
        <w:tab/>
        <w:t>(9)</w:t>
      </w:r>
    </w:p>
    <w:p>
      <w:pPr>
        <w:tabs>
          <w:tab w:pos="4252" w:val="center"/>
          <w:tab w:pos="9071" w:val="right"/>
        </w:tabs>
        <w:spacing w:line="240" w:lineRule="auto" w:before="120" w:after="120"/>
        <w:ind w:firstLine="0" w:left="0"/>
        <w:jc w:val="left"/>
      </w:pPr>
      <w:r>
        <w:rPr>
          <w:rFonts w:ascii="Arial" w:hAnsi="Arial"/>
          <w:sz w:val="22"/>
        </w:rPr>
        <w:tab/>
      </w:r>
      <w:r>
        <w:rPr>
          <w:rFonts w:ascii="Arial" w:hAnsi="Arial"/>
          <w:sz w:val="22"/>
        </w:rPr>
        <w:t>Q</w:t>
      </w:r>
      <w:r>
        <w:rPr>
          <w:rFonts w:ascii="Arial" w:hAnsi="Arial"/>
          <w:sz w:val="22"/>
          <w:vertAlign w:val="subscript"/>
        </w:rPr>
        <w:t>i</w:t>
      </w:r>
      <w:r>
        <w:rPr>
          <w:rFonts w:ascii="Arial" w:hAnsi="Arial"/>
          <w:sz w:val="22"/>
        </w:rPr>
        <w:t xml:space="preserve"> = n</w:t>
      </w:r>
      <w:r>
        <w:rPr>
          <w:rFonts w:ascii="Arial" w:hAnsi="Arial"/>
          <w:sz w:val="22"/>
          <w:vertAlign w:val="subscript"/>
        </w:rPr>
        <w:t>i</w:t>
      </w:r>
      <w:r>
        <w:rPr>
          <w:rFonts w:ascii="Arial" w:hAnsi="Arial"/>
          <w:sz w:val="22"/>
        </w:rPr>
        <w:t xml:space="preserve"> + 1 se rank(r</w:t>
      </w:r>
      <w:r>
        <w:rPr>
          <w:rFonts w:ascii="Arial" w:hAnsi="Arial"/>
          <w:sz w:val="22"/>
          <w:vertAlign w:val="subscript"/>
        </w:rPr>
        <w:t>i</w:t>
      </w:r>
      <w:r>
        <w:rPr>
          <w:rFonts w:ascii="Arial" w:hAnsi="Arial"/>
          <w:sz w:val="22"/>
        </w:rPr>
        <w:t>) ≤ R, e Q</w:t>
      </w:r>
      <w:r>
        <w:rPr>
          <w:rFonts w:ascii="Arial" w:hAnsi="Arial"/>
          <w:sz w:val="22"/>
          <w:vertAlign w:val="subscript"/>
        </w:rPr>
        <w:t>i</w:t>
      </w:r>
      <w:r>
        <w:rPr>
          <w:rFonts w:ascii="Arial" w:hAnsi="Arial"/>
          <w:sz w:val="22"/>
        </w:rPr>
        <w:t xml:space="preserve"> = n</w:t>
      </w:r>
      <w:r>
        <w:rPr>
          <w:rFonts w:ascii="Arial" w:hAnsi="Arial"/>
          <w:sz w:val="22"/>
          <w:vertAlign w:val="subscript"/>
        </w:rPr>
        <w:t>i</w:t>
      </w:r>
      <w:r>
        <w:rPr>
          <w:rFonts w:ascii="Arial" w:hAnsi="Arial"/>
          <w:sz w:val="22"/>
        </w:rPr>
        <w:t xml:space="preserve"> caso contrário</w:t>
      </w:r>
      <w:r>
        <w:rPr>
          <w:rFonts w:ascii="Arial" w:hAnsi="Arial"/>
          <w:sz w:val="22"/>
        </w:rPr>
        <w:tab/>
        <w:t>(10)</w:t>
      </w:r>
    </w:p>
    <w:p>
      <w:pPr>
        <w:keepNext w:val="0"/>
        <w:spacing w:line="360" w:lineRule="auto" w:after="0" w:before="0"/>
        <w:ind w:firstLine="850"/>
        <w:jc w:val="both"/>
      </w:pPr>
      <w:r>
        <w:rPr>
          <w:rFonts w:ascii="Arial" w:hAnsi="Arial"/>
          <w:b w:val="0"/>
          <w:i w:val="0"/>
          <w:sz w:val="24"/>
        </w:rPr>
        <w:t>Na planilha, R = 111 unidades e a soma das partes inteiras é 90. Sobre esse cálculo incidem os limites por faixa: nos portes grandes, tetos por município de 10, 8, 7, 4 e 2 unidades, que reduziram o resultado do cálculo proporcional de 142 para 100 unidades; nos portes pequenos, cotas de 27, 100 e 30 municípios, contemplados por ordem decrescente de PCM, excluídos os da etapa prévia. A Tabela 2 apresenta o cálculo por porte e os resultados das versões sucessivas.</w:t>
      </w:r>
    </w:p>
    <w:p>
      <w:pPr>
        <w:keepNext/>
        <w:spacing w:line="240" w:lineRule="auto" w:after="60" w:before="160"/>
        <w:ind w:firstLine="0"/>
        <w:jc w:val="left"/>
      </w:pPr>
      <w:r>
        <w:rPr>
          <w:rFonts w:ascii="Arial" w:hAnsi="Arial"/>
          <w:b w:val="0"/>
          <w:i w:val="0"/>
          <w:sz w:val="22"/>
        </w:rPr>
        <w:t>Tabela 2. Cálculo proporcional, limites por faixa e creches atribuídas por porte nas versões do estudo e na lista publicada</w:t>
      </w:r>
    </w:p>
    <w:tbl>
      <w:tblPr>
        <w:jc w:val="center"/>
        <w:tblLayout w:type="fixed"/>
        <w:tblLook w:firstColumn="1" w:firstRow="1" w:lastColumn="0" w:lastRow="0" w:noHBand="0" w:noVBand="1" w:val="04A0"/>
        <w:tblLayout w:type="fixed"/>
        <w:tblW w:w="9070" w:type="dxa"/>
      </w:tblPr>
      <w:tblGrid>
        <w:gridCol w:w="1871"/>
        <w:gridCol w:w="655"/>
        <w:gridCol w:w="655"/>
        <w:gridCol w:w="655"/>
        <w:gridCol w:w="655"/>
        <w:gridCol w:w="655"/>
        <w:gridCol w:w="655"/>
        <w:gridCol w:w="655"/>
        <w:gridCol w:w="655"/>
        <w:gridCol w:w="655"/>
        <w:gridCol w:w="655"/>
        <w:gridCol w:w="655"/>
      </w:tblGrid>
      <w:tr>
        <w:trPr>
          <w:cantSplit/>
          <w:tblHeader/>
        </w:trPr>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w:t>
            </w:r>
          </w:p>
        </w:tc>
        <w:tc>
          <w:tcPr>
            <w:tcW w:type="dxa" w:w="3024"/>
            <w:gridSpan w:val="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Cálculo proporcional (G2 a P4)</w:t>
            </w:r>
          </w:p>
        </w:tc>
        <w:tc>
          <w:tcPr>
            <w:tcW w:type="dxa" w:w="75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Limite</w:t>
            </w:r>
          </w:p>
        </w:tc>
        <w:tc>
          <w:tcPr>
            <w:tcW w:type="dxa" w:w="3024"/>
            <w:gridSpan w:val="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r>
      <w:tr>
        <w:trPr>
          <w:cantSplit/>
          <w:tblHeader/>
        </w:trPr>
        <w:tc>
          <w:tcPr>
            <w:tcW w:type="dxa" w:w="756"/>
            <w:vMerge/>
          </w:tcPr>
          <w:p/>
        </w:tc>
        <w:tc>
          <w:tcPr>
            <w:tcW w:type="dxa" w:w="756"/>
            <w:vMerge/>
          </w:tcPr>
          <w:p/>
        </w:tc>
        <w:tc>
          <w:tcPr>
            <w:tcW w:type="dxa" w:w="756"/>
            <w:vMerge/>
          </w:tcP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Cota do porte</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Soma de K</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Parte inteira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Maior resto</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Teto ou cota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Prévia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PCM (mar/2024)</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Total (mai/2024)</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Publicada</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G2 (acima de 1 milhão)</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12,2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G1 (500 mil a 1 milhão)</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7.6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M2 (200 a 500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42.7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M1 (100 a 200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P4 (70 a 100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P3 (20 a 70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27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50</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P2 (5 a 20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205</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100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145</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P1 (até 5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r>
      <w:tr>
        <w:trPr>
          <w:cantSplit/>
        </w:trPr>
        <w:tc>
          <w:tcPr>
            <w:tcW w:type="dxa" w:w="1871"/>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6"/>
              </w:rPr>
              <w:t>Paraná</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399</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100,0</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100.9</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136.1</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118</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142</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 + 157</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43</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257</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300</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303</w:t>
            </w:r>
          </w:p>
        </w:tc>
      </w:tr>
    </w:tbl>
    <w:p>
      <w:pPr>
        <w:keepNext w:val="0"/>
        <w:spacing w:line="240" w:lineRule="auto" w:after="0" w:before="60"/>
        <w:ind w:firstLine="0"/>
        <w:jc w:val="left"/>
      </w:pPr>
      <w:r>
        <w:rPr>
          <w:rFonts w:ascii="Arial" w:hAnsi="Arial"/>
          <w:b w:val="0"/>
          <w:i w:val="0"/>
          <w:sz w:val="20"/>
        </w:rPr>
        <w:t>Fonte: Elaboração própria a partir das planilhas do estudo (versões de 27 de março e 21 de maio de 2024) e de Paraná (2024a).</w:t>
      </w:r>
    </w:p>
    <w:p>
      <w:pPr>
        <w:keepNext w:val="0"/>
        <w:spacing w:line="240" w:lineRule="auto" w:after="120" w:before="0"/>
        <w:ind w:firstLine="0"/>
        <w:jc w:val="left"/>
      </w:pPr>
      <w:r>
        <w:rPr>
          <w:rFonts w:ascii="Arial" w:hAnsi="Arial"/>
          <w:b w:val="0"/>
          <w:i w:val="0"/>
          <w:sz w:val="20"/>
        </w:rPr>
        <w:t>Nota: Cota do porte, soma de K, parte inteira e maior resto conforme as equações 6 a 10, calculados apenas para as faixas com regime proporcional; nas faixas P3 a P1 a atribuição é por ranqueamento (uma unidade por município). Prévia: 43 unidades da etapa definida pelo índice do Ipardes. Total de maio de 2024: versão apresentada ao CEDCA, com tetos menores nos portes grandes.</w:t>
      </w:r>
    </w:p>
    <w:p>
      <w:pPr>
        <w:keepNext w:val="0"/>
        <w:spacing w:line="360" w:lineRule="auto" w:after="0" w:before="0"/>
        <w:ind w:firstLine="850"/>
        <w:jc w:val="both"/>
      </w:pPr>
      <w:r>
        <w:rPr>
          <w:rFonts w:ascii="Arial" w:hAnsi="Arial"/>
          <w:b w:val="0"/>
          <w:i w:val="0"/>
          <w:sz w:val="24"/>
        </w:rPr>
        <w:t>A reprodução das regras foi verificada: nos portes pequenos, os 157 contemplados são exatamente os de maior PCM em cada faixa, e o menor índice entre os selecionados supera o maior entre os excluídos por centésimos; nos portes grandes, o maior resto com tetos reproduz 28 dos 30 valores. A versão levada ao conselho em maio de 2024 reduziu os tetos dos portes grandes, deslocou 37 unidades para 36 municípios das faixas inferiores e alcançou 300 unidades em 258 municípios, números anunciados em 10 de junho de 2024 (PARANÁ, 2024b); a Resolução SEDEF nº 219/2024 acrescentou uma unidade a três municípios e publicou 303 unidades em 261 municípios, com substituição do desistente pelo próximo ranqueado (PARANÁ, 2024a).</w:t>
      </w:r>
    </w:p>
    <w:p>
      <w:pPr>
        <w:keepNext w:val="0"/>
        <w:spacing w:line="360" w:lineRule="auto" w:after="0" w:before="0"/>
        <w:ind w:firstLine="850"/>
        <w:jc w:val="both"/>
      </w:pPr>
      <w:r>
        <w:rPr>
          <w:rFonts w:ascii="Arial" w:hAnsi="Arial"/>
          <w:b w:val="0"/>
          <w:i w:val="0"/>
          <w:sz w:val="24"/>
        </w:rPr>
        <w:t>O resultado pode ser lido como avaliação ex ante da regra. Distribuindo as mesmas 300 unidades por critérios alternativos, a proporcionalidade à população infantil contemplaria 147 municípios, daria 37 unidades a Curitiba e destinaria 12,7% das unidades ao quintil de maior PCM; o ranqueamento puro pelo índice contemplaria 300 municípios com uma unidade cada, mas alcançaria apenas 63% das crianças e deixaria de fora as capitais regionais. A regra adotada ocupa posição intermediária: 224 a 261 municípios conforme a versão, cobertura integral do quintil de maior necessidade, 28% das unidades nesse quintil e 82% a 89% das crianças em municípios contemplados. As faixas de porte permitem essa posição: a proporcionalidade governa a alocação entre os grandes, o ranqueamento governa a alocação entre os pequenos, e a fronteira entre os regimes é o parâmetro de política que mais altera o resultado. A margem entre o modelo e a decisão ficou delimitada aos municípios próximos à linha de corte, sem retirada de nenhum selecionado, e a Resolução SEDEF nº 479/2025 manteve o PCM como componente da nota que definiu a segunda etapa, somando fila de espera, mortalidade na infância e condições autodeclaradas pelos municípios (PARANÁ, 2025b).</w:t>
      </w:r>
    </w:p>
    <w:p>
      <w:pPr>
        <w:keepNext/>
        <w:spacing w:before="240" w:after="120" w:line="360" w:lineRule="auto"/>
        <w:ind w:firstLine="0"/>
        <w:jc w:val="left"/>
      </w:pPr>
      <w:r>
        <w:rPr>
          <w:rFonts w:ascii="Arial" w:hAnsi="Arial"/>
          <w:b/>
          <w:sz w:val="24"/>
        </w:rPr>
        <w:t>6 DISCUSSÃO: PROGRAMA, POLÍTICA, AVALIAÇÃO EX ANTE E APOIO AOS MUNICÍPIOS</w:t>
      </w:r>
    </w:p>
    <w:p>
      <w:pPr>
        <w:keepNext w:val="0"/>
        <w:spacing w:line="360" w:lineRule="auto" w:after="0" w:before="0"/>
        <w:ind w:firstLine="850"/>
        <w:jc w:val="both"/>
      </w:pPr>
      <w:r>
        <w:rPr>
          <w:rFonts w:ascii="Arial" w:hAnsi="Arial"/>
          <w:b w:val="0"/>
          <w:i w:val="0"/>
          <w:sz w:val="24"/>
        </w:rPr>
        <w:t>A primeira lição do caso é que o índice resolve o problema da medida, e a regra de conversão resolve o problema da unidade: um município com PCM de 0,46 recebe uma creche na faixa de 5 a 20 mil habitantes, nenhuma na faixa de 20 a 70 mil e uma fração de cota entre os 30 grandes. A regra de conversão merece a mesma documentação que o índice, porque é nela que estão as escolhas sobre cobertura mínima e concentração.</w:t>
      </w:r>
    </w:p>
    <w:p>
      <w:pPr>
        <w:keepNext w:val="0"/>
        <w:spacing w:line="360" w:lineRule="auto" w:after="0" w:before="0"/>
        <w:ind w:firstLine="850"/>
        <w:jc w:val="both"/>
      </w:pPr>
      <w:r>
        <w:rPr>
          <w:rFonts w:ascii="Arial" w:hAnsi="Arial"/>
          <w:b w:val="0"/>
          <w:i w:val="0"/>
          <w:sz w:val="24"/>
        </w:rPr>
        <w:t>A segunda diz respeito à transversalidade. A necessidade foi medida com dados da educação, da saúde, da assistência social e da economia regional, e a decisão percorreu a Casa Civil, o Ipardes, o conselho paritário de direitos, a secretaria de desenvolvimento social, o serviço autônomo de engenharia urbana, a Assembleia Legislativa e os municípios: um equipamento educacional financiado por um fundo da política da criança e do adolescente, com projeto e fiscalização de um órgão de desenvolvimento urbano. O desenho tem custo de coordenação, mas o município pequeno recebe, além do recurso, o projeto, o orçamento e a análise técnica, e o repasse por marco físico limita o risco de obra inacabada que marcou o Proinfância (BRASIL, 2017; MELO; GOMES, 2022).</w:t>
      </w:r>
    </w:p>
    <w:p>
      <w:pPr>
        <w:keepNext w:val="0"/>
        <w:spacing w:line="360" w:lineRule="auto" w:after="0" w:before="0"/>
        <w:ind w:firstLine="850"/>
        <w:jc w:val="both"/>
      </w:pPr>
      <w:r>
        <w:rPr>
          <w:rFonts w:ascii="Arial" w:hAnsi="Arial"/>
          <w:b w:val="0"/>
          <w:i w:val="0"/>
          <w:sz w:val="24"/>
        </w:rPr>
        <w:t>A terceira é sobre avaliação ex ante. Antes de qualquer obra, a metodologia permitiu comparar quem seria contemplado sob critérios alternativos, quantificar a troca entre escala e focalização e localizar a faixa em que a decisão política operaria. A publicação da fórmula e da lista, a aprovação pelo conselho e a substituição do desistente transformaram o índice em fila pública. A transparência organiza a dimensão político-institucional: na faixa intermediária, as diferenças de PCM são de centésimos e estão dentro da imprecisão de qualquer indicador composto, e é ali que informações que o índice não capta, como terreno, capacidade de licitar e fila local, têm entrada legítima (COADY; GROSH; HODDINOTT, 2004; NARDO et al., 2008).</w:t>
      </w:r>
    </w:p>
    <w:p>
      <w:pPr>
        <w:keepNext w:val="0"/>
        <w:spacing w:line="360" w:lineRule="auto" w:after="0" w:before="0"/>
        <w:ind w:firstLine="850"/>
        <w:jc w:val="both"/>
      </w:pPr>
      <w:r>
        <w:rPr>
          <w:rFonts w:ascii="Arial" w:hAnsi="Arial"/>
          <w:b w:val="0"/>
          <w:i w:val="0"/>
          <w:sz w:val="24"/>
        </w:rPr>
        <w:t>A quarta é a dimensão fiscal e federativa. O Estado transfere capital e condiciona a liberação à execução; o município cede o terreno, absorve o custo excedente e assume o custeio. O fundo a fundo reduziu o custo de transação e permitiu a adesão dos municípios em duas semanas, mas deixou com eles a licitação e a obra, o que explica os cerca de dois anos entre a lista e as primeiras obras. Para o planejamento municipal, o critério explícito tem valor próprio: o prefeito sabe por que seu município foi ou não contemplado, conhece sua posição na fila e pode planejar o custeio de uma unidade cuja localização foi decidida com dados que ele mesmo pode verificar.</w:t>
      </w:r>
    </w:p>
    <w:p>
      <w:pPr>
        <w:keepNext/>
        <w:spacing w:before="240" w:after="120" w:line="360" w:lineRule="auto"/>
        <w:ind w:firstLine="0"/>
        <w:jc w:val="left"/>
      </w:pPr>
      <w:r>
        <w:rPr>
          <w:rFonts w:ascii="Arial" w:hAnsi="Arial"/>
          <w:b/>
          <w:sz w:val="24"/>
        </w:rPr>
        <w:t>7 CONSIDERAÇÕES FINAIS</w:t>
      </w:r>
    </w:p>
    <w:p>
      <w:pPr>
        <w:keepNext w:val="0"/>
        <w:spacing w:line="360" w:lineRule="auto" w:after="0" w:before="0"/>
        <w:ind w:firstLine="850"/>
        <w:jc w:val="both"/>
      </w:pPr>
      <w:r>
        <w:rPr>
          <w:rFonts w:ascii="Arial" w:hAnsi="Arial"/>
          <w:b w:val="0"/>
          <w:i w:val="0"/>
          <w:sz w:val="24"/>
        </w:rPr>
        <w:t>O Potencial de Creche por Município combina nove indicadores administrativos em três pilares, normalizados pelo método mínimo-máximo e agregados com pesos explícitos, e ordena os 399 municípios por necessidade de forma reprodutível e estável a variações de pesos e de normalização. Faixas de porte, cotas, maior resto e tetos converteram o índice em unidades inteiras com um equilíbrio entre escala populacional e focalização que nenhum critério único alcançaria. O índice foi aprovado pelo conselho estadual de direitos, publicado em resolução com a lista de elegíveis e reutilizado na segunda etapa do programa.</w:t>
      </w:r>
    </w:p>
    <w:p>
      <w:pPr>
        <w:keepNext w:val="0"/>
        <w:spacing w:line="360" w:lineRule="auto" w:after="0" w:before="0"/>
        <w:ind w:firstLine="850"/>
        <w:jc w:val="both"/>
      </w:pPr>
      <w:r>
        <w:rPr>
          <w:rFonts w:ascii="Arial" w:hAnsi="Arial"/>
          <w:b w:val="0"/>
          <w:i w:val="0"/>
          <w:sz w:val="24"/>
        </w:rPr>
        <w:t>O caso mostra que é possível unir, em um mesmo desenho, um programa com base legal e previsão plurianual, uma política ancorada na responsabilidade federativa pela educação infantil, uma avaliação ex ante do critério de alocação e o apoio técnico e financeiro aos municípios por transferência fundo a fundo condicionada à execução. As limitações são as de qualquer indicador composto: dependência da qualidade e da data dos registros administrativos, sensibilidade da normalização a valores extremos e distância entre a necessidade medida por proxies e a vivida pelas famílias. A avaliação ex post, quando as unidades estiverem em funcionamento, poderá verificar se as matrículas cresceram onde o índice apontou maior carência. Até lá, a contribuição é metodológica: um critério documentado, com fórmula, parâmetros e planilhas públicas, que outros governos podem adaptar para alocar equipamentos indivisíveis entre entes federados.</w:t>
      </w:r>
      <w:r>
        <w:rPr>
          <w:vertAlign w:val="superscript"/>
        </w:rPr>
        <w:footnoteReference w:id="1"/>
      </w:r>
    </w:p>
    <w:p>
      <w:pPr>
        <w:keepNext/>
        <w:spacing w:before="240" w:after="120" w:line="360" w:lineRule="auto"/>
        <w:ind w:firstLine="0"/>
        <w:jc w:val="left"/>
      </w:pPr>
      <w:r>
        <w:rPr>
          <w:rFonts w:ascii="Arial" w:hAnsi="Arial"/>
          <w:b/>
          <w:sz w:val="24"/>
        </w:rPr>
        <w:t>REFERÊNCIAS</w:t>
      </w:r>
    </w:p>
    <w:p>
      <w:pPr>
        <w:keepNext w:val="0"/>
        <w:spacing w:line="240" w:lineRule="auto" w:after="80" w:before="0"/>
        <w:ind w:firstLine="0"/>
        <w:jc w:val="left"/>
      </w:pPr>
      <w:r>
        <w:rPr>
          <w:rFonts w:ascii="Arial" w:hAnsi="Arial"/>
          <w:b w:val="0"/>
          <w:i w:val="0"/>
          <w:sz w:val="24"/>
        </w:rPr>
        <w:t>ABRUCIO, F. L.; FRANZESE, C. Federalismo e políticas públicas: o impacto das relações intergovernamentais no Brasil. In: ARAÚJO, M. F. I.; BEIRA, L. (org.). Tópicos de economia paulista para gestores públicos. São Paulo: Edições FUNDAP, 2007. p. 13-31.</w:t>
      </w:r>
    </w:p>
    <w:p>
      <w:pPr>
        <w:keepNext w:val="0"/>
        <w:spacing w:line="240" w:lineRule="auto" w:after="80" w:before="0"/>
        <w:ind w:firstLine="0"/>
        <w:jc w:val="left"/>
      </w:pPr>
      <w:r>
        <w:rPr>
          <w:rFonts w:ascii="Arial" w:hAnsi="Arial"/>
          <w:b w:val="0"/>
          <w:i w:val="0"/>
          <w:sz w:val="24"/>
        </w:rPr>
        <w:t>ARRETCHE, M. Democracia, federalismo e centralização no Brasil. Rio de Janeiro: Editora FGV; Editora Fiocruz, 2012.</w:t>
      </w:r>
    </w:p>
    <w:p>
      <w:pPr>
        <w:keepNext w:val="0"/>
        <w:spacing w:line="240" w:lineRule="auto" w:after="80" w:before="0"/>
        <w:ind w:firstLine="0"/>
        <w:jc w:val="left"/>
      </w:pPr>
      <w:r>
        <w:rPr>
          <w:rFonts w:ascii="Arial" w:hAnsi="Arial"/>
          <w:b w:val="0"/>
          <w:i w:val="0"/>
          <w:sz w:val="24"/>
        </w:rPr>
        <w:t>ATTANASIO, O.; BARROS, R. P. de; CARNEIRO, P.; EVANS, D.; LIMA, L.; OLINTO, P.; SCHADY, N. Impact of free availability of public childcare on labour supply and child development in Brazil. New Delhi: International Initiative for Impact Evaluation (3ie), 2017. (Impact Evaluation Report, 58).</w:t>
      </w:r>
    </w:p>
    <w:p>
      <w:pPr>
        <w:keepNext w:val="0"/>
        <w:spacing w:line="240" w:lineRule="auto" w:after="80" w:before="0"/>
        <w:ind w:firstLine="0"/>
        <w:jc w:val="left"/>
      </w:pPr>
      <w:r>
        <w:rPr>
          <w:rFonts w:ascii="Arial" w:hAnsi="Arial"/>
          <w:b w:val="0"/>
          <w:i w:val="0"/>
          <w:sz w:val="24"/>
        </w:rPr>
        <w:t>BARROS, R. P. de; OLINTO, P.; LUNDE, T.; CARVALHO, M. The impact of access to free childcare on women's labor market outcomes: evidence from a randomized trial in low-income neighborhoods of Rio de Janeiro. Washington, DC: The World Bank, 2011.</w:t>
      </w:r>
    </w:p>
    <w:p>
      <w:pPr>
        <w:keepNext w:val="0"/>
        <w:spacing w:line="240" w:lineRule="auto" w:after="80" w:before="0"/>
        <w:ind w:firstLine="0"/>
        <w:jc w:val="left"/>
      </w:pPr>
      <w:r>
        <w:rPr>
          <w:rFonts w:ascii="Arial" w:hAnsi="Arial"/>
          <w:b w:val="0"/>
          <w:i w:val="0"/>
          <w:sz w:val="24"/>
        </w:rPr>
        <w:t>BRASIL. Constituição da República Federativa do Brasil de 1988. Brasília, DF: Presidência da República, 1988.</w:t>
      </w:r>
    </w:p>
    <w:p>
      <w:pPr>
        <w:keepNext w:val="0"/>
        <w:spacing w:line="240" w:lineRule="auto" w:after="80" w:before="0"/>
        <w:ind w:firstLine="0"/>
        <w:jc w:val="left"/>
      </w:pPr>
      <w:r>
        <w:rPr>
          <w:rFonts w:ascii="Arial" w:hAnsi="Arial"/>
          <w:b w:val="0"/>
          <w:i w:val="0"/>
          <w:sz w:val="24"/>
        </w:rPr>
        <w:t>BRASIL. Lei nº 9.394, de 20 de dezembro de 1996. Estabelece as diretrizes e bases da educação nacional. Diário Oficial da União, Brasília, DF, 23 dez. 1996.</w:t>
      </w:r>
    </w:p>
    <w:p>
      <w:pPr>
        <w:keepNext w:val="0"/>
        <w:spacing w:line="240" w:lineRule="auto" w:after="80" w:before="0"/>
        <w:ind w:firstLine="0"/>
        <w:jc w:val="left"/>
      </w:pPr>
      <w:r>
        <w:rPr>
          <w:rFonts w:ascii="Arial" w:hAnsi="Arial"/>
          <w:b w:val="0"/>
          <w:i w:val="0"/>
          <w:sz w:val="24"/>
        </w:rPr>
        <w:t>BRASIL. Lei nº 13.005, de 25 de junho de 2014. Aprova o Plano Nacional de Educação (PNE) e dá outras providências. Diário Oficial da União, Brasília, DF, 26 jun. 2014.</w:t>
      </w:r>
    </w:p>
    <w:p>
      <w:pPr>
        <w:keepNext w:val="0"/>
        <w:spacing w:line="240" w:lineRule="auto" w:after="80" w:before="0"/>
        <w:ind w:firstLine="0"/>
        <w:jc w:val="left"/>
      </w:pPr>
      <w:r>
        <w:rPr>
          <w:rFonts w:ascii="Arial" w:hAnsi="Arial"/>
          <w:b w:val="0"/>
          <w:i w:val="0"/>
          <w:sz w:val="24"/>
        </w:rPr>
        <w:t>BRASIL. Lei nº 13.257, de 8 de março de 2016. Dispõe sobre as políticas públicas para a primeira infância. Diário Oficial da União, Brasília, DF, 9 mar. 2016.</w:t>
      </w:r>
    </w:p>
    <w:p>
      <w:pPr>
        <w:keepNext w:val="0"/>
        <w:spacing w:line="240" w:lineRule="auto" w:after="80" w:before="0"/>
        <w:ind w:firstLine="0"/>
        <w:jc w:val="left"/>
      </w:pPr>
      <w:r>
        <w:rPr>
          <w:rFonts w:ascii="Arial" w:hAnsi="Arial"/>
          <w:b w:val="0"/>
          <w:i w:val="0"/>
          <w:sz w:val="24"/>
        </w:rPr>
        <w:t>BRASIL. Controladoria-Geral da União. Relatório de avaliação da execução de programa de governo: Programa Nacional de Reestruturação e Aquisição de Equipamentos para a Rede Escolar Pública de Educação Infantil (Proinfância). Brasília, DF: CGU, 2017.</w:t>
      </w:r>
    </w:p>
    <w:p>
      <w:pPr>
        <w:keepNext w:val="0"/>
        <w:spacing w:line="240" w:lineRule="auto" w:after="80" w:before="0"/>
        <w:ind w:firstLine="0"/>
        <w:jc w:val="left"/>
      </w:pPr>
      <w:r>
        <w:rPr>
          <w:rFonts w:ascii="Arial" w:hAnsi="Arial"/>
          <w:b w:val="0"/>
          <w:i w:val="0"/>
          <w:sz w:val="24"/>
        </w:rPr>
        <w:t>BRASIL. Lei nº 14.113, de 25 de dezembro de 2020. Regulamenta o Fundo de Manutenção e Desenvolvimento da Educação Básica e de Valorização dos Profissionais da Educação (Fundeb). Diário Oficial da União, Brasília, DF, 25 dez. 2020.</w:t>
      </w:r>
    </w:p>
    <w:p>
      <w:pPr>
        <w:keepNext w:val="0"/>
        <w:spacing w:line="240" w:lineRule="auto" w:after="80" w:before="0"/>
        <w:ind w:firstLine="0"/>
        <w:jc w:val="left"/>
      </w:pPr>
      <w:r>
        <w:rPr>
          <w:rFonts w:ascii="Arial" w:hAnsi="Arial"/>
          <w:b w:val="0"/>
          <w:i w:val="0"/>
          <w:sz w:val="24"/>
        </w:rPr>
        <w:t>BRASIL. Supremo Tribunal Federal. Recurso Extraordinário nº 1.008.166 (Tema 548 da repercussão geral). Plenário, 22 set. 2022.</w:t>
      </w:r>
    </w:p>
    <w:p>
      <w:pPr>
        <w:keepNext w:val="0"/>
        <w:spacing w:line="240" w:lineRule="auto" w:after="80" w:before="0"/>
        <w:ind w:firstLine="0"/>
        <w:jc w:val="left"/>
      </w:pPr>
      <w:r>
        <w:rPr>
          <w:rFonts w:ascii="Arial" w:hAnsi="Arial"/>
          <w:b w:val="0"/>
          <w:i w:val="0"/>
          <w:sz w:val="24"/>
        </w:rPr>
        <w:t>BRASIL. Casa Civil da Presidência da República. Novo PAC Seleções: creches e escolas de educação infantil. Brasília, DF, 2023. Disponível em: https://www.gov.br/casacivil/pt-br/novopac/selecoes-2023/eixos/educacao-ciencia-e-tecnologia/creches-e-escolas-de-educacao-infantil. Acesso em: 28 set. 2026.</w:t>
      </w:r>
    </w:p>
    <w:p>
      <w:pPr>
        <w:keepNext w:val="0"/>
        <w:spacing w:line="240" w:lineRule="auto" w:after="80" w:before="0"/>
        <w:ind w:firstLine="0"/>
        <w:jc w:val="left"/>
      </w:pPr>
      <w:r>
        <w:rPr>
          <w:rFonts w:ascii="Arial" w:hAnsi="Arial"/>
          <w:b w:val="0"/>
          <w:i w:val="0"/>
          <w:sz w:val="24"/>
        </w:rPr>
        <w:t>BRASIL. Ministério da Saúde. Sistema de Vigilância Alimentar e Nutricional (Sisvan) e acompanhamento das condicionalidades de saúde do Cadastro Único: relatórios públicos de 2023. Brasília, DF: Ministério da Saúde, 2024. Disponível em: https://sisaps.saude.gov.br/sisvan/. Acesso em: 28 set. 2026.</w:t>
      </w:r>
    </w:p>
    <w:p>
      <w:pPr>
        <w:keepNext w:val="0"/>
        <w:spacing w:line="240" w:lineRule="auto" w:after="80" w:before="0"/>
        <w:ind w:firstLine="0"/>
        <w:jc w:val="left"/>
      </w:pPr>
      <w:r>
        <w:rPr>
          <w:rFonts w:ascii="Arial" w:hAnsi="Arial"/>
          <w:b w:val="0"/>
          <w:i w:val="0"/>
          <w:sz w:val="24"/>
        </w:rPr>
        <w:t>BRASIL. Ministério da Educação; GAEPE-BRASIL; INSTITUTO ARTICULE. Retrato da educação infantil no Brasil 2025. Brasília, DF: MEC, 2025.</w:t>
      </w:r>
    </w:p>
    <w:p>
      <w:pPr>
        <w:keepNext w:val="0"/>
        <w:spacing w:line="240" w:lineRule="auto" w:after="80" w:before="0"/>
        <w:ind w:firstLine="0"/>
        <w:jc w:val="left"/>
      </w:pPr>
      <w:r>
        <w:rPr>
          <w:rFonts w:ascii="Arial" w:hAnsi="Arial"/>
          <w:b w:val="0"/>
          <w:i w:val="0"/>
          <w:sz w:val="24"/>
        </w:rPr>
        <w:t>CEARÁ. Lei nº 17.380, de 5 de janeiro de 2021. Institui a política pública Mais Infância Ceará. Diário Oficial do Estado, Fortaleza, 5 jan. 2021.</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60/2023, de 4 de dezembro de 2023. Aprova o repasse de recursos fundo a fundo para a construção de creches. Diário Oficial do Estado do Paraná, Curitiba, 6 dez. 2023.</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pPr>
        <w:keepNext w:val="0"/>
        <w:spacing w:line="240" w:lineRule="auto" w:after="80" w:before="0"/>
        <w:ind w:firstLine="0"/>
        <w:jc w:val="left"/>
      </w:pPr>
      <w:r>
        <w:rPr>
          <w:rFonts w:ascii="Arial" w:hAnsi="Arial"/>
          <w:b w:val="0"/>
          <w:i w:val="0"/>
          <w:sz w:val="24"/>
        </w:rPr>
        <w:t>CHILE. Subsecretaría de la Niñez. Chile Crece Contigo: ¿quiénes tienen acceso garantizado a sala cuna y jardín infantil? Santiago, 2024. Disponível em: https://www.crececontigo.gob.cl/faqs/quienes-tienen-acceso-garantizada-a-sala-cuna-y-jardin-infantil/. Acesso em: 28 set. 2026.</w:t>
      </w:r>
    </w:p>
    <w:p>
      <w:pPr>
        <w:keepNext w:val="0"/>
        <w:spacing w:line="240" w:lineRule="auto" w:after="80" w:before="0"/>
        <w:ind w:firstLine="0"/>
        <w:jc w:val="left"/>
      </w:pPr>
      <w:r>
        <w:rPr>
          <w:rFonts w:ascii="Arial" w:hAnsi="Arial"/>
          <w:b w:val="0"/>
          <w:i w:val="0"/>
          <w:sz w:val="24"/>
        </w:rPr>
        <w:t>COADY, D.; GROSH, M.; HODDINOTT, J. Targeting of transfers in developing countries: review of lessons and experience. Washington, DC: The World Bank, 2004.</w:t>
      </w:r>
    </w:p>
    <w:p>
      <w:pPr>
        <w:keepNext w:val="0"/>
        <w:spacing w:line="240" w:lineRule="auto" w:after="80" w:before="0"/>
        <w:ind w:firstLine="0"/>
        <w:jc w:val="left"/>
      </w:pPr>
      <w:r>
        <w:rPr>
          <w:rFonts w:ascii="Arial" w:hAnsi="Arial"/>
          <w:b w:val="0"/>
          <w:i w:val="0"/>
          <w:sz w:val="24"/>
        </w:rPr>
        <w:t>COUTO, A. A.; SOUSA, S. Z. Acesso à creche nos municípios brasileiros e o Plano Nacional de Educação. Estudos em Avaliação Educacional, São Paulo, v. 35, 2024.</w:t>
      </w:r>
    </w:p>
    <w:p>
      <w:pPr>
        <w:keepNext w:val="0"/>
        <w:spacing w:line="240" w:lineRule="auto" w:after="80" w:before="0"/>
        <w:ind w:firstLine="0"/>
        <w:jc w:val="left"/>
      </w:pPr>
      <w:r>
        <w:rPr>
          <w:rFonts w:ascii="Arial" w:hAnsi="Arial"/>
          <w:b w:val="0"/>
          <w:i w:val="0"/>
          <w:sz w:val="24"/>
        </w:rPr>
        <w:t>CUNHA, F.; HECKMAN, J. J. The technology of skill formation. American Economic Review, v. 97, n. 2, p. 31-47, 2007.</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dados de 2020. Brasília, DF: Ministério da Saúde, 2022. Disponível em: https://datasus.saude.gov.br/. Acesso em: 28 set. 2026.</w:t>
      </w:r>
    </w:p>
    <w:p>
      <w:pPr>
        <w:keepNext w:val="0"/>
        <w:spacing w:line="240" w:lineRule="auto" w:after="80" w:before="0"/>
        <w:ind w:firstLine="0"/>
        <w:jc w:val="left"/>
      </w:pPr>
      <w:r>
        <w:rPr>
          <w:rFonts w:ascii="Arial" w:hAnsi="Arial"/>
          <w:b w:val="0"/>
          <w:i w:val="0"/>
          <w:sz w:val="24"/>
        </w:rPr>
        <w:t>DEVERCELLI, A. E.; BEATON-DAY, F. Better jobs and brighter futures: investing in childcare to build human capital. Washington, DC: The World Bank, 2020.</w:t>
      </w:r>
    </w:p>
    <w:p>
      <w:pPr>
        <w:keepNext w:val="0"/>
        <w:spacing w:line="240" w:lineRule="auto" w:after="80" w:before="0"/>
        <w:ind w:firstLine="0"/>
        <w:jc w:val="left"/>
      </w:pPr>
      <w:r>
        <w:rPr>
          <w:rFonts w:ascii="Arial" w:hAnsi="Arial"/>
          <w:b w:val="0"/>
          <w:i w:val="0"/>
          <w:sz w:val="24"/>
        </w:rPr>
        <w:t>EVANS, D. K.; KOSEC, K. Early child education: making programs work for Brazil's most important generation. Washington, DC: The World Bank, 2012. (World Bank Studies).</w:t>
      </w:r>
    </w:p>
    <w:p>
      <w:pPr>
        <w:keepNext w:val="0"/>
        <w:spacing w:line="240" w:lineRule="auto" w:after="80" w:before="0"/>
        <w:ind w:firstLine="0"/>
        <w:jc w:val="left"/>
      </w:pPr>
      <w:r>
        <w:rPr>
          <w:rFonts w:ascii="Arial" w:hAnsi="Arial"/>
          <w:b w:val="0"/>
          <w:i w:val="0"/>
          <w:sz w:val="24"/>
        </w:rPr>
        <w:t>FUNDAÇÃO MARIA CECILIA SOUTO VIDIGAL. INC – Índice de Necessidade de Creche 2018-2020 e estimativas de frequência: insumos para a focalização de políticas públicas. São Paulo: FMCSV, 2021.</w:t>
      </w:r>
    </w:p>
    <w:p>
      <w:pPr>
        <w:keepNext w:val="0"/>
        <w:spacing w:line="240" w:lineRule="auto" w:after="80" w:before="0"/>
        <w:ind w:firstLine="0"/>
        <w:jc w:val="left"/>
      </w:pPr>
      <w:r>
        <w:rPr>
          <w:rFonts w:ascii="Arial" w:hAnsi="Arial"/>
          <w:b w:val="0"/>
          <w:i w:val="0"/>
          <w:sz w:val="24"/>
        </w:rPr>
        <w:t>GARCÍA, J. L.; HECKMAN, J. J.; LEAF, D. E.; PRADOS, M. J. Quantifying the life-cycle benefits of an influential early-childhood program. Journal of Political Economy, v. 128, n. 7, p. 2502-2541, 2020.</w:t>
      </w:r>
    </w:p>
    <w:p>
      <w:pPr>
        <w:keepNext w:val="0"/>
        <w:spacing w:line="240" w:lineRule="auto" w:after="80" w:before="0"/>
        <w:ind w:firstLine="0"/>
        <w:jc w:val="left"/>
      </w:pPr>
      <w:r>
        <w:rPr>
          <w:rFonts w:ascii="Arial" w:hAnsi="Arial"/>
          <w:b w:val="0"/>
          <w:i w:val="0"/>
          <w:sz w:val="24"/>
        </w:rPr>
        <w:t>GRECO, S.; ISHIZAKA, A.; TASIOU, M.; TORRISI, G. On the methodological framework of composite indices: a review of the issues of weighting, aggregation, and robustness. Social Indicators Research, v. 141, n. 1, p. 61-94, 2019.</w:t>
      </w:r>
    </w:p>
    <w:p>
      <w:pPr>
        <w:keepNext w:val="0"/>
        <w:spacing w:line="240" w:lineRule="auto" w:after="80" w:before="0"/>
        <w:ind w:firstLine="0"/>
        <w:jc w:val="left"/>
      </w:pPr>
      <w:r>
        <w:rPr>
          <w:rFonts w:ascii="Arial" w:hAnsi="Arial"/>
          <w:b w:val="0"/>
          <w:i w:val="0"/>
          <w:sz w:val="24"/>
        </w:rPr>
        <w:t>GROMADA, A.; RICHARDSON, D.; REES, G. Childcare in a global crisis: the impact of COVID-19 on work and family life. Florence: UNICEF Office of Research – Innocenti, 2020.</w:t>
      </w:r>
    </w:p>
    <w:p>
      <w:pPr>
        <w:keepNext w:val="0"/>
        <w:spacing w:line="240" w:lineRule="auto" w:after="80" w:before="0"/>
        <w:ind w:firstLine="0"/>
        <w:jc w:val="left"/>
      </w:pPr>
      <w:r>
        <w:rPr>
          <w:rFonts w:ascii="Arial" w:hAnsi="Arial"/>
          <w:b w:val="0"/>
          <w:i w:val="0"/>
          <w:sz w:val="24"/>
        </w:rPr>
        <w:t>HECKMAN, J. J. Skill formation and the economics of investing in disadvantaged children. Science, v. 312, n. 5782, p. 1900-1902, 2006.</w:t>
      </w:r>
    </w:p>
    <w:p>
      <w:pPr>
        <w:keepNext w:val="0"/>
        <w:spacing w:line="240" w:lineRule="auto" w:after="80" w:before="0"/>
        <w:ind w:firstLine="0"/>
        <w:jc w:val="left"/>
      </w:pPr>
      <w:r>
        <w:rPr>
          <w:rFonts w:ascii="Arial" w:hAnsi="Arial"/>
          <w:b w:val="0"/>
          <w:i w:val="0"/>
          <w:sz w:val="24"/>
        </w:rPr>
        <w:t>IBGE. Censo Demográfico 2022: população por idade e sexo. Rio de Janeiro: IBGE, 2023a.</w:t>
      </w:r>
    </w:p>
    <w:p>
      <w:pPr>
        <w:keepNext w:val="0"/>
        <w:spacing w:line="240" w:lineRule="auto" w:after="80" w:before="0"/>
        <w:ind w:firstLine="0"/>
        <w:jc w:val="left"/>
      </w:pPr>
      <w:r>
        <w:rPr>
          <w:rFonts w:ascii="Arial" w:hAnsi="Arial"/>
          <w:b w:val="0"/>
          <w:i w:val="0"/>
          <w:sz w:val="24"/>
        </w:rPr>
        <w:t>IBGE. Malhas territoriais 2022: malha municipal e estadual do Paraná. Rio de Janeiro: IBGE, 2023b. Disponível em: https://www.ibge.gov.br/geociencias/organizacao-do-territorio/malhas-territoriais/. Acesso em: 28 set. 2026.</w:t>
      </w:r>
    </w:p>
    <w:p>
      <w:pPr>
        <w:keepNext w:val="0"/>
        <w:spacing w:line="240" w:lineRule="auto" w:after="80" w:before="0"/>
        <w:ind w:firstLine="0"/>
        <w:jc w:val="left"/>
      </w:pPr>
      <w:r>
        <w:rPr>
          <w:rFonts w:ascii="Arial" w:hAnsi="Arial"/>
          <w:b w:val="0"/>
          <w:i w:val="0"/>
          <w:sz w:val="24"/>
        </w:rPr>
        <w:t>IBGE. Pesquisa Nacional por Amostra de Domicílios Contínua: educação 2024. Rio de Janeiro: IBGE, 2025.</w:t>
      </w:r>
    </w:p>
    <w:p>
      <w:pPr>
        <w:keepNext w:val="0"/>
        <w:spacing w:line="240" w:lineRule="auto" w:after="80" w:before="0"/>
        <w:ind w:firstLine="0"/>
        <w:jc w:val="left"/>
      </w:pPr>
      <w:r>
        <w:rPr>
          <w:rFonts w:ascii="Arial" w:hAnsi="Arial"/>
          <w:b w:val="0"/>
          <w:i w:val="0"/>
          <w:sz w:val="24"/>
        </w:rPr>
        <w:t>INEP. Censo Escolar da Educação Básica 2023: microdados e sinopse estatística. Brasília, DF: Inep, 2024.</w:t>
      </w:r>
    </w:p>
    <w:p>
      <w:pPr>
        <w:keepNext w:val="0"/>
        <w:spacing w:line="240" w:lineRule="auto" w:after="80" w:before="0"/>
        <w:ind w:firstLine="0"/>
        <w:jc w:val="left"/>
      </w:pPr>
      <w:r>
        <w:rPr>
          <w:rFonts w:ascii="Arial" w:hAnsi="Arial"/>
          <w:b w:val="0"/>
          <w:i w:val="0"/>
          <w:sz w:val="24"/>
        </w:rPr>
        <w:t>IPARDES. Índice Ipardes de Desempenho Municipal (IPDM) 2021: nota metodológica e resultados. Curitiba: Ipardes, 2023.</w:t>
      </w:r>
    </w:p>
    <w:p>
      <w:pPr>
        <w:keepNext w:val="0"/>
        <w:spacing w:line="240" w:lineRule="auto" w:after="80" w:before="0"/>
        <w:ind w:firstLine="0"/>
        <w:jc w:val="left"/>
      </w:pPr>
      <w:r>
        <w:rPr>
          <w:rFonts w:ascii="Arial" w:hAnsi="Arial"/>
          <w:b w:val="0"/>
          <w:i w:val="0"/>
          <w:sz w:val="24"/>
        </w:rPr>
        <w:t>IPARDES. Base de Dados do Estado (BDEweb): taxa de natalidade por município, 2022. Curitiba: Ipardes, 2024. Disponível em: https://www.ipardes.pr.gov.br/. Acesso em: 28 set. 2026.</w:t>
      </w:r>
    </w:p>
    <w:p>
      <w:pPr>
        <w:keepNext w:val="0"/>
        <w:spacing w:line="240" w:lineRule="auto" w:after="80" w:before="0"/>
        <w:ind w:firstLine="0"/>
        <w:jc w:val="left"/>
      </w:pPr>
      <w:r>
        <w:rPr>
          <w:rFonts w:ascii="Arial" w:hAnsi="Arial"/>
          <w:b w:val="0"/>
          <w:i w:val="0"/>
          <w:sz w:val="24"/>
        </w:rPr>
        <w:t>MELO, Y. M.; GOMES, S. C. A implementação do Proinfância sob a ótica das relações intergovernamentais. Revista Ibero-Americana de Estudos em Educação, Araraquara, v. 17, n. esp. 3, p. 2118-2138, 2022.</w:t>
      </w:r>
    </w:p>
    <w:p>
      <w:pPr>
        <w:keepNext w:val="0"/>
        <w:spacing w:line="240" w:lineRule="auto" w:after="80" w:before="0"/>
        <w:ind w:firstLine="0"/>
        <w:jc w:val="left"/>
      </w:pPr>
      <w:r>
        <w:rPr>
          <w:rFonts w:ascii="Arial" w:hAnsi="Arial"/>
          <w:b w:val="0"/>
          <w:i w:val="0"/>
          <w:sz w:val="24"/>
        </w:rPr>
        <w:t>MUSGRAVE, R. A.; MUSGRAVE, P. B. Finanças públicas: teoria e prática. São Paulo: Campus; Editora da USP, 1980.</w:t>
      </w:r>
    </w:p>
    <w:p>
      <w:pPr>
        <w:keepNext w:val="0"/>
        <w:spacing w:line="240" w:lineRule="auto" w:after="80" w:before="0"/>
        <w:ind w:firstLine="0"/>
        <w:jc w:val="left"/>
      </w:pPr>
      <w:r>
        <w:rPr>
          <w:rFonts w:ascii="Arial" w:hAnsi="Arial"/>
          <w:b w:val="0"/>
          <w:i w:val="0"/>
          <w:sz w:val="24"/>
        </w:rPr>
        <w:t>NARDO, M.; SAISANA, M.; SALTELLI, A.; TARANTOLA, S.; HOFFMANN, A.; GIOVANNINI, E. Handbook on constructing composite indicators: methodology and user guide. Paris: OECD Publishing, 2008.</w:t>
      </w:r>
    </w:p>
    <w:p>
      <w:pPr>
        <w:keepNext w:val="0"/>
        <w:spacing w:line="240" w:lineRule="auto" w:after="80" w:before="0"/>
        <w:ind w:firstLine="0"/>
        <w:jc w:val="left"/>
      </w:pPr>
      <w:r>
        <w:rPr>
          <w:rFonts w:ascii="Arial" w:hAnsi="Arial"/>
          <w:b w:val="0"/>
          <w:i w:val="0"/>
          <w:sz w:val="24"/>
        </w:rPr>
        <w:t>OECD. Starting Strong VI: supporting meaningful interactions in early childhood education and care. Paris: OECD Publishing, 2021.</w:t>
      </w:r>
    </w:p>
    <w:p>
      <w:pPr>
        <w:keepNext w:val="0"/>
        <w:spacing w:line="240" w:lineRule="auto" w:after="80" w:before="0"/>
        <w:ind w:firstLine="0"/>
        <w:jc w:val="left"/>
      </w:pPr>
      <w:r>
        <w:rPr>
          <w:rFonts w:ascii="Arial" w:hAnsi="Arial"/>
          <w:b w:val="0"/>
          <w:i w:val="0"/>
          <w:sz w:val="24"/>
        </w:rPr>
        <w:t>OECD. Education at a glance 2024: OECD indicators. Paris: OECD Publishing, 2024.</w:t>
      </w:r>
    </w:p>
    <w:p>
      <w:pPr>
        <w:keepNext w:val="0"/>
        <w:spacing w:line="240" w:lineRule="auto" w:after="80" w:before="0"/>
        <w:ind w:firstLine="0"/>
        <w:jc w:val="left"/>
      </w:pPr>
      <w:r>
        <w:rPr>
          <w:rFonts w:ascii="Arial" w:hAnsi="Arial"/>
          <w:b w:val="0"/>
          <w:i w:val="0"/>
          <w:sz w:val="24"/>
        </w:rPr>
        <w:t>PARANÁ. Lei nº 18.492, de 24 de junho de 2015. Aprova o Plano Estadual de Educação. Diário Oficial do Estado do Paraná, Curitiba, 25 jun. 2015.</w:t>
      </w:r>
    </w:p>
    <w:p>
      <w:pPr>
        <w:keepNext w:val="0"/>
        <w:spacing w:line="240" w:lineRule="auto" w:after="80" w:before="0"/>
        <w:ind w:firstLine="0"/>
        <w:jc w:val="left"/>
      </w:pPr>
      <w:r>
        <w:rPr>
          <w:rFonts w:ascii="Arial" w:hAnsi="Arial"/>
          <w:b w:val="0"/>
          <w:i w:val="0"/>
          <w:sz w:val="24"/>
        </w:rPr>
        <w:t>PARANÁ. Lei nº 21.870, de 19 de dezembro de 2023. Institui o Programa Infância Feliz Paraná. Diário Oficial do Estado do Paraná, Curitiba, 19 dez. 2023a.</w:t>
      </w:r>
    </w:p>
    <w:p>
      <w:pPr>
        <w:keepNext w:val="0"/>
        <w:spacing w:line="240" w:lineRule="auto" w:after="80" w:before="0"/>
        <w:ind w:firstLine="0"/>
        <w:jc w:val="left"/>
      </w:pPr>
      <w:r>
        <w:rPr>
          <w:rFonts w:ascii="Arial" w:hAnsi="Arial"/>
          <w:b w:val="0"/>
          <w:i w:val="0"/>
          <w:sz w:val="24"/>
        </w:rPr>
        <w:t>PARANÁ. Secretaria de Estado do Planejamento. Plano Plurianual 2024-2027 (Lei nº 21.861, de 18 de dezembro de 2023): base de entregas por órgão, programa e ação. Curitiba: SEPL, 2023b.</w:t>
      </w:r>
    </w:p>
    <w:p>
      <w:pPr>
        <w:keepNext w:val="0"/>
        <w:spacing w:line="240" w:lineRule="auto" w:after="80" w:before="0"/>
        <w:ind w:firstLine="0"/>
        <w:jc w:val="left"/>
      </w:pPr>
      <w:r>
        <w:rPr>
          <w:rFonts w:ascii="Arial" w:hAnsi="Arial"/>
          <w:b w:val="0"/>
          <w:i w:val="0"/>
          <w:sz w:val="24"/>
        </w:rPr>
        <w:t>PARANÁ. Secretaria de Estado do Desenvolvimento Social e Família. Resolução nº 219/2024, de 4 de junho de 2024 (retificada). Estabelece os critérios para ranqueamento de municípios do Programa Infância Feliz Paraná. Curitiba: SEDEF, 2024a.</w:t>
      </w:r>
    </w:p>
    <w:p>
      <w:pPr>
        <w:keepNext w:val="0"/>
        <w:spacing w:line="240" w:lineRule="auto" w:after="80" w:before="0"/>
        <w:ind w:firstLine="0"/>
        <w:jc w:val="left"/>
      </w:pPr>
      <w:r>
        <w:rPr>
          <w:rFonts w:ascii="Arial" w:hAnsi="Arial"/>
          <w:b w:val="0"/>
          <w:i w:val="0"/>
          <w:sz w:val="24"/>
        </w:rPr>
        <w:t>PARANÁ. Agência Estadual de Notícias. Maior programa do País: Estado vai destinar R$ 391,4 milhões para construir 300 creches. Curitiba, 10 jun. 2024b.</w:t>
      </w:r>
    </w:p>
    <w:p>
      <w:pPr>
        <w:keepNext w:val="0"/>
        <w:spacing w:line="240" w:lineRule="auto" w:after="80" w:before="0"/>
        <w:ind w:firstLine="0"/>
        <w:jc w:val="left"/>
      </w:pPr>
      <w:r>
        <w:rPr>
          <w:rFonts w:ascii="Arial" w:hAnsi="Arial"/>
          <w:b w:val="0"/>
          <w:i w:val="0"/>
          <w:sz w:val="24"/>
        </w:rPr>
        <w:t>PARANÁ. Secretaria de Estado do Desenvolvimento Social e Família. Resolução nº 212/2024, de 3 de junho de 2024 (retificada). Regulamenta o incentivo financeiro fundo a fundo para a construção de creches. Curitiba: SEDEF, 2024c.</w:t>
      </w:r>
    </w:p>
    <w:p>
      <w:pPr>
        <w:keepNext w:val="0"/>
        <w:spacing w:line="240" w:lineRule="auto" w:after="80" w:before="0"/>
        <w:ind w:firstLine="0"/>
        <w:jc w:val="left"/>
      </w:pPr>
      <w:r>
        <w:rPr>
          <w:rFonts w:ascii="Arial" w:hAnsi="Arial"/>
          <w:b w:val="0"/>
          <w:i w:val="0"/>
          <w:sz w:val="24"/>
        </w:rPr>
        <w:t>PARANÁ. Defensoria Pública do Estado. Levantamento sobre o déficit de vagas em creches no Paraná. Curitiba: DPE-PR, 2024d. Disponível em: https://www.defensoriapublica.pr.def.br/Pagina/Levantamento-sobre-o-deficit-de-vagas-em-creches-no-Parana. Acesso em: 28 set. 2026.</w:t>
      </w:r>
    </w:p>
    <w:p>
      <w:pPr>
        <w:keepNext w:val="0"/>
        <w:spacing w:line="240" w:lineRule="auto" w:after="80" w:before="0"/>
        <w:ind w:firstLine="0"/>
        <w:jc w:val="left"/>
      </w:pPr>
      <w:r>
        <w:rPr>
          <w:rFonts w:ascii="Arial" w:hAnsi="Arial"/>
          <w:b w:val="0"/>
          <w:i w:val="0"/>
          <w:sz w:val="24"/>
        </w:rPr>
        <w:t>PARANÁ. Secretaria de Estado do Desenvolvimento Social e Família. Resolução nº 029/2025, de 25 de fevereiro de 2025 (retificada). Altera o valor do incentivo e as parcelas de repasse. Curitiba: SEDEF, 2025a.</w:t>
      </w:r>
    </w:p>
    <w:p>
      <w:pPr>
        <w:keepNext w:val="0"/>
        <w:spacing w:line="240" w:lineRule="auto" w:after="80" w:before="0"/>
        <w:ind w:firstLine="0"/>
        <w:jc w:val="left"/>
      </w:pPr>
      <w:r>
        <w:rPr>
          <w:rFonts w:ascii="Arial" w:hAnsi="Arial"/>
          <w:b w:val="0"/>
          <w:i w:val="0"/>
          <w:sz w:val="24"/>
        </w:rPr>
        <w:t>PARANÁ. Secretaria de Estado do Desenvolvimento Social e Família. Resolução nº 479/2025, de 1º de outubro de 2025. Estabelece os critérios da segunda etapa do Programa Infância Feliz Paraná. Curitiba: SEDEF, 2025b.</w:t>
      </w:r>
    </w:p>
    <w:p>
      <w:pPr>
        <w:keepNext w:val="0"/>
        <w:spacing w:line="240" w:lineRule="auto" w:after="80" w:before="0"/>
        <w:ind w:firstLine="0"/>
        <w:jc w:val="left"/>
      </w:pPr>
      <w:r>
        <w:rPr>
          <w:rFonts w:ascii="Arial" w:hAnsi="Arial"/>
          <w:b w:val="0"/>
          <w:i w:val="0"/>
          <w:sz w:val="24"/>
        </w:rPr>
        <w:t>PARANÁ. Agência Estadual de Notícias. Maior programa de creches do Brasil: Paraná chega a 110 obras. Curitiba, 21 maio 2026.</w:t>
      </w:r>
    </w:p>
    <w:p>
      <w:pPr>
        <w:keepNext w:val="0"/>
        <w:spacing w:line="240" w:lineRule="auto" w:after="80" w:before="0"/>
        <w:ind w:firstLine="0"/>
        <w:jc w:val="left"/>
      </w:pPr>
      <w:r>
        <w:rPr>
          <w:rFonts w:ascii="Arial" w:hAnsi="Arial"/>
          <w:b w:val="0"/>
          <w:i w:val="0"/>
          <w:sz w:val="24"/>
        </w:rPr>
        <w:t>PEREA, N. M.; RAMOS, G. P. A implantação do Programa Creche Escola em Araraquara/SP: entre limites e possibilidades. Jornal de Políticas Educacionais, Curitiba, v. 16, 2022.</w:t>
      </w:r>
    </w:p>
    <w:p>
      <w:pPr>
        <w:keepNext w:val="0"/>
        <w:spacing w:line="240" w:lineRule="auto" w:after="80" w:before="0"/>
        <w:ind w:firstLine="0"/>
        <w:jc w:val="left"/>
      </w:pPr>
      <w:r>
        <w:rPr>
          <w:rFonts w:ascii="Arial" w:hAnsi="Arial"/>
          <w:b w:val="0"/>
          <w:i w:val="0"/>
          <w:sz w:val="24"/>
        </w:rPr>
        <w:t>SOUZA, C. Federalismo, desenho constitucional e instituições federativas no Brasil pós-1988. Revista de Sociologia e Política, Curitiba, n. 24, p. 105-121, 2005.</w:t>
      </w:r>
    </w:p>
    <w:p>
      <w:pPr>
        <w:keepNext w:val="0"/>
        <w:spacing w:line="240" w:lineRule="auto" w:after="80" w:before="0"/>
        <w:ind w:firstLine="0"/>
        <w:jc w:val="left"/>
      </w:pPr>
      <w:r>
        <w:rPr>
          <w:rFonts w:ascii="Arial" w:hAnsi="Arial"/>
          <w:b w:val="0"/>
          <w:i w:val="0"/>
          <w:sz w:val="24"/>
        </w:rPr>
        <w:t>STIGLITZ, J. E.; ROSENGARD, J. K. Economics of the public sector. 4. ed. New York: W. W. Norton, 2015.</w:t>
      </w:r>
    </w:p>
    <w:p>
      <w:pPr>
        <w:keepNext w:val="0"/>
        <w:spacing w:line="240" w:lineRule="auto" w:after="80" w:before="0"/>
        <w:ind w:firstLine="0"/>
        <w:jc w:val="left"/>
      </w:pPr>
      <w:r>
        <w:rPr>
          <w:rFonts w:ascii="Arial" w:hAnsi="Arial"/>
          <w:b w:val="0"/>
          <w:i w:val="0"/>
          <w:sz w:val="24"/>
        </w:rPr>
        <w:t>TODOS PELA EDUCAÇÃO. Panorama do acesso à educação infantil no Brasil. São Paulo: Todos pela Educação, 2025.</w:t>
      </w:r>
    </w:p>
    <w:p>
      <w:pPr>
        <w:keepNext w:val="0"/>
        <w:spacing w:line="240" w:lineRule="auto" w:after="80" w:before="0"/>
        <w:ind w:firstLine="0"/>
        <w:jc w:val="left"/>
      </w:pPr>
      <w:r>
        <w:rPr>
          <w:rFonts w:ascii="Arial" w:hAnsi="Arial"/>
          <w:b w:val="0"/>
          <w:i w:val="0"/>
          <w:sz w:val="24"/>
        </w:rPr>
        <w:t>UNESCO; UNICEF. The right to a strong foundation: global report on early childhood care and education. Paris: UNESCO, 2024.</w:t>
      </w:r>
    </w:p>
    <w:p>
      <w:pPr>
        <w:keepNext w:val="0"/>
        <w:spacing w:line="240" w:lineRule="auto" w:after="80" w:before="0"/>
        <w:ind w:firstLine="0"/>
        <w:jc w:val="left"/>
      </w:pPr>
      <w:r>
        <w:rPr>
          <w:rFonts w:ascii="Arial" w:hAnsi="Arial"/>
          <w:b w:val="0"/>
          <w:i w:val="0"/>
          <w:sz w:val="24"/>
        </w:rPr>
        <w:t>UNITED NATIONS. Transforming our world: the 2030 Agenda for Sustainable Development. New York: United Nations, 2015. (A/RES/70/1).</w:t>
      </w:r>
    </w:p>
    <w:p>
      <w:pPr>
        <w:keepNext w:val="0"/>
        <w:spacing w:line="240" w:lineRule="auto" w:after="80" w:before="0"/>
        <w:ind w:firstLine="0"/>
        <w:jc w:val="left"/>
      </w:pPr>
      <w:r>
        <w:rPr>
          <w:rFonts w:ascii="Arial" w:hAnsi="Arial"/>
          <w:b w:val="0"/>
          <w:i w:val="0"/>
          <w:sz w:val="24"/>
        </w:rPr>
        <w:t>URUGUAI. Presidencia de la República. Plan CAIF celebra 30 años: 423 centros distribuidos en todo Uruguay asisten a 54.500 niños. Montevideo, 10 out. 2018.</w:t>
      </w:r>
    </w:p>
    <w:p>
      <w:pPr>
        <w:keepNext w:val="0"/>
        <w:spacing w:line="240" w:lineRule="auto" w:after="80" w:before="0"/>
        <w:ind w:firstLine="0"/>
        <w:jc w:val="left"/>
      </w:pPr>
      <w:r>
        <w:rPr>
          <w:rFonts w:ascii="Arial" w:hAnsi="Arial"/>
          <w:b w:val="0"/>
          <w:i w:val="0"/>
          <w:sz w:val="24"/>
        </w:rPr>
        <w:t>WHO; UNICEF; WORLD BANK GROUP. Nurturing care for early childhood development: a framework for helping children survive and thrive to transform health and human potential. Geneva: World Health Organization, 2018.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after="0" w:line="240" w:lineRule="auto"/>
        <w:ind w:firstLine="0"/>
        <w:jc w:val="both"/>
      </w:pPr>
      <w:r>
        <w:rPr>
          <w:vertAlign w:val="superscript"/>
          <w:sz w:val="20"/>
        </w:rPr>
        <w:footnoteRef/>
      </w:r>
      <w:r>
        <w:rPr>
          <w:rFonts w:ascii="Arial" w:hAnsi="Arial"/>
          <w:sz w:val="20"/>
        </w:rPr>
        <w:t xml:space="preserve"> O material suplementar (auditoria das planilhas, base municipal tratada, scripts, tabelas completas, simulações, mapas das faixas de porte e das etapas de distribuição, diagramas editáveis e o levantamento documental) está disponível em repositório público [link omitido para avaliação cega].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85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after="0" w:before="0"/>
      <w:ind w:firstLine="0" w:left="0"/>
      <w:jc w:val="left"/>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